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7BF9" w:rsidRPr="00C01906" w:rsidRDefault="00F57BF9" w:rsidP="00F57BF9">
      <w:pPr>
        <w:spacing w:after="0" w:line="240" w:lineRule="auto"/>
        <w:ind w:firstLine="720"/>
        <w:jc w:val="center"/>
        <w:rPr>
          <w:rFonts w:ascii="Times New Roman" w:hAnsi="Times New Roman"/>
          <w:b/>
          <w:sz w:val="27"/>
          <w:szCs w:val="27"/>
          <w:lang w:val="en-US"/>
        </w:rPr>
      </w:pPr>
      <w:bookmarkStart w:id="0" w:name="_GoBack"/>
      <w:bookmarkEnd w:id="0"/>
      <w:r w:rsidRPr="00C01906">
        <w:rPr>
          <w:rFonts w:ascii="Times New Roman" w:hAnsi="Times New Roman"/>
          <w:b/>
          <w:sz w:val="27"/>
          <w:szCs w:val="27"/>
          <w:lang w:val="en-US"/>
        </w:rPr>
        <w:t xml:space="preserve">SUMMARY OF THE TRANSCRIPT OF THE CONDUCTED TRAINING  </w:t>
      </w:r>
    </w:p>
    <w:p w:rsidR="00F57BF9" w:rsidRPr="00C01906" w:rsidRDefault="00F57BF9" w:rsidP="00F57BF9">
      <w:pPr>
        <w:spacing w:after="0" w:line="240" w:lineRule="auto"/>
        <w:ind w:firstLine="720"/>
        <w:jc w:val="center"/>
        <w:rPr>
          <w:rFonts w:ascii="Times New Roman" w:hAnsi="Times New Roman"/>
          <w:b/>
          <w:sz w:val="27"/>
          <w:szCs w:val="27"/>
          <w:lang w:val="en-US"/>
        </w:rPr>
      </w:pPr>
    </w:p>
    <w:p w:rsidR="00F57BF9" w:rsidRPr="00C01906" w:rsidRDefault="00F57BF9" w:rsidP="00F57BF9">
      <w:pPr>
        <w:spacing w:after="0" w:line="240" w:lineRule="auto"/>
        <w:jc w:val="both"/>
        <w:rPr>
          <w:rFonts w:ascii="Times New Roman" w:hAnsi="Times New Roman"/>
          <w:b/>
          <w:sz w:val="27"/>
          <w:szCs w:val="27"/>
          <w:lang w:val="en-US"/>
        </w:rPr>
      </w:pPr>
    </w:p>
    <w:p w:rsidR="00F57BF9" w:rsidRPr="00C01906" w:rsidRDefault="00F57BF9" w:rsidP="00F57BF9">
      <w:pPr>
        <w:spacing w:after="0" w:line="240" w:lineRule="auto"/>
        <w:ind w:firstLine="720"/>
        <w:jc w:val="both"/>
        <w:rPr>
          <w:rFonts w:ascii="Times New Roman" w:hAnsi="Times New Roman"/>
          <w:b/>
          <w:sz w:val="27"/>
          <w:szCs w:val="27"/>
          <w:lang w:val="en-US"/>
        </w:rPr>
      </w:pPr>
    </w:p>
    <w:p w:rsidR="00F57BF9" w:rsidRPr="00C01906" w:rsidRDefault="00F57BF9" w:rsidP="00F57BF9">
      <w:pPr>
        <w:spacing w:after="0" w:line="240" w:lineRule="auto"/>
        <w:ind w:firstLine="720"/>
        <w:jc w:val="both"/>
        <w:rPr>
          <w:rFonts w:ascii="Times New Roman" w:hAnsi="Times New Roman"/>
          <w:b/>
          <w:sz w:val="27"/>
          <w:szCs w:val="27"/>
          <w:lang w:val="en-US"/>
        </w:rPr>
      </w:pPr>
      <w:r w:rsidRPr="00C01906">
        <w:rPr>
          <w:rFonts w:ascii="Times New Roman" w:hAnsi="Times New Roman"/>
          <w:b/>
          <w:sz w:val="27"/>
          <w:szCs w:val="27"/>
          <w:lang w:val="en-US"/>
        </w:rPr>
        <w:t>I) Introduction</w:t>
      </w:r>
      <w:r w:rsidRPr="00C01906">
        <w:rPr>
          <w:rFonts w:ascii="Times New Roman" w:hAnsi="Times New Roman"/>
          <w:b/>
          <w:sz w:val="27"/>
          <w:szCs w:val="27"/>
          <w:vertAlign w:val="superscript"/>
          <w:lang w:val="en-US"/>
        </w:rPr>
        <w:footnoteReference w:id="1"/>
      </w:r>
      <w:r w:rsidRPr="00C01906">
        <w:rPr>
          <w:rFonts w:ascii="Times New Roman" w:hAnsi="Times New Roman"/>
          <w:b/>
          <w:sz w:val="27"/>
          <w:szCs w:val="27"/>
          <w:lang w:val="en-US"/>
        </w:rPr>
        <w:t xml:space="preserve"> </w:t>
      </w:r>
    </w:p>
    <w:p w:rsidR="00F57BF9" w:rsidRPr="00C01906" w:rsidRDefault="00F57BF9" w:rsidP="00F57BF9">
      <w:pPr>
        <w:spacing w:after="0" w:line="240" w:lineRule="auto"/>
        <w:ind w:firstLine="720"/>
        <w:jc w:val="both"/>
        <w:rPr>
          <w:rFonts w:ascii="Times New Roman" w:hAnsi="Times New Roman"/>
          <w:b/>
          <w:sz w:val="27"/>
          <w:szCs w:val="27"/>
          <w:lang w:val="en-US"/>
        </w:rPr>
      </w:pPr>
    </w:p>
    <w:p w:rsidR="00F57BF9" w:rsidRPr="00C01906" w:rsidRDefault="00F57BF9" w:rsidP="00F57BF9">
      <w:pPr>
        <w:jc w:val="both"/>
        <w:rPr>
          <w:rFonts w:ascii="Times New Roman" w:hAnsi="Times New Roman"/>
          <w:i/>
          <w:sz w:val="27"/>
          <w:szCs w:val="27"/>
          <w:lang w:val="en-US"/>
        </w:rPr>
      </w:pPr>
      <w:proofErr w:type="gramStart"/>
      <w:r w:rsidRPr="00C01906">
        <w:rPr>
          <w:rFonts w:ascii="Times New Roman" w:hAnsi="Times New Roman"/>
          <w:b/>
          <w:i/>
          <w:sz w:val="27"/>
          <w:szCs w:val="27"/>
          <w:lang w:val="en-US"/>
        </w:rPr>
        <w:t>“</w:t>
      </w:r>
      <w:r w:rsidRPr="00C01906">
        <w:rPr>
          <w:rFonts w:ascii="Times New Roman" w:hAnsi="Times New Roman"/>
          <w:i/>
          <w:sz w:val="27"/>
          <w:szCs w:val="27"/>
          <w:lang w:val="en-US"/>
        </w:rPr>
        <w:t>Cybercrime.</w:t>
      </w:r>
      <w:proofErr w:type="gramEnd"/>
      <w:r w:rsidRPr="00C01906">
        <w:rPr>
          <w:rFonts w:ascii="Times New Roman" w:hAnsi="Times New Roman"/>
          <w:i/>
          <w:sz w:val="27"/>
          <w:szCs w:val="27"/>
          <w:lang w:val="en-US"/>
        </w:rPr>
        <w:t xml:space="preserve"> </w:t>
      </w:r>
      <w:proofErr w:type="gramStart"/>
      <w:r w:rsidRPr="00C01906">
        <w:rPr>
          <w:rFonts w:ascii="Times New Roman" w:hAnsi="Times New Roman"/>
          <w:i/>
          <w:sz w:val="27"/>
          <w:szCs w:val="27"/>
          <w:lang w:val="en-US"/>
        </w:rPr>
        <w:t>Legal framework.</w:t>
      </w:r>
      <w:proofErr w:type="gramEnd"/>
      <w:r w:rsidRPr="00C01906">
        <w:rPr>
          <w:rFonts w:ascii="Times New Roman" w:hAnsi="Times New Roman"/>
          <w:i/>
          <w:sz w:val="27"/>
          <w:szCs w:val="27"/>
          <w:lang w:val="en-US"/>
        </w:rPr>
        <w:t xml:space="preserve">  Investigation methods and techniques, administration of computer proofs and sequestration of instruments that hold evidences and data related to technology in this ground. </w:t>
      </w:r>
      <w:r w:rsidRPr="00C01906">
        <w:rPr>
          <w:rFonts w:ascii="Times New Roman" w:hAnsi="Times New Roman"/>
          <w:bCs/>
          <w:i/>
          <w:sz w:val="27"/>
          <w:szCs w:val="27"/>
          <w:lang w:val="en-US"/>
        </w:rPr>
        <w:t xml:space="preserve">Acts of a racist and xenophobic nature committed through computer systems. </w:t>
      </w:r>
      <w:proofErr w:type="gramStart"/>
      <w:r w:rsidRPr="00C01906">
        <w:rPr>
          <w:rFonts w:ascii="Times New Roman" w:hAnsi="Times New Roman"/>
          <w:i/>
          <w:sz w:val="27"/>
          <w:szCs w:val="27"/>
          <w:lang w:val="en-US"/>
        </w:rPr>
        <w:t>Problems of a religious extremist nature.</w:t>
      </w:r>
      <w:proofErr w:type="gramEnd"/>
      <w:r w:rsidRPr="00C01906">
        <w:rPr>
          <w:rFonts w:ascii="Times New Roman" w:hAnsi="Times New Roman"/>
          <w:i/>
          <w:sz w:val="27"/>
          <w:szCs w:val="27"/>
          <w:lang w:val="en-US"/>
        </w:rPr>
        <w:t xml:space="preserve"> </w:t>
      </w:r>
      <w:proofErr w:type="gramStart"/>
      <w:r w:rsidRPr="00C01906">
        <w:rPr>
          <w:rFonts w:ascii="Times New Roman" w:hAnsi="Times New Roman"/>
          <w:i/>
          <w:sz w:val="27"/>
          <w:szCs w:val="27"/>
          <w:lang w:val="en-US"/>
        </w:rPr>
        <w:t>Denial of genocide and holocaust.</w:t>
      </w:r>
      <w:proofErr w:type="gramEnd"/>
      <w:r w:rsidRPr="00C01906">
        <w:rPr>
          <w:rFonts w:ascii="Times New Roman" w:hAnsi="Times New Roman"/>
          <w:i/>
          <w:sz w:val="27"/>
          <w:szCs w:val="27"/>
          <w:lang w:val="en-US"/>
        </w:rPr>
        <w:t xml:space="preserve"> Cases of acts of a racist nature directed at immigrants and asylum seekers. </w:t>
      </w:r>
      <w:proofErr w:type="gramStart"/>
      <w:r w:rsidRPr="00C01906">
        <w:rPr>
          <w:rFonts w:ascii="Times New Roman" w:hAnsi="Times New Roman"/>
          <w:i/>
          <w:sz w:val="27"/>
          <w:szCs w:val="27"/>
          <w:lang w:val="en-US"/>
        </w:rPr>
        <w:t>Social networks and marginalized groups (persons with mental health problems or other physical disabilities, including minors, LGBTQ community, etc.).</w:t>
      </w:r>
      <w:proofErr w:type="gramEnd"/>
      <w:r w:rsidRPr="00C01906">
        <w:rPr>
          <w:rFonts w:ascii="Times New Roman" w:hAnsi="Times New Roman"/>
          <w:i/>
          <w:sz w:val="27"/>
          <w:szCs w:val="27"/>
          <w:lang w:val="en-US"/>
        </w:rPr>
        <w:t xml:space="preserve"> </w:t>
      </w:r>
      <w:proofErr w:type="gramStart"/>
      <w:r w:rsidRPr="00C01906">
        <w:rPr>
          <w:rFonts w:ascii="Times New Roman" w:hAnsi="Times New Roman"/>
          <w:bCs/>
          <w:i/>
          <w:sz w:val="27"/>
          <w:szCs w:val="27"/>
          <w:lang w:val="en-US"/>
        </w:rPr>
        <w:t>Electronic evidence for the investigation of cybercrime.</w:t>
      </w:r>
      <w:proofErr w:type="gramEnd"/>
      <w:r w:rsidRPr="00C01906">
        <w:rPr>
          <w:rFonts w:ascii="Times New Roman" w:hAnsi="Times New Roman"/>
          <w:bCs/>
          <w:i/>
          <w:sz w:val="27"/>
          <w:szCs w:val="27"/>
          <w:lang w:val="en-US"/>
        </w:rPr>
        <w:t xml:space="preserve"> </w:t>
      </w:r>
      <w:proofErr w:type="gramStart"/>
      <w:r w:rsidRPr="00C01906">
        <w:rPr>
          <w:rFonts w:ascii="Times New Roman" w:hAnsi="Times New Roman"/>
          <w:bCs/>
          <w:i/>
          <w:sz w:val="27"/>
          <w:szCs w:val="27"/>
          <w:lang w:val="en-US"/>
        </w:rPr>
        <w:t>Language and hate crimes.”</w:t>
      </w:r>
      <w:proofErr w:type="gramEnd"/>
    </w:p>
    <w:p w:rsidR="00F57BF9" w:rsidRPr="00C01906" w:rsidRDefault="00F57BF9" w:rsidP="00F57BF9">
      <w:pPr>
        <w:spacing w:after="0" w:line="240" w:lineRule="auto"/>
        <w:jc w:val="both"/>
        <w:rPr>
          <w:rFonts w:ascii="Times New Roman" w:hAnsi="Times New Roman"/>
          <w:i/>
          <w:sz w:val="27"/>
          <w:szCs w:val="27"/>
          <w:lang w:val="en-US"/>
        </w:rPr>
      </w:pPr>
      <w:r w:rsidRPr="00C01906">
        <w:rPr>
          <w:rFonts w:ascii="Times New Roman" w:hAnsi="Times New Roman"/>
          <w:i/>
          <w:sz w:val="27"/>
          <w:szCs w:val="27"/>
          <w:lang w:val="en-US"/>
        </w:rPr>
        <w:t xml:space="preserve">           </w:t>
      </w:r>
    </w:p>
    <w:p w:rsidR="00F57BF9" w:rsidRPr="00C01906" w:rsidRDefault="00F57BF9" w:rsidP="00F57BF9">
      <w:pPr>
        <w:spacing w:after="0" w:line="240" w:lineRule="auto"/>
        <w:ind w:firstLine="720"/>
        <w:jc w:val="both"/>
        <w:rPr>
          <w:rFonts w:ascii="Times New Roman" w:hAnsi="Times New Roman"/>
          <w:i/>
          <w:sz w:val="27"/>
          <w:szCs w:val="27"/>
          <w:lang w:val="en-US"/>
        </w:rPr>
      </w:pPr>
    </w:p>
    <w:p w:rsidR="00F57BF9" w:rsidRPr="00C01906" w:rsidRDefault="00F57BF9" w:rsidP="00F57BF9">
      <w:pPr>
        <w:pStyle w:val="ListParagraph"/>
        <w:ind w:left="4593" w:firstLine="447"/>
        <w:jc w:val="right"/>
        <w:rPr>
          <w:rFonts w:ascii="Times New Roman" w:hAnsi="Times New Roman"/>
          <w:b/>
          <w:bCs/>
          <w:i/>
          <w:sz w:val="27"/>
          <w:szCs w:val="27"/>
          <w:lang w:val="en-US"/>
        </w:rPr>
      </w:pPr>
      <w:r w:rsidRPr="00C01906">
        <w:rPr>
          <w:rFonts w:ascii="Times New Roman" w:hAnsi="Times New Roman"/>
          <w:b/>
          <w:bCs/>
          <w:i/>
          <w:sz w:val="27"/>
          <w:szCs w:val="27"/>
          <w:lang w:val="en-US"/>
        </w:rPr>
        <w:t>15 December, 2023</w:t>
      </w:r>
    </w:p>
    <w:p w:rsidR="00F57BF9" w:rsidRPr="00C01906" w:rsidRDefault="00F57BF9" w:rsidP="00F57BF9">
      <w:pPr>
        <w:spacing w:after="0" w:line="240" w:lineRule="auto"/>
        <w:ind w:left="7200"/>
        <w:jc w:val="both"/>
        <w:rPr>
          <w:rFonts w:ascii="Times New Roman" w:hAnsi="Times New Roman"/>
          <w:i/>
          <w:sz w:val="27"/>
          <w:szCs w:val="27"/>
          <w:lang w:val="en-US"/>
        </w:rPr>
      </w:pPr>
      <w:r w:rsidRPr="00C01906">
        <w:rPr>
          <w:rFonts w:ascii="Times New Roman" w:hAnsi="Times New Roman"/>
          <w:i/>
          <w:sz w:val="27"/>
          <w:szCs w:val="27"/>
          <w:lang w:val="en-US"/>
        </w:rPr>
        <w:t xml:space="preserve">       </w:t>
      </w:r>
    </w:p>
    <w:p w:rsidR="00F57BF9" w:rsidRPr="00C01906" w:rsidRDefault="00F57BF9" w:rsidP="00F57BF9">
      <w:pPr>
        <w:spacing w:after="0" w:line="240" w:lineRule="auto"/>
        <w:ind w:firstLine="720"/>
        <w:jc w:val="both"/>
        <w:rPr>
          <w:rFonts w:ascii="Times New Roman" w:hAnsi="Times New Roman"/>
          <w:sz w:val="27"/>
          <w:szCs w:val="27"/>
          <w:lang w:val="en-US"/>
        </w:rPr>
      </w:pPr>
    </w:p>
    <w:p w:rsidR="00F57BF9" w:rsidRPr="00C01906" w:rsidRDefault="00F57BF9" w:rsidP="00F57BF9">
      <w:pPr>
        <w:spacing w:after="0" w:line="240" w:lineRule="auto"/>
        <w:ind w:firstLine="720"/>
        <w:jc w:val="both"/>
        <w:rPr>
          <w:rFonts w:ascii="Times New Roman" w:hAnsi="Times New Roman"/>
          <w:sz w:val="27"/>
          <w:szCs w:val="27"/>
          <w:lang w:val="en-US"/>
        </w:rPr>
      </w:pPr>
    </w:p>
    <w:p w:rsidR="00F57BF9" w:rsidRPr="00C01906" w:rsidRDefault="00F57BF9" w:rsidP="00F57BF9">
      <w:pPr>
        <w:pStyle w:val="ListParagraph"/>
        <w:ind w:left="0"/>
        <w:jc w:val="both"/>
        <w:rPr>
          <w:rFonts w:ascii="Times New Roman" w:hAnsi="Times New Roman"/>
          <w:bCs/>
          <w:sz w:val="27"/>
          <w:szCs w:val="27"/>
          <w:lang w:val="en-US"/>
        </w:rPr>
      </w:pPr>
      <w:r w:rsidRPr="00C01906">
        <w:rPr>
          <w:rFonts w:ascii="Times New Roman" w:hAnsi="Times New Roman"/>
          <w:bCs/>
          <w:sz w:val="27"/>
          <w:szCs w:val="27"/>
          <w:lang w:val="en-US"/>
        </w:rPr>
        <w:t xml:space="preserve">The participating panel in this training activity: </w:t>
      </w:r>
    </w:p>
    <w:p w:rsidR="00F57BF9" w:rsidRPr="00C01906" w:rsidRDefault="00F57BF9" w:rsidP="00F57BF9">
      <w:pPr>
        <w:spacing w:after="0" w:line="240" w:lineRule="auto"/>
        <w:jc w:val="both"/>
        <w:rPr>
          <w:rFonts w:ascii="Times New Roman" w:hAnsi="Times New Roman"/>
          <w:sz w:val="27"/>
          <w:szCs w:val="27"/>
          <w:lang w:val="en-US"/>
        </w:rPr>
      </w:pPr>
    </w:p>
    <w:p w:rsidR="00F57BF9" w:rsidRPr="00C01906" w:rsidRDefault="00F57BF9" w:rsidP="00F57BF9">
      <w:pPr>
        <w:numPr>
          <w:ilvl w:val="0"/>
          <w:numId w:val="11"/>
        </w:numPr>
        <w:spacing w:after="0" w:line="240" w:lineRule="auto"/>
        <w:jc w:val="both"/>
        <w:rPr>
          <w:rFonts w:ascii="Times New Roman" w:hAnsi="Times New Roman"/>
          <w:sz w:val="27"/>
          <w:szCs w:val="27"/>
          <w:lang w:val="en-US"/>
        </w:rPr>
      </w:pPr>
      <w:r w:rsidRPr="00C01906">
        <w:rPr>
          <w:rFonts w:ascii="Times New Roman" w:hAnsi="Times New Roman"/>
          <w:sz w:val="27"/>
          <w:szCs w:val="27"/>
          <w:lang w:val="en-US"/>
        </w:rPr>
        <w:t xml:space="preserve">Mr. </w:t>
      </w:r>
      <w:proofErr w:type="spellStart"/>
      <w:r w:rsidRPr="00C01906">
        <w:rPr>
          <w:rFonts w:ascii="Times New Roman" w:hAnsi="Times New Roman"/>
          <w:sz w:val="27"/>
          <w:szCs w:val="27"/>
          <w:lang w:val="en-US"/>
        </w:rPr>
        <w:t>Ylli</w:t>
      </w:r>
      <w:proofErr w:type="spellEnd"/>
      <w:r w:rsidRPr="00C01906">
        <w:rPr>
          <w:rFonts w:ascii="Times New Roman" w:hAnsi="Times New Roman"/>
          <w:sz w:val="27"/>
          <w:szCs w:val="27"/>
          <w:lang w:val="en-US"/>
        </w:rPr>
        <w:t xml:space="preserve"> </w:t>
      </w:r>
      <w:proofErr w:type="spellStart"/>
      <w:r w:rsidRPr="00C01906">
        <w:rPr>
          <w:rFonts w:ascii="Times New Roman" w:hAnsi="Times New Roman"/>
          <w:sz w:val="27"/>
          <w:szCs w:val="27"/>
          <w:lang w:val="en-US"/>
        </w:rPr>
        <w:t>Pjetërnikaj</w:t>
      </w:r>
      <w:proofErr w:type="spellEnd"/>
      <w:r w:rsidRPr="00C01906">
        <w:rPr>
          <w:rFonts w:ascii="Times New Roman" w:hAnsi="Times New Roman"/>
          <w:sz w:val="27"/>
          <w:szCs w:val="27"/>
          <w:lang w:val="en-US"/>
        </w:rPr>
        <w:t xml:space="preserve">, expert; </w:t>
      </w:r>
      <w:r w:rsidRPr="00C01906">
        <w:rPr>
          <w:rFonts w:ascii="Times New Roman" w:hAnsi="Times New Roman"/>
          <w:sz w:val="27"/>
          <w:szCs w:val="27"/>
          <w:vertAlign w:val="superscript"/>
          <w:lang w:val="en-US"/>
        </w:rPr>
        <w:footnoteReference w:id="2"/>
      </w:r>
    </w:p>
    <w:p w:rsidR="00F57BF9" w:rsidRPr="00C01906" w:rsidRDefault="00F57BF9" w:rsidP="00F57BF9">
      <w:pPr>
        <w:numPr>
          <w:ilvl w:val="0"/>
          <w:numId w:val="11"/>
        </w:numPr>
        <w:spacing w:after="0" w:line="240" w:lineRule="auto"/>
        <w:jc w:val="both"/>
        <w:rPr>
          <w:rFonts w:ascii="Times New Roman" w:hAnsi="Times New Roman"/>
          <w:b/>
          <w:bCs/>
          <w:sz w:val="27"/>
          <w:szCs w:val="27"/>
          <w:lang w:val="en-US"/>
        </w:rPr>
      </w:pPr>
      <w:r w:rsidRPr="00C01906">
        <w:rPr>
          <w:rFonts w:ascii="Times New Roman" w:hAnsi="Times New Roman"/>
          <w:bCs/>
          <w:sz w:val="27"/>
          <w:szCs w:val="27"/>
          <w:lang w:val="en-US"/>
        </w:rPr>
        <w:t xml:space="preserve">Mr.  </w:t>
      </w:r>
      <w:proofErr w:type="spellStart"/>
      <w:r w:rsidRPr="00C01906">
        <w:rPr>
          <w:rFonts w:ascii="Times New Roman" w:hAnsi="Times New Roman"/>
          <w:bCs/>
          <w:sz w:val="27"/>
          <w:szCs w:val="27"/>
          <w:lang w:val="en-US"/>
        </w:rPr>
        <w:t>Adnan</w:t>
      </w:r>
      <w:proofErr w:type="spellEnd"/>
      <w:r w:rsidRPr="00C01906">
        <w:rPr>
          <w:rFonts w:ascii="Times New Roman" w:hAnsi="Times New Roman"/>
          <w:bCs/>
          <w:sz w:val="27"/>
          <w:szCs w:val="27"/>
          <w:lang w:val="en-US"/>
        </w:rPr>
        <w:t xml:space="preserve"> </w:t>
      </w:r>
      <w:proofErr w:type="spellStart"/>
      <w:r w:rsidRPr="00C01906">
        <w:rPr>
          <w:rFonts w:ascii="Times New Roman" w:hAnsi="Times New Roman"/>
          <w:bCs/>
          <w:sz w:val="27"/>
          <w:szCs w:val="27"/>
          <w:lang w:val="en-US"/>
        </w:rPr>
        <w:t>Hoxha</w:t>
      </w:r>
      <w:proofErr w:type="spellEnd"/>
      <w:r w:rsidRPr="00C01906">
        <w:rPr>
          <w:rFonts w:ascii="Times New Roman" w:hAnsi="Times New Roman"/>
          <w:bCs/>
          <w:sz w:val="27"/>
          <w:szCs w:val="27"/>
          <w:lang w:val="en-US"/>
        </w:rPr>
        <w:t>,</w:t>
      </w:r>
      <w:r w:rsidRPr="00C01906">
        <w:rPr>
          <w:rFonts w:ascii="Times New Roman" w:hAnsi="Times New Roman"/>
          <w:b/>
          <w:bCs/>
          <w:sz w:val="27"/>
          <w:szCs w:val="27"/>
          <w:lang w:val="en-US"/>
        </w:rPr>
        <w:t xml:space="preserve"> </w:t>
      </w:r>
      <w:r w:rsidRPr="00C01906">
        <w:rPr>
          <w:rFonts w:ascii="Times New Roman" w:hAnsi="Times New Roman"/>
          <w:bCs/>
          <w:sz w:val="27"/>
          <w:szCs w:val="27"/>
          <w:lang w:val="en-US"/>
        </w:rPr>
        <w:t>facilitator</w:t>
      </w:r>
      <w:r w:rsidRPr="00C01906">
        <w:rPr>
          <w:rFonts w:ascii="Times New Roman" w:hAnsi="Times New Roman"/>
          <w:b/>
          <w:bCs/>
          <w:sz w:val="27"/>
          <w:szCs w:val="27"/>
          <w:lang w:val="en-US"/>
        </w:rPr>
        <w:t>;</w:t>
      </w:r>
      <w:r w:rsidRPr="00C01906">
        <w:rPr>
          <w:rFonts w:ascii="Times New Roman" w:hAnsi="Times New Roman"/>
          <w:bCs/>
          <w:sz w:val="27"/>
          <w:szCs w:val="27"/>
          <w:vertAlign w:val="superscript"/>
          <w:lang w:val="en-US"/>
        </w:rPr>
        <w:footnoteReference w:id="3"/>
      </w:r>
    </w:p>
    <w:p w:rsidR="00F57BF9" w:rsidRPr="00C01906" w:rsidRDefault="00F57BF9" w:rsidP="00F57BF9">
      <w:pPr>
        <w:spacing w:after="0" w:line="240" w:lineRule="auto"/>
        <w:jc w:val="both"/>
        <w:rPr>
          <w:rFonts w:ascii="Times New Roman" w:hAnsi="Times New Roman"/>
          <w:b/>
          <w:bCs/>
          <w:i/>
          <w:sz w:val="27"/>
          <w:szCs w:val="27"/>
          <w:lang w:val="en-US"/>
        </w:rPr>
      </w:pPr>
    </w:p>
    <w:p w:rsidR="00F57BF9" w:rsidRPr="00C01906" w:rsidRDefault="00F57BF9" w:rsidP="00F57BF9">
      <w:pPr>
        <w:spacing w:after="0" w:line="240" w:lineRule="auto"/>
        <w:jc w:val="both"/>
        <w:rPr>
          <w:rFonts w:ascii="Times New Roman" w:hAnsi="Times New Roman"/>
          <w:b/>
          <w:bCs/>
          <w:i/>
          <w:sz w:val="27"/>
          <w:szCs w:val="27"/>
          <w:lang w:val="en-US"/>
        </w:rPr>
      </w:pPr>
    </w:p>
    <w:p w:rsidR="00F57BF9" w:rsidRPr="00C01906" w:rsidRDefault="00F57BF9" w:rsidP="00F57BF9">
      <w:pPr>
        <w:spacing w:after="0" w:line="240" w:lineRule="auto"/>
        <w:jc w:val="both"/>
        <w:rPr>
          <w:rFonts w:ascii="Times New Roman" w:hAnsi="Times New Roman"/>
          <w:sz w:val="27"/>
          <w:szCs w:val="27"/>
          <w:lang w:val="en-US"/>
        </w:rPr>
      </w:pPr>
      <w:r w:rsidRPr="00C01906">
        <w:rPr>
          <w:rFonts w:ascii="Times New Roman" w:hAnsi="Times New Roman"/>
          <w:sz w:val="27"/>
          <w:szCs w:val="27"/>
          <w:lang w:val="en-US"/>
        </w:rPr>
        <w:t>In this activity participated 82 (eighty two) participants, among which 22 (twenty two) judges; 24 (twenty four) prosecutors; 27 (twenty seven) judicial police officers; 5 (five) candidates; 2 (two) advisors and 2 (two) investigators.</w:t>
      </w:r>
    </w:p>
    <w:p w:rsidR="00F57BF9" w:rsidRPr="00C01906" w:rsidRDefault="00F57BF9" w:rsidP="00F57BF9">
      <w:pPr>
        <w:spacing w:after="0" w:line="240" w:lineRule="auto"/>
        <w:jc w:val="both"/>
        <w:rPr>
          <w:rFonts w:ascii="Times New Roman" w:hAnsi="Times New Roman"/>
          <w:sz w:val="27"/>
          <w:szCs w:val="27"/>
          <w:lang w:val="en-US"/>
        </w:rPr>
      </w:pPr>
    </w:p>
    <w:p w:rsidR="00F57BF9" w:rsidRPr="00C01906" w:rsidRDefault="00F57BF9" w:rsidP="00F57BF9">
      <w:pPr>
        <w:pStyle w:val="ListParagraph"/>
        <w:ind w:left="0"/>
        <w:jc w:val="both"/>
        <w:rPr>
          <w:rFonts w:ascii="Times New Roman" w:hAnsi="Times New Roman"/>
          <w:b/>
          <w:bCs/>
          <w:sz w:val="27"/>
          <w:szCs w:val="27"/>
          <w:lang w:val="en-US"/>
        </w:rPr>
      </w:pPr>
      <w:r w:rsidRPr="00C01906">
        <w:rPr>
          <w:rFonts w:ascii="Times New Roman" w:hAnsi="Times New Roman"/>
          <w:b/>
          <w:bCs/>
          <w:sz w:val="27"/>
          <w:szCs w:val="27"/>
          <w:lang w:val="en-US"/>
        </w:rPr>
        <w:t xml:space="preserve">II. Elaborated cases and approaches </w:t>
      </w:r>
    </w:p>
    <w:p w:rsidR="00F57BF9" w:rsidRPr="00C01906" w:rsidRDefault="00F57BF9" w:rsidP="00F57BF9">
      <w:pPr>
        <w:spacing w:after="0" w:line="240" w:lineRule="auto"/>
        <w:ind w:firstLine="720"/>
        <w:jc w:val="both"/>
        <w:rPr>
          <w:rFonts w:ascii="Times New Roman" w:hAnsi="Times New Roman"/>
          <w:b/>
          <w:bCs/>
          <w:iCs/>
          <w:sz w:val="27"/>
          <w:szCs w:val="27"/>
          <w:lang w:val="en-US"/>
        </w:rPr>
      </w:pPr>
    </w:p>
    <w:p w:rsidR="00F57BF9" w:rsidRPr="00C01906" w:rsidRDefault="00F57BF9" w:rsidP="00F57BF9">
      <w:pPr>
        <w:numPr>
          <w:ilvl w:val="0"/>
          <w:numId w:val="7"/>
        </w:numPr>
        <w:spacing w:after="0" w:line="240" w:lineRule="auto"/>
        <w:jc w:val="both"/>
        <w:rPr>
          <w:rFonts w:ascii="Times New Roman" w:hAnsi="Times New Roman"/>
          <w:bCs/>
          <w:iCs/>
          <w:sz w:val="27"/>
          <w:szCs w:val="27"/>
          <w:lang w:val="en-US"/>
        </w:rPr>
      </w:pPr>
      <w:r w:rsidRPr="00C01906">
        <w:rPr>
          <w:rFonts w:ascii="Times New Roman" w:hAnsi="Times New Roman"/>
          <w:bCs/>
          <w:iCs/>
          <w:sz w:val="27"/>
          <w:szCs w:val="27"/>
          <w:lang w:val="en-US"/>
        </w:rPr>
        <w:lastRenderedPageBreak/>
        <w:t xml:space="preserve">The need for regulatory intervention on the purpose of providing a fair balance between the freedom of speech and an efficient fight versus acts of racist or xenophobic nature done through computer systems. </w:t>
      </w:r>
    </w:p>
    <w:p w:rsidR="00F57BF9" w:rsidRPr="00C01906" w:rsidRDefault="00F57BF9" w:rsidP="00F57BF9">
      <w:pPr>
        <w:numPr>
          <w:ilvl w:val="0"/>
          <w:numId w:val="7"/>
        </w:numPr>
        <w:spacing w:after="0" w:line="240" w:lineRule="auto"/>
        <w:jc w:val="both"/>
        <w:rPr>
          <w:rFonts w:ascii="Times New Roman" w:hAnsi="Times New Roman"/>
          <w:bCs/>
          <w:iCs/>
          <w:sz w:val="27"/>
          <w:szCs w:val="27"/>
          <w:lang w:val="en-US"/>
        </w:rPr>
      </w:pPr>
      <w:r w:rsidRPr="00C01906">
        <w:rPr>
          <w:rFonts w:ascii="Times New Roman" w:hAnsi="Times New Roman"/>
          <w:bCs/>
          <w:sz w:val="27"/>
          <w:szCs w:val="27"/>
          <w:lang w:val="en-US"/>
        </w:rPr>
        <w:t xml:space="preserve">International instruments with compulsory and non-compulsory power for the judicial – criminal protection from phenomena of racism and xenophobia widely spread/ accomplished through computer systems. </w:t>
      </w:r>
    </w:p>
    <w:p w:rsidR="00F57BF9" w:rsidRPr="00C01906" w:rsidRDefault="00F57BF9" w:rsidP="00F57BF9">
      <w:pPr>
        <w:spacing w:after="0" w:line="240" w:lineRule="auto"/>
        <w:jc w:val="both"/>
        <w:rPr>
          <w:rFonts w:ascii="Times New Roman" w:hAnsi="Times New Roman"/>
          <w:b/>
          <w:i/>
          <w:sz w:val="27"/>
          <w:szCs w:val="27"/>
          <w:lang w:val="en-US"/>
        </w:rPr>
      </w:pPr>
    </w:p>
    <w:p w:rsidR="00F57BF9" w:rsidRPr="00C01906" w:rsidRDefault="00F57BF9" w:rsidP="00F57BF9">
      <w:pPr>
        <w:spacing w:after="0" w:line="240" w:lineRule="auto"/>
        <w:jc w:val="both"/>
        <w:rPr>
          <w:rFonts w:ascii="Times New Roman" w:hAnsi="Times New Roman"/>
          <w:sz w:val="27"/>
          <w:szCs w:val="27"/>
          <w:lang w:val="en-US"/>
        </w:rPr>
      </w:pPr>
      <w:r w:rsidRPr="00C01906">
        <w:rPr>
          <w:rFonts w:ascii="Times New Roman" w:hAnsi="Times New Roman"/>
          <w:sz w:val="27"/>
          <w:szCs w:val="27"/>
          <w:lang w:val="en-US"/>
        </w:rPr>
        <w:t xml:space="preserve">Computer systems are a very important element, because they gave a chance to the freedom of speech and communication all over the world. However, they have the risk of abuse with the freedom of expression through racist or xenophobic propaganda. In itself racism and xenophobia or the language of hate are violations of human fundamental rights and freedoms and constitute a threat to the rule of law and political stability in the world. Consequently, it was necessary the creation of a fair balance between the realization of the freedom of expression and an efficient war in the direction of national and international criminalization of the acts of racist or xenophobic nature, done through computer  systems. </w:t>
      </w:r>
    </w:p>
    <w:p w:rsidR="00F57BF9" w:rsidRPr="00C01906" w:rsidRDefault="00F57BF9" w:rsidP="00F57BF9">
      <w:pPr>
        <w:spacing w:after="0" w:line="240" w:lineRule="auto"/>
        <w:jc w:val="both"/>
        <w:rPr>
          <w:rFonts w:ascii="Times New Roman" w:hAnsi="Times New Roman"/>
          <w:sz w:val="27"/>
          <w:szCs w:val="27"/>
          <w:lang w:val="en-US"/>
        </w:rPr>
      </w:pPr>
      <w:r w:rsidRPr="00C01906">
        <w:rPr>
          <w:rFonts w:ascii="Times New Roman" w:hAnsi="Times New Roman"/>
          <w:sz w:val="27"/>
          <w:szCs w:val="27"/>
          <w:lang w:val="en-US"/>
        </w:rPr>
        <w:t xml:space="preserve">From foreign states, the existing legislation provides traditional resolution for judicial – criminal protection from phenomena of racism and xenophobia. However, the application of these provisions was not adequate; consequently it was necessary to progress through the approval of a specific legislation that regulated these criminal behaviors. In the international ground are approved a number of instruments with forcing authority from the Council of Europe, the European Union and the United Nations Organization, etc., out of which in the training were analyzed and discussed:  </w:t>
      </w:r>
    </w:p>
    <w:p w:rsidR="00F57BF9" w:rsidRPr="00C01906" w:rsidRDefault="00F57BF9" w:rsidP="00F57BF9">
      <w:pPr>
        <w:spacing w:after="0" w:line="240" w:lineRule="auto"/>
        <w:jc w:val="both"/>
        <w:rPr>
          <w:rFonts w:ascii="Times New Roman" w:hAnsi="Times New Roman"/>
          <w:sz w:val="27"/>
          <w:szCs w:val="27"/>
          <w:lang w:val="en-US"/>
        </w:rPr>
      </w:pPr>
    </w:p>
    <w:p w:rsidR="00F57BF9" w:rsidRPr="00C01906" w:rsidRDefault="00F57BF9" w:rsidP="00F57BF9">
      <w:pPr>
        <w:pStyle w:val="NoSpacing"/>
        <w:jc w:val="both"/>
        <w:rPr>
          <w:rFonts w:ascii="Times New Roman" w:hAnsi="Times New Roman"/>
          <w:kern w:val="36"/>
          <w:sz w:val="27"/>
          <w:szCs w:val="27"/>
        </w:rPr>
      </w:pPr>
      <w:r w:rsidRPr="00C01906">
        <w:rPr>
          <w:rFonts w:ascii="Times New Roman" w:hAnsi="Times New Roman"/>
          <w:kern w:val="36"/>
          <w:sz w:val="27"/>
          <w:szCs w:val="27"/>
        </w:rPr>
        <w:t xml:space="preserve">The Council of Europe Convention on preventing and combating violence against women and domestic violence, (Istanbul Convention, 11 May, 2011). </w:t>
      </w:r>
    </w:p>
    <w:p w:rsidR="00F57BF9" w:rsidRPr="00C01906" w:rsidRDefault="00F57BF9" w:rsidP="00F57BF9">
      <w:pPr>
        <w:spacing w:after="0" w:line="240" w:lineRule="auto"/>
        <w:jc w:val="both"/>
        <w:rPr>
          <w:rFonts w:ascii="Times New Roman" w:hAnsi="Times New Roman"/>
          <w:sz w:val="27"/>
          <w:szCs w:val="27"/>
          <w:lang w:val="en-US"/>
        </w:rPr>
      </w:pPr>
    </w:p>
    <w:p w:rsidR="00F57BF9" w:rsidRPr="00C01906" w:rsidRDefault="00F57BF9" w:rsidP="00F57BF9">
      <w:pPr>
        <w:spacing w:after="0" w:line="240" w:lineRule="auto"/>
        <w:ind w:firstLine="720"/>
        <w:jc w:val="both"/>
        <w:rPr>
          <w:rFonts w:ascii="Times New Roman" w:hAnsi="Times New Roman"/>
          <w:sz w:val="27"/>
          <w:szCs w:val="27"/>
          <w:lang w:val="en-US"/>
        </w:rPr>
      </w:pPr>
    </w:p>
    <w:p w:rsidR="00F57BF9" w:rsidRPr="00C01906" w:rsidRDefault="00F57BF9" w:rsidP="00F57BF9">
      <w:pPr>
        <w:spacing w:after="0" w:line="240" w:lineRule="auto"/>
        <w:jc w:val="both"/>
        <w:rPr>
          <w:rFonts w:ascii="Times New Roman" w:hAnsi="Times New Roman"/>
          <w:sz w:val="27"/>
          <w:szCs w:val="27"/>
          <w:lang w:val="en-US"/>
        </w:rPr>
      </w:pPr>
      <w:r w:rsidRPr="00C01906">
        <w:rPr>
          <w:rFonts w:ascii="Times New Roman" w:hAnsi="Times New Roman"/>
          <w:b/>
          <w:sz w:val="27"/>
          <w:szCs w:val="27"/>
          <w:lang w:val="en-US"/>
        </w:rPr>
        <w:t>From the Council of Europe</w:t>
      </w:r>
      <w:r w:rsidRPr="00C01906">
        <w:rPr>
          <w:rFonts w:ascii="Times New Roman" w:hAnsi="Times New Roman"/>
          <w:sz w:val="27"/>
          <w:szCs w:val="27"/>
          <w:lang w:val="en-US"/>
        </w:rPr>
        <w:t xml:space="preserve">: </w:t>
      </w:r>
    </w:p>
    <w:p w:rsidR="00F57BF9" w:rsidRPr="00C01906" w:rsidRDefault="00F57BF9" w:rsidP="00F57BF9">
      <w:pPr>
        <w:numPr>
          <w:ilvl w:val="0"/>
          <w:numId w:val="2"/>
        </w:numPr>
        <w:spacing w:after="0" w:line="240" w:lineRule="auto"/>
        <w:ind w:left="720"/>
        <w:jc w:val="both"/>
        <w:rPr>
          <w:rFonts w:ascii="Times New Roman" w:hAnsi="Times New Roman"/>
          <w:sz w:val="27"/>
          <w:szCs w:val="27"/>
          <w:lang w:val="en-US"/>
        </w:rPr>
      </w:pPr>
      <w:r w:rsidRPr="00C01906">
        <w:rPr>
          <w:rFonts w:ascii="Times New Roman" w:hAnsi="Times New Roman"/>
          <w:sz w:val="27"/>
          <w:szCs w:val="27"/>
          <w:lang w:val="en-US"/>
        </w:rPr>
        <w:t xml:space="preserve">The Convention for the Protection of Human Rights and Fundamental Freedoms, Rome, 1950.   </w:t>
      </w:r>
    </w:p>
    <w:p w:rsidR="00F57BF9" w:rsidRPr="00C01906" w:rsidRDefault="00F57BF9" w:rsidP="00F57BF9">
      <w:pPr>
        <w:numPr>
          <w:ilvl w:val="0"/>
          <w:numId w:val="2"/>
        </w:numPr>
        <w:spacing w:after="0" w:line="240" w:lineRule="auto"/>
        <w:ind w:left="720"/>
        <w:jc w:val="both"/>
        <w:rPr>
          <w:rFonts w:ascii="Times New Roman" w:hAnsi="Times New Roman"/>
          <w:sz w:val="27"/>
          <w:szCs w:val="27"/>
          <w:lang w:val="en-US"/>
        </w:rPr>
      </w:pPr>
      <w:bookmarkStart w:id="1" w:name="_Hlk159180079"/>
      <w:r w:rsidRPr="00C01906">
        <w:rPr>
          <w:rFonts w:ascii="Times New Roman" w:hAnsi="Times New Roman"/>
          <w:kern w:val="36"/>
          <w:sz w:val="27"/>
          <w:szCs w:val="27"/>
          <w:lang w:val="en-US"/>
        </w:rPr>
        <w:t xml:space="preserve">The Council of Europe Convention on preventing and combating violence against women and domestic violence, (Istanbul Convention, 11 May, 2011). </w:t>
      </w:r>
      <w:bookmarkEnd w:id="1"/>
    </w:p>
    <w:p w:rsidR="00F57BF9" w:rsidRPr="00C01906" w:rsidRDefault="00F57BF9" w:rsidP="00F57BF9">
      <w:pPr>
        <w:numPr>
          <w:ilvl w:val="0"/>
          <w:numId w:val="2"/>
        </w:numPr>
        <w:spacing w:after="0" w:line="240" w:lineRule="auto"/>
        <w:ind w:left="720"/>
        <w:jc w:val="both"/>
        <w:rPr>
          <w:rFonts w:ascii="Times New Roman" w:hAnsi="Times New Roman"/>
          <w:sz w:val="27"/>
          <w:szCs w:val="27"/>
          <w:lang w:val="en-US"/>
        </w:rPr>
      </w:pPr>
      <w:r w:rsidRPr="00C01906">
        <w:rPr>
          <w:rFonts w:ascii="Times New Roman" w:hAnsi="Times New Roman"/>
          <w:sz w:val="27"/>
          <w:szCs w:val="27"/>
          <w:shd w:val="clear" w:color="auto" w:fill="FFFFFF"/>
          <w:lang w:val="en-US"/>
        </w:rPr>
        <w:t xml:space="preserve">The Council of Europe Convention on the Protection of Children </w:t>
      </w:r>
      <w:proofErr w:type="gramStart"/>
      <w:r w:rsidRPr="00C01906">
        <w:rPr>
          <w:rFonts w:ascii="Times New Roman" w:hAnsi="Times New Roman"/>
          <w:sz w:val="27"/>
          <w:szCs w:val="27"/>
          <w:shd w:val="clear" w:color="auto" w:fill="FFFFFF"/>
          <w:lang w:val="en-US"/>
        </w:rPr>
        <w:t>Against</w:t>
      </w:r>
      <w:proofErr w:type="gramEnd"/>
      <w:r w:rsidRPr="00C01906">
        <w:rPr>
          <w:rFonts w:ascii="Times New Roman" w:hAnsi="Times New Roman"/>
          <w:sz w:val="27"/>
          <w:szCs w:val="27"/>
          <w:shd w:val="clear" w:color="auto" w:fill="FFFFFF"/>
          <w:lang w:val="en-US"/>
        </w:rPr>
        <w:t xml:space="preserve"> Sexual Exploitation and Sexual Abuse,</w:t>
      </w:r>
      <w:r w:rsidRPr="00C01906">
        <w:rPr>
          <w:rFonts w:ascii="Times New Roman" w:hAnsi="Times New Roman"/>
          <w:sz w:val="27"/>
          <w:szCs w:val="27"/>
          <w:lang w:val="en-US"/>
        </w:rPr>
        <w:t xml:space="preserve"> (</w:t>
      </w:r>
      <w:proofErr w:type="spellStart"/>
      <w:r w:rsidRPr="00C01906">
        <w:rPr>
          <w:rFonts w:ascii="Times New Roman" w:hAnsi="Times New Roman"/>
          <w:sz w:val="27"/>
          <w:szCs w:val="27"/>
          <w:shd w:val="clear" w:color="auto" w:fill="FFFFFF"/>
          <w:lang w:val="en-US"/>
        </w:rPr>
        <w:t>Lanzarote</w:t>
      </w:r>
      <w:proofErr w:type="spellEnd"/>
      <w:r w:rsidRPr="00C01906">
        <w:rPr>
          <w:rFonts w:ascii="Times New Roman" w:hAnsi="Times New Roman"/>
          <w:sz w:val="27"/>
          <w:szCs w:val="27"/>
          <w:shd w:val="clear" w:color="auto" w:fill="FFFFFF"/>
          <w:lang w:val="en-US"/>
        </w:rPr>
        <w:t xml:space="preserve"> Convention</w:t>
      </w:r>
      <w:r w:rsidRPr="00C01906">
        <w:rPr>
          <w:rFonts w:ascii="Times New Roman" w:hAnsi="Times New Roman"/>
          <w:sz w:val="27"/>
          <w:szCs w:val="27"/>
          <w:lang w:val="en-US"/>
        </w:rPr>
        <w:t>, 27 October, 2007).</w:t>
      </w:r>
    </w:p>
    <w:p w:rsidR="00F57BF9" w:rsidRPr="00C01906" w:rsidRDefault="00F57BF9" w:rsidP="00F57BF9">
      <w:pPr>
        <w:numPr>
          <w:ilvl w:val="0"/>
          <w:numId w:val="2"/>
        </w:numPr>
        <w:spacing w:after="0" w:line="240" w:lineRule="auto"/>
        <w:ind w:left="720"/>
        <w:jc w:val="both"/>
        <w:rPr>
          <w:rFonts w:ascii="Times New Roman" w:hAnsi="Times New Roman"/>
          <w:sz w:val="27"/>
          <w:szCs w:val="27"/>
          <w:lang w:val="en-US"/>
        </w:rPr>
      </w:pPr>
      <w:r w:rsidRPr="00C01906">
        <w:rPr>
          <w:rFonts w:ascii="Times New Roman" w:hAnsi="Times New Roman"/>
          <w:sz w:val="27"/>
          <w:szCs w:val="27"/>
          <w:lang w:val="en-US"/>
        </w:rPr>
        <w:t xml:space="preserve">European Convention on the Compensation of Victims of Violent Crimes, Strasbourg, </w:t>
      </w:r>
      <w:proofErr w:type="gramStart"/>
      <w:r w:rsidRPr="00C01906">
        <w:rPr>
          <w:rFonts w:ascii="Times New Roman" w:hAnsi="Times New Roman"/>
          <w:sz w:val="27"/>
          <w:szCs w:val="27"/>
          <w:lang w:val="en-US"/>
        </w:rPr>
        <w:t>24</w:t>
      </w:r>
      <w:proofErr w:type="gramEnd"/>
      <w:r w:rsidRPr="00C01906">
        <w:rPr>
          <w:rFonts w:ascii="Times New Roman" w:hAnsi="Times New Roman"/>
          <w:sz w:val="27"/>
          <w:szCs w:val="27"/>
          <w:lang w:val="en-US"/>
        </w:rPr>
        <w:t xml:space="preserve"> November, 1983, in whose context is elaborated the rights of victims in criminal processes of offenses that have as base the language of hate. </w:t>
      </w:r>
    </w:p>
    <w:p w:rsidR="00F57BF9" w:rsidRPr="00C01906" w:rsidRDefault="00F57BF9" w:rsidP="00F57BF9">
      <w:pPr>
        <w:numPr>
          <w:ilvl w:val="0"/>
          <w:numId w:val="2"/>
        </w:numPr>
        <w:spacing w:after="0" w:line="240" w:lineRule="auto"/>
        <w:ind w:left="720"/>
        <w:jc w:val="both"/>
        <w:rPr>
          <w:rFonts w:ascii="Times New Roman" w:hAnsi="Times New Roman"/>
          <w:sz w:val="27"/>
          <w:szCs w:val="27"/>
          <w:lang w:val="en-US"/>
        </w:rPr>
      </w:pPr>
      <w:r w:rsidRPr="00C01906">
        <w:rPr>
          <w:rFonts w:ascii="Times New Roman" w:hAnsi="Times New Roman"/>
          <w:sz w:val="27"/>
          <w:szCs w:val="27"/>
          <w:lang w:val="en-US"/>
        </w:rPr>
        <w:t xml:space="preserve">Convention on Cybercrime, Budapest, 23 November, 2001 (Budapest Convention), along with its two additional Protocols. The Additional Protocol </w:t>
      </w:r>
      <w:r w:rsidRPr="00C01906">
        <w:rPr>
          <w:rFonts w:ascii="Times New Roman" w:hAnsi="Times New Roman"/>
          <w:sz w:val="27"/>
          <w:szCs w:val="27"/>
          <w:lang w:val="en-US"/>
        </w:rPr>
        <w:lastRenderedPageBreak/>
        <w:t>of the Convention on cybercrime regarding the criminalization of acts of racist and xenophobic nature committed through computer systems, (Strasbourg, 28 January, 2003), which is one of the most important instruments regarding the acts of racist and xenophobic nature committed through computer systems.</w:t>
      </w:r>
      <w:r w:rsidRPr="00C01906">
        <w:rPr>
          <w:rStyle w:val="FootnoteReference"/>
          <w:rFonts w:ascii="Times New Roman" w:hAnsi="Times New Roman"/>
          <w:bCs/>
          <w:sz w:val="27"/>
          <w:szCs w:val="27"/>
          <w:lang w:val="en-US"/>
        </w:rPr>
        <w:footnoteReference w:id="4"/>
      </w:r>
      <w:bookmarkStart w:id="2" w:name="_Hlk159180387"/>
    </w:p>
    <w:p w:rsidR="00F57BF9" w:rsidRPr="00C01906" w:rsidRDefault="00F57BF9" w:rsidP="00F57BF9">
      <w:pPr>
        <w:spacing w:after="0" w:line="240" w:lineRule="auto"/>
        <w:ind w:left="720"/>
        <w:jc w:val="both"/>
        <w:rPr>
          <w:rFonts w:ascii="Times New Roman" w:hAnsi="Times New Roman"/>
          <w:sz w:val="27"/>
          <w:szCs w:val="27"/>
          <w:lang w:val="en-US"/>
        </w:rPr>
      </w:pPr>
    </w:p>
    <w:bookmarkEnd w:id="2"/>
    <w:p w:rsidR="000D55A1" w:rsidRPr="00C01906" w:rsidRDefault="000D55A1" w:rsidP="00F57BF9">
      <w:pPr>
        <w:spacing w:after="0" w:line="240" w:lineRule="auto"/>
        <w:jc w:val="both"/>
        <w:rPr>
          <w:rFonts w:ascii="Times New Roman" w:hAnsi="Times New Roman"/>
          <w:b/>
          <w:sz w:val="27"/>
          <w:szCs w:val="27"/>
          <w:lang w:val="en-US"/>
        </w:rPr>
      </w:pPr>
    </w:p>
    <w:p w:rsidR="000D55A1" w:rsidRPr="00C01906" w:rsidRDefault="000D55A1" w:rsidP="00F57BF9">
      <w:pPr>
        <w:spacing w:after="0" w:line="240" w:lineRule="auto"/>
        <w:jc w:val="both"/>
        <w:rPr>
          <w:rFonts w:ascii="Times New Roman" w:hAnsi="Times New Roman"/>
          <w:b/>
          <w:sz w:val="27"/>
          <w:szCs w:val="27"/>
          <w:lang w:val="en-US"/>
        </w:rPr>
      </w:pPr>
    </w:p>
    <w:p w:rsidR="00F57BF9" w:rsidRPr="00C01906" w:rsidRDefault="00F57BF9" w:rsidP="00F57BF9">
      <w:pPr>
        <w:spacing w:after="0" w:line="240" w:lineRule="auto"/>
        <w:jc w:val="both"/>
        <w:rPr>
          <w:rFonts w:ascii="Times New Roman" w:hAnsi="Times New Roman"/>
          <w:b/>
          <w:bCs/>
          <w:sz w:val="27"/>
          <w:szCs w:val="27"/>
          <w:lang w:val="en-US"/>
        </w:rPr>
      </w:pPr>
      <w:r w:rsidRPr="00C01906">
        <w:rPr>
          <w:rFonts w:ascii="Times New Roman" w:hAnsi="Times New Roman"/>
          <w:b/>
          <w:sz w:val="27"/>
          <w:szCs w:val="27"/>
          <w:lang w:val="en-US"/>
        </w:rPr>
        <w:t xml:space="preserve">From the European Union: </w:t>
      </w:r>
    </w:p>
    <w:p w:rsidR="00F57BF9" w:rsidRPr="00C01906" w:rsidRDefault="00F57BF9" w:rsidP="00F57BF9">
      <w:pPr>
        <w:numPr>
          <w:ilvl w:val="0"/>
          <w:numId w:val="12"/>
        </w:numPr>
        <w:spacing w:after="0" w:line="240" w:lineRule="auto"/>
        <w:jc w:val="both"/>
        <w:rPr>
          <w:rFonts w:ascii="Times New Roman" w:hAnsi="Times New Roman"/>
          <w:bCs/>
          <w:sz w:val="27"/>
          <w:szCs w:val="27"/>
          <w:shd w:val="clear" w:color="auto" w:fill="FFFFFF"/>
          <w:lang w:val="en-US"/>
        </w:rPr>
      </w:pPr>
      <w:r w:rsidRPr="00C01906">
        <w:rPr>
          <w:rFonts w:ascii="Times New Roman" w:hAnsi="Times New Roman"/>
          <w:bCs/>
          <w:sz w:val="27"/>
          <w:szCs w:val="27"/>
          <w:shd w:val="clear" w:color="auto" w:fill="FFFFFF"/>
          <w:lang w:val="en-US"/>
        </w:rPr>
        <w:t>Council Directive 97/80/EC of 15 December 1997 on the burden of proof in cases of discrimination based on sex</w:t>
      </w:r>
      <w:r w:rsidRPr="00C01906">
        <w:rPr>
          <w:rFonts w:ascii="Times New Roman" w:hAnsi="Times New Roman"/>
          <w:bCs/>
          <w:sz w:val="27"/>
          <w:szCs w:val="27"/>
          <w:lang w:val="en-US"/>
        </w:rPr>
        <w:t>.</w:t>
      </w:r>
    </w:p>
    <w:p w:rsidR="00F57BF9" w:rsidRPr="00C01906" w:rsidRDefault="00F57BF9" w:rsidP="00F57BF9">
      <w:pPr>
        <w:numPr>
          <w:ilvl w:val="0"/>
          <w:numId w:val="12"/>
        </w:numPr>
        <w:spacing w:after="0" w:line="240" w:lineRule="auto"/>
        <w:jc w:val="both"/>
        <w:rPr>
          <w:rFonts w:ascii="Times New Roman" w:hAnsi="Times New Roman"/>
          <w:bCs/>
          <w:sz w:val="27"/>
          <w:szCs w:val="27"/>
          <w:shd w:val="clear" w:color="auto" w:fill="FFFFFF"/>
          <w:lang w:val="en-US"/>
        </w:rPr>
      </w:pPr>
      <w:r w:rsidRPr="00C01906">
        <w:rPr>
          <w:rFonts w:ascii="Times New Roman" w:hAnsi="Times New Roman"/>
          <w:sz w:val="27"/>
          <w:szCs w:val="27"/>
          <w:shd w:val="clear" w:color="auto" w:fill="FFFFFF"/>
          <w:lang w:val="en-US"/>
        </w:rPr>
        <w:t>Directive 2002/73/EC of the European Parliament and of the Council of 23 September 2002 amending Council Directive 76/207/EEC on the implementation of the principle of equal treatment for men and women as regards access to employment, vocational training and promotion, and working conditions</w:t>
      </w:r>
      <w:r w:rsidRPr="00C01906">
        <w:rPr>
          <w:rFonts w:ascii="Times New Roman" w:hAnsi="Times New Roman"/>
          <w:sz w:val="27"/>
          <w:szCs w:val="27"/>
          <w:lang w:val="en-US"/>
        </w:rPr>
        <w:t>.</w:t>
      </w:r>
    </w:p>
    <w:p w:rsidR="00F57BF9" w:rsidRPr="00C01906" w:rsidRDefault="00F57BF9" w:rsidP="00F57BF9">
      <w:pPr>
        <w:numPr>
          <w:ilvl w:val="0"/>
          <w:numId w:val="12"/>
        </w:numPr>
        <w:spacing w:after="0" w:line="240" w:lineRule="auto"/>
        <w:jc w:val="both"/>
        <w:rPr>
          <w:rFonts w:ascii="Times New Roman" w:hAnsi="Times New Roman"/>
          <w:bCs/>
          <w:sz w:val="27"/>
          <w:szCs w:val="27"/>
          <w:shd w:val="clear" w:color="auto" w:fill="FFFFFF"/>
          <w:lang w:val="en-US"/>
        </w:rPr>
      </w:pPr>
      <w:r w:rsidRPr="00C01906">
        <w:rPr>
          <w:rFonts w:ascii="Times New Roman" w:hAnsi="Times New Roman"/>
          <w:sz w:val="27"/>
          <w:szCs w:val="27"/>
          <w:shd w:val="clear" w:color="auto" w:fill="FFFFFF"/>
          <w:lang w:val="en-US"/>
        </w:rPr>
        <w:t>Council Directive 2004/113/EC of 13 December 2004 implementing the principle of equal treatment between men and women in the access to and supply of goods and services</w:t>
      </w:r>
      <w:r w:rsidRPr="00C01906">
        <w:rPr>
          <w:rFonts w:ascii="Times New Roman" w:hAnsi="Times New Roman"/>
          <w:sz w:val="27"/>
          <w:szCs w:val="27"/>
          <w:lang w:val="en-US"/>
        </w:rPr>
        <w:t>.</w:t>
      </w:r>
    </w:p>
    <w:p w:rsidR="00F57BF9" w:rsidRPr="00C01906" w:rsidRDefault="00F57BF9" w:rsidP="00F57BF9">
      <w:pPr>
        <w:numPr>
          <w:ilvl w:val="0"/>
          <w:numId w:val="12"/>
        </w:numPr>
        <w:spacing w:after="0" w:line="240" w:lineRule="auto"/>
        <w:jc w:val="both"/>
        <w:rPr>
          <w:rFonts w:ascii="Times New Roman" w:hAnsi="Times New Roman"/>
          <w:bCs/>
          <w:sz w:val="27"/>
          <w:szCs w:val="27"/>
          <w:shd w:val="clear" w:color="auto" w:fill="FFFFFF"/>
          <w:lang w:val="en-US"/>
        </w:rPr>
      </w:pPr>
      <w:r w:rsidRPr="00C01906">
        <w:rPr>
          <w:rFonts w:ascii="Times New Roman" w:hAnsi="Times New Roman"/>
          <w:bCs/>
          <w:sz w:val="27"/>
          <w:szCs w:val="27"/>
          <w:shd w:val="clear" w:color="auto" w:fill="FFFFFF"/>
          <w:lang w:val="en-US"/>
        </w:rPr>
        <w:t>2001/220/JHA: Council Framework Decision of 15 March 2001 on the standing of victims in criminal proceedings</w:t>
      </w:r>
      <w:r w:rsidRPr="00C01906">
        <w:rPr>
          <w:rFonts w:ascii="Times New Roman" w:hAnsi="Times New Roman"/>
          <w:bCs/>
          <w:sz w:val="27"/>
          <w:szCs w:val="27"/>
          <w:lang w:val="en-US"/>
        </w:rPr>
        <w:t>.</w:t>
      </w:r>
    </w:p>
    <w:p w:rsidR="00F57BF9" w:rsidRPr="00C01906" w:rsidRDefault="00F57BF9" w:rsidP="00F57BF9">
      <w:pPr>
        <w:numPr>
          <w:ilvl w:val="0"/>
          <w:numId w:val="12"/>
        </w:numPr>
        <w:spacing w:after="0" w:line="240" w:lineRule="auto"/>
        <w:jc w:val="both"/>
        <w:rPr>
          <w:rFonts w:ascii="Times New Roman" w:hAnsi="Times New Roman"/>
          <w:bCs/>
          <w:sz w:val="27"/>
          <w:szCs w:val="27"/>
          <w:shd w:val="clear" w:color="auto" w:fill="FFFFFF"/>
          <w:lang w:val="en-US"/>
        </w:rPr>
      </w:pPr>
      <w:r w:rsidRPr="00C01906">
        <w:rPr>
          <w:rFonts w:ascii="Times New Roman" w:hAnsi="Times New Roman"/>
          <w:sz w:val="27"/>
          <w:szCs w:val="27"/>
          <w:lang w:val="en-US"/>
        </w:rPr>
        <w:t>Council Recommendation of 31 May 2007 on the prevention of injury and the promotion of safety.</w:t>
      </w:r>
    </w:p>
    <w:p w:rsidR="00F57BF9" w:rsidRPr="00C01906" w:rsidRDefault="00F57BF9" w:rsidP="00F57BF9">
      <w:pPr>
        <w:numPr>
          <w:ilvl w:val="0"/>
          <w:numId w:val="12"/>
        </w:numPr>
        <w:spacing w:after="0" w:line="240" w:lineRule="auto"/>
        <w:jc w:val="both"/>
        <w:rPr>
          <w:rFonts w:ascii="Times New Roman" w:hAnsi="Times New Roman"/>
          <w:bCs/>
          <w:sz w:val="27"/>
          <w:szCs w:val="27"/>
          <w:shd w:val="clear" w:color="auto" w:fill="FFFFFF"/>
          <w:lang w:val="en-US"/>
        </w:rPr>
      </w:pPr>
      <w:r w:rsidRPr="00C01906">
        <w:rPr>
          <w:rFonts w:ascii="Times New Roman" w:hAnsi="Times New Roman"/>
          <w:sz w:val="27"/>
          <w:szCs w:val="27"/>
          <w:shd w:val="clear" w:color="auto" w:fill="FFFFFF"/>
          <w:lang w:val="en-US"/>
        </w:rPr>
        <w:t>Council Framework Decision 2008/913/JHA of 28 November 2008 on combating certain forms and expressions of racism and xenophobia by means of criminal law</w:t>
      </w:r>
      <w:r w:rsidRPr="00C01906">
        <w:rPr>
          <w:rFonts w:ascii="Times New Roman" w:hAnsi="Times New Roman"/>
          <w:sz w:val="27"/>
          <w:szCs w:val="27"/>
          <w:lang w:val="en-US"/>
        </w:rPr>
        <w:t xml:space="preserve">.   </w:t>
      </w:r>
    </w:p>
    <w:p w:rsidR="00F57BF9" w:rsidRPr="00C01906" w:rsidRDefault="00F57BF9" w:rsidP="00F57BF9">
      <w:pPr>
        <w:spacing w:after="0" w:line="240" w:lineRule="auto"/>
        <w:ind w:left="720"/>
        <w:jc w:val="both"/>
        <w:rPr>
          <w:rFonts w:ascii="Times New Roman" w:hAnsi="Times New Roman"/>
          <w:b/>
          <w:bCs/>
          <w:sz w:val="27"/>
          <w:szCs w:val="27"/>
          <w:lang w:val="en-US"/>
        </w:rPr>
      </w:pPr>
    </w:p>
    <w:p w:rsidR="00F57BF9" w:rsidRPr="00C01906" w:rsidRDefault="00F57BF9" w:rsidP="00F57BF9">
      <w:pPr>
        <w:spacing w:after="0" w:line="240" w:lineRule="auto"/>
        <w:jc w:val="both"/>
        <w:rPr>
          <w:rFonts w:ascii="Times New Roman" w:hAnsi="Times New Roman"/>
          <w:b/>
          <w:sz w:val="27"/>
          <w:szCs w:val="27"/>
          <w:lang w:val="en-US"/>
        </w:rPr>
      </w:pPr>
      <w:r w:rsidRPr="00C01906">
        <w:rPr>
          <w:rFonts w:ascii="Times New Roman" w:hAnsi="Times New Roman"/>
          <w:b/>
          <w:bCs/>
          <w:sz w:val="27"/>
          <w:szCs w:val="27"/>
          <w:lang w:val="en-US"/>
        </w:rPr>
        <w:t xml:space="preserve">As secondary legislation (non-obligatory instrument) of the Council of Europe: </w:t>
      </w:r>
    </w:p>
    <w:p w:rsidR="00F57BF9" w:rsidRPr="00C01906" w:rsidRDefault="00F57BF9" w:rsidP="00F57BF9">
      <w:pPr>
        <w:numPr>
          <w:ilvl w:val="0"/>
          <w:numId w:val="5"/>
        </w:numPr>
        <w:spacing w:after="0" w:line="240" w:lineRule="auto"/>
        <w:jc w:val="both"/>
        <w:rPr>
          <w:rFonts w:ascii="Times New Roman" w:hAnsi="Times New Roman"/>
          <w:bCs/>
          <w:sz w:val="27"/>
          <w:szCs w:val="27"/>
          <w:lang w:val="en-US"/>
        </w:rPr>
      </w:pPr>
      <w:r w:rsidRPr="00C01906">
        <w:rPr>
          <w:rFonts w:ascii="Open Sans" w:hAnsi="Open Sans"/>
          <w:sz w:val="27"/>
          <w:szCs w:val="27"/>
          <w:shd w:val="clear" w:color="auto" w:fill="FFFFFF"/>
          <w:lang w:val="en-US"/>
        </w:rPr>
        <w:t>Recommendation CM/Rec (2022)16 of the Committee of Ministers to member States on combating hate speech</w:t>
      </w:r>
      <w:r w:rsidRPr="00C01906">
        <w:rPr>
          <w:rFonts w:ascii="Times New Roman" w:hAnsi="Times New Roman"/>
          <w:bCs/>
          <w:sz w:val="27"/>
          <w:szCs w:val="27"/>
          <w:lang w:val="en-US"/>
        </w:rPr>
        <w:t xml:space="preserve">.   </w:t>
      </w:r>
    </w:p>
    <w:p w:rsidR="00F57BF9" w:rsidRPr="00C01906" w:rsidRDefault="00F57BF9" w:rsidP="00F57BF9">
      <w:pPr>
        <w:numPr>
          <w:ilvl w:val="0"/>
          <w:numId w:val="5"/>
        </w:numPr>
        <w:spacing w:after="0" w:line="240" w:lineRule="auto"/>
        <w:jc w:val="both"/>
        <w:rPr>
          <w:rFonts w:ascii="Times New Roman" w:hAnsi="Times New Roman"/>
          <w:bCs/>
          <w:sz w:val="27"/>
          <w:szCs w:val="27"/>
          <w:lang w:val="en-US"/>
        </w:rPr>
      </w:pPr>
      <w:r w:rsidRPr="00C01906">
        <w:rPr>
          <w:rFonts w:ascii="Times New Roman" w:hAnsi="Times New Roman"/>
          <w:sz w:val="27"/>
          <w:szCs w:val="27"/>
          <w:lang w:val="en-US"/>
        </w:rPr>
        <w:t>Recommendation CM/Rec (2019)1 of the Committee of Ministers to member States on preventing and combating sexism</w:t>
      </w:r>
      <w:r w:rsidRPr="00C01906">
        <w:rPr>
          <w:rFonts w:ascii="Times New Roman" w:hAnsi="Times New Roman"/>
          <w:bCs/>
          <w:sz w:val="27"/>
          <w:szCs w:val="27"/>
          <w:lang w:val="en-US"/>
        </w:rPr>
        <w:t>.</w:t>
      </w:r>
    </w:p>
    <w:p w:rsidR="00F57BF9" w:rsidRPr="00C01906" w:rsidRDefault="00F57BF9" w:rsidP="00F57BF9">
      <w:pPr>
        <w:numPr>
          <w:ilvl w:val="0"/>
          <w:numId w:val="5"/>
        </w:numPr>
        <w:spacing w:after="0" w:line="240" w:lineRule="auto"/>
        <w:jc w:val="both"/>
        <w:rPr>
          <w:rFonts w:ascii="Times New Roman" w:hAnsi="Times New Roman"/>
          <w:bCs/>
          <w:sz w:val="27"/>
          <w:szCs w:val="27"/>
          <w:lang w:val="en-US"/>
        </w:rPr>
      </w:pPr>
      <w:r w:rsidRPr="00C01906">
        <w:rPr>
          <w:rFonts w:ascii="Times New Roman" w:hAnsi="Times New Roman"/>
          <w:sz w:val="27"/>
          <w:szCs w:val="27"/>
          <w:lang w:val="en-US"/>
        </w:rPr>
        <w:t>Declaration by the Committee of Ministers on the legacy of the No Hate Speech Movement youth campaign, Adopted by the Committee of Ministers on 29 May 2019</w:t>
      </w:r>
      <w:r w:rsidRPr="00C01906">
        <w:rPr>
          <w:rFonts w:ascii="Times New Roman" w:hAnsi="Times New Roman"/>
          <w:bCs/>
          <w:sz w:val="27"/>
          <w:szCs w:val="27"/>
          <w:lang w:val="en-US"/>
        </w:rPr>
        <w:t>.</w:t>
      </w:r>
    </w:p>
    <w:p w:rsidR="00F57BF9" w:rsidRPr="00C01906" w:rsidRDefault="00F57BF9" w:rsidP="00F57BF9">
      <w:pPr>
        <w:numPr>
          <w:ilvl w:val="0"/>
          <w:numId w:val="5"/>
        </w:numPr>
        <w:spacing w:after="0" w:line="240" w:lineRule="auto"/>
        <w:jc w:val="both"/>
        <w:rPr>
          <w:rFonts w:ascii="Times New Roman" w:hAnsi="Times New Roman"/>
          <w:bCs/>
          <w:sz w:val="27"/>
          <w:szCs w:val="27"/>
          <w:lang w:val="en-US"/>
        </w:rPr>
      </w:pPr>
      <w:r w:rsidRPr="00C01906">
        <w:rPr>
          <w:rFonts w:ascii="Times New Roman" w:hAnsi="Times New Roman"/>
          <w:sz w:val="27"/>
          <w:szCs w:val="27"/>
          <w:shd w:val="clear" w:color="auto" w:fill="FFFFFF"/>
          <w:lang w:val="en-US"/>
        </w:rPr>
        <w:lastRenderedPageBreak/>
        <w:t>Recommendation CM/Rec (2018)2 of the Committee of Ministers to member States on the roles and responsibilities of internet intermediaries</w:t>
      </w:r>
      <w:r w:rsidRPr="00C01906">
        <w:rPr>
          <w:rFonts w:ascii="Times New Roman" w:hAnsi="Times New Roman"/>
          <w:bCs/>
          <w:sz w:val="27"/>
          <w:szCs w:val="27"/>
          <w:lang w:val="en-US"/>
        </w:rPr>
        <w:t xml:space="preserve">. </w:t>
      </w:r>
    </w:p>
    <w:p w:rsidR="00F57BF9" w:rsidRPr="00C01906" w:rsidRDefault="00F57BF9" w:rsidP="00F57BF9">
      <w:pPr>
        <w:numPr>
          <w:ilvl w:val="0"/>
          <w:numId w:val="5"/>
        </w:numPr>
        <w:spacing w:after="0" w:line="240" w:lineRule="auto"/>
        <w:jc w:val="both"/>
        <w:rPr>
          <w:rFonts w:ascii="Times New Roman" w:hAnsi="Times New Roman"/>
          <w:bCs/>
          <w:sz w:val="27"/>
          <w:szCs w:val="27"/>
          <w:lang w:val="en-US"/>
        </w:rPr>
      </w:pPr>
      <w:r w:rsidRPr="00C01906">
        <w:rPr>
          <w:rFonts w:ascii="Open Sans" w:hAnsi="Open Sans"/>
          <w:sz w:val="27"/>
          <w:szCs w:val="27"/>
          <w:shd w:val="clear" w:color="auto" w:fill="FFFFFF"/>
          <w:lang w:val="en-US"/>
        </w:rPr>
        <w:t>Recommendation No. R (97) 20 of the Committee of Ministers to member states on “hate speech”</w:t>
      </w:r>
      <w:r w:rsidRPr="00C01906">
        <w:rPr>
          <w:rFonts w:ascii="Times New Roman" w:hAnsi="Times New Roman"/>
          <w:bCs/>
          <w:sz w:val="27"/>
          <w:szCs w:val="27"/>
          <w:lang w:val="en-US"/>
        </w:rPr>
        <w:t xml:space="preserve">. </w:t>
      </w:r>
    </w:p>
    <w:p w:rsidR="00F57BF9" w:rsidRPr="00C01906" w:rsidRDefault="00F57BF9" w:rsidP="00F57BF9">
      <w:pPr>
        <w:numPr>
          <w:ilvl w:val="0"/>
          <w:numId w:val="5"/>
        </w:numPr>
        <w:spacing w:after="0" w:line="240" w:lineRule="auto"/>
        <w:jc w:val="both"/>
        <w:rPr>
          <w:rFonts w:ascii="Times New Roman" w:hAnsi="Times New Roman"/>
          <w:bCs/>
          <w:sz w:val="27"/>
          <w:szCs w:val="27"/>
          <w:lang w:val="en-US"/>
        </w:rPr>
      </w:pPr>
      <w:r w:rsidRPr="00C01906">
        <w:rPr>
          <w:rFonts w:ascii="Open Sans" w:hAnsi="Open Sans"/>
          <w:sz w:val="27"/>
          <w:szCs w:val="27"/>
          <w:shd w:val="clear" w:color="auto" w:fill="FFFFFF"/>
          <w:lang w:val="en-US"/>
        </w:rPr>
        <w:t>Recommendation No. R (97) 21 of the Committee of Ministers to member states on the media and the promotion of a culture of tolerance</w:t>
      </w:r>
      <w:r w:rsidRPr="00C01906">
        <w:rPr>
          <w:rFonts w:ascii="Times New Roman" w:hAnsi="Times New Roman"/>
          <w:bCs/>
          <w:sz w:val="27"/>
          <w:szCs w:val="27"/>
          <w:lang w:val="en-US"/>
        </w:rPr>
        <w:t xml:space="preserve">. </w:t>
      </w:r>
    </w:p>
    <w:p w:rsidR="00F57BF9" w:rsidRPr="00C01906" w:rsidRDefault="00F57BF9" w:rsidP="00F57BF9">
      <w:pPr>
        <w:spacing w:after="0" w:line="240" w:lineRule="auto"/>
        <w:ind w:firstLine="720"/>
        <w:jc w:val="both"/>
        <w:rPr>
          <w:rFonts w:ascii="Times New Roman" w:hAnsi="Times New Roman"/>
          <w:bCs/>
          <w:sz w:val="27"/>
          <w:szCs w:val="27"/>
          <w:lang w:val="en-US"/>
        </w:rPr>
      </w:pPr>
    </w:p>
    <w:p w:rsidR="00F57BF9" w:rsidRPr="00C01906" w:rsidRDefault="00F57BF9" w:rsidP="00F57BF9">
      <w:pPr>
        <w:spacing w:after="0" w:line="240" w:lineRule="auto"/>
        <w:ind w:firstLine="360"/>
        <w:jc w:val="both"/>
        <w:rPr>
          <w:rFonts w:ascii="Times New Roman" w:hAnsi="Times New Roman"/>
          <w:b/>
          <w:bCs/>
          <w:sz w:val="27"/>
          <w:szCs w:val="27"/>
          <w:lang w:val="en-US"/>
        </w:rPr>
      </w:pPr>
      <w:r w:rsidRPr="00C01906">
        <w:rPr>
          <w:rFonts w:ascii="Times New Roman" w:hAnsi="Times New Roman"/>
          <w:b/>
          <w:bCs/>
          <w:sz w:val="27"/>
          <w:szCs w:val="27"/>
          <w:lang w:val="en-US"/>
        </w:rPr>
        <w:t>2) Legislation in Albania</w:t>
      </w:r>
      <w:r w:rsidRPr="00C01906">
        <w:rPr>
          <w:rStyle w:val="FootnoteReference"/>
          <w:rFonts w:ascii="Times New Roman" w:hAnsi="Times New Roman"/>
          <w:b/>
          <w:bCs/>
          <w:sz w:val="27"/>
          <w:szCs w:val="27"/>
          <w:lang w:val="en-US"/>
        </w:rPr>
        <w:footnoteReference w:id="5"/>
      </w:r>
    </w:p>
    <w:p w:rsidR="00F57BF9" w:rsidRPr="00C01906" w:rsidRDefault="00F57BF9" w:rsidP="00F57BF9">
      <w:pPr>
        <w:spacing w:after="0" w:line="240" w:lineRule="auto"/>
        <w:ind w:firstLine="720"/>
        <w:jc w:val="both"/>
        <w:rPr>
          <w:rFonts w:ascii="Times New Roman" w:hAnsi="Times New Roman"/>
          <w:b/>
          <w:bCs/>
          <w:sz w:val="27"/>
          <w:szCs w:val="27"/>
          <w:lang w:val="en-US"/>
        </w:rPr>
      </w:pPr>
    </w:p>
    <w:p w:rsidR="00F57BF9" w:rsidRPr="00C01906" w:rsidRDefault="00F57BF9" w:rsidP="00F57BF9">
      <w:pPr>
        <w:spacing w:after="0" w:line="240" w:lineRule="auto"/>
        <w:jc w:val="both"/>
        <w:rPr>
          <w:rFonts w:ascii="Times New Roman" w:hAnsi="Times New Roman"/>
          <w:bCs/>
          <w:sz w:val="27"/>
          <w:szCs w:val="27"/>
          <w:lang w:val="en-US"/>
        </w:rPr>
      </w:pPr>
      <w:r w:rsidRPr="00C01906">
        <w:rPr>
          <w:rFonts w:ascii="Times New Roman" w:hAnsi="Times New Roman"/>
          <w:bCs/>
          <w:sz w:val="27"/>
          <w:szCs w:val="27"/>
          <w:lang w:val="en-US"/>
        </w:rPr>
        <w:t xml:space="preserve">In the Republic of Albania, the legal framework that elaborates the act of racist or xenophobic nature begins firstly with law no. 9262, date 29.7.2004, through which was ratified the additional protocol on cyber crime,  </w:t>
      </w:r>
      <w:r w:rsidRPr="00C01906">
        <w:rPr>
          <w:rFonts w:ascii="Times New Roman" w:hAnsi="Times New Roman"/>
          <w:bCs/>
          <w:i/>
          <w:sz w:val="27"/>
          <w:szCs w:val="27"/>
          <w:lang w:val="en-US"/>
        </w:rPr>
        <w:t xml:space="preserve">on the criminalization of the acts of racist and xenophobic nature committed through computer systems. </w:t>
      </w:r>
      <w:r w:rsidRPr="00C01906">
        <w:rPr>
          <w:rFonts w:ascii="Times New Roman" w:hAnsi="Times New Roman"/>
          <w:bCs/>
          <w:sz w:val="27"/>
          <w:szCs w:val="27"/>
          <w:lang w:val="en-US"/>
        </w:rPr>
        <w:t xml:space="preserve">In the context of the accomplishment of these engagements that derive from the Convention of Budapest was undertaken the large cyber reform, that was enlarged even in the criminal Code, being implemented all the engagements undertaken during the adherence in these international acts. In 2008 were made also regulations of procedural aspects. So, by means of amendments done to the Criminal Code by law no. 10023, date 27.11.2008,  were foreseen for the first time those criminal offenses that were foreseen to be criminalized by the first Protocol of the Convention of Budapest, anticipating the figures of criminal offenses of the computer share of materials of pro genocide or crimes against humanity,  (Article 74/a of the CC), of the share or racist or xenophobic materials through computer system, (Article 119/a of the CC), of the threat with </w:t>
      </w:r>
      <w:proofErr w:type="spellStart"/>
      <w:r w:rsidRPr="00C01906">
        <w:rPr>
          <w:rFonts w:ascii="Times New Roman" w:hAnsi="Times New Roman"/>
          <w:bCs/>
          <w:sz w:val="27"/>
          <w:szCs w:val="27"/>
          <w:lang w:val="en-US"/>
        </w:rPr>
        <w:t>racist</w:t>
      </w:r>
      <w:proofErr w:type="spellEnd"/>
      <w:r w:rsidRPr="00C01906">
        <w:rPr>
          <w:rFonts w:ascii="Times New Roman" w:hAnsi="Times New Roman"/>
          <w:bCs/>
          <w:sz w:val="27"/>
          <w:szCs w:val="27"/>
          <w:lang w:val="en-US"/>
        </w:rPr>
        <w:t xml:space="preserve"> and xenophobia motives through computer system, (Article 84/a of the CC), of the insult with racist or xenophobic motives through computer systems, (Article 119/b of the CC).  Before the amendments of the year 2008 that continues to be in force actually, we have three figures of the criminal offense that elaborate cases of hatred and xenophobia, respectively, the inciting of hatred and of conflicts, (Article 265), the call for national hatred,(Article 266),  as well as, the violation of the equality of citizens, (Article  253). In our judicial practice, the encouragement of hatred and of conflicts is quite spread, while the call of national hatred and the violation of the parity of citizens in the context of discrimination </w:t>
      </w:r>
      <w:proofErr w:type="gramStart"/>
      <w:r w:rsidRPr="00C01906">
        <w:rPr>
          <w:rFonts w:ascii="Times New Roman" w:hAnsi="Times New Roman"/>
          <w:bCs/>
          <w:sz w:val="27"/>
          <w:szCs w:val="27"/>
          <w:lang w:val="en-US"/>
        </w:rPr>
        <w:t>is</w:t>
      </w:r>
      <w:proofErr w:type="gramEnd"/>
      <w:r w:rsidRPr="00C01906">
        <w:rPr>
          <w:rFonts w:ascii="Times New Roman" w:hAnsi="Times New Roman"/>
          <w:bCs/>
          <w:sz w:val="27"/>
          <w:szCs w:val="27"/>
          <w:lang w:val="en-US"/>
        </w:rPr>
        <w:t xml:space="preserve"> very limited.  </w:t>
      </w:r>
    </w:p>
    <w:p w:rsidR="00F57BF9" w:rsidRPr="00C01906" w:rsidRDefault="00F57BF9" w:rsidP="00F57BF9">
      <w:pPr>
        <w:spacing w:after="0" w:line="240" w:lineRule="auto"/>
        <w:jc w:val="both"/>
        <w:rPr>
          <w:rFonts w:ascii="Times New Roman" w:hAnsi="Times New Roman"/>
          <w:sz w:val="27"/>
          <w:szCs w:val="27"/>
          <w:lang w:val="en-US"/>
        </w:rPr>
      </w:pPr>
    </w:p>
    <w:p w:rsidR="00F57BF9" w:rsidRPr="00C01906" w:rsidRDefault="00F57BF9" w:rsidP="00F57BF9">
      <w:pPr>
        <w:spacing w:after="0" w:line="240" w:lineRule="auto"/>
        <w:jc w:val="both"/>
        <w:rPr>
          <w:rFonts w:ascii="Times New Roman" w:hAnsi="Times New Roman"/>
          <w:sz w:val="27"/>
          <w:szCs w:val="27"/>
          <w:lang w:val="en-US"/>
        </w:rPr>
      </w:pPr>
      <w:r w:rsidRPr="00C01906">
        <w:rPr>
          <w:rFonts w:ascii="Times New Roman" w:hAnsi="Times New Roman"/>
          <w:b/>
          <w:bCs/>
          <w:sz w:val="27"/>
          <w:szCs w:val="27"/>
          <w:lang w:val="en-US"/>
        </w:rPr>
        <w:t xml:space="preserve">3) The meaning of cyber racism, manner and forms of its expression, the challenge for the investigation and its fighting. </w:t>
      </w:r>
      <w:proofErr w:type="gramStart"/>
      <w:r w:rsidRPr="00C01906">
        <w:rPr>
          <w:rFonts w:ascii="Times New Roman" w:hAnsi="Times New Roman"/>
          <w:b/>
          <w:bCs/>
          <w:sz w:val="27"/>
          <w:szCs w:val="27"/>
          <w:lang w:val="en-US"/>
        </w:rPr>
        <w:t xml:space="preserve">Common characteristics of the </w:t>
      </w:r>
      <w:r w:rsidRPr="00C01906">
        <w:rPr>
          <w:rFonts w:ascii="Times New Roman" w:hAnsi="Times New Roman"/>
          <w:b/>
          <w:bCs/>
          <w:sz w:val="27"/>
          <w:szCs w:val="27"/>
          <w:lang w:val="en-US"/>
        </w:rPr>
        <w:lastRenderedPageBreak/>
        <w:t>acts through which is manifested cyber racism and xenophobia.</w:t>
      </w:r>
      <w:proofErr w:type="gramEnd"/>
      <w:r w:rsidRPr="00C01906">
        <w:rPr>
          <w:rFonts w:ascii="Times New Roman" w:hAnsi="Times New Roman"/>
          <w:b/>
          <w:bCs/>
          <w:sz w:val="27"/>
          <w:szCs w:val="27"/>
          <w:lang w:val="en-US"/>
        </w:rPr>
        <w:t xml:space="preserve"> </w:t>
      </w:r>
      <w:proofErr w:type="gramStart"/>
      <w:r w:rsidRPr="00C01906">
        <w:rPr>
          <w:rFonts w:ascii="Times New Roman" w:hAnsi="Times New Roman"/>
          <w:b/>
          <w:bCs/>
          <w:sz w:val="27"/>
          <w:szCs w:val="27"/>
          <w:lang w:val="en-US"/>
        </w:rPr>
        <w:t>Harmonization of criminal legislation with international legal instruments.</w:t>
      </w:r>
      <w:proofErr w:type="gramEnd"/>
      <w:r w:rsidRPr="00C01906">
        <w:rPr>
          <w:rStyle w:val="FootnoteReference"/>
          <w:rFonts w:ascii="Times New Roman" w:hAnsi="Times New Roman"/>
          <w:b/>
          <w:bCs/>
          <w:sz w:val="27"/>
          <w:szCs w:val="27"/>
          <w:lang w:val="en-US"/>
        </w:rPr>
        <w:footnoteReference w:id="6"/>
      </w:r>
    </w:p>
    <w:p w:rsidR="00F57BF9" w:rsidRPr="00C01906" w:rsidRDefault="00F57BF9" w:rsidP="00F57BF9">
      <w:pPr>
        <w:spacing w:after="0" w:line="240" w:lineRule="auto"/>
        <w:ind w:firstLine="720"/>
        <w:jc w:val="both"/>
        <w:rPr>
          <w:rFonts w:ascii="Times New Roman" w:hAnsi="Times New Roman"/>
          <w:b/>
          <w:bCs/>
          <w:sz w:val="27"/>
          <w:szCs w:val="27"/>
          <w:lang w:val="en-US"/>
        </w:rPr>
      </w:pPr>
    </w:p>
    <w:p w:rsidR="00F57BF9" w:rsidRPr="00C01906" w:rsidRDefault="00F57BF9" w:rsidP="00F57BF9">
      <w:pPr>
        <w:spacing w:after="0" w:line="240" w:lineRule="auto"/>
        <w:jc w:val="both"/>
        <w:rPr>
          <w:rFonts w:ascii="Times New Roman" w:hAnsi="Times New Roman"/>
          <w:b/>
          <w:bCs/>
          <w:i/>
          <w:sz w:val="27"/>
          <w:szCs w:val="27"/>
          <w:lang w:val="en-US"/>
        </w:rPr>
      </w:pPr>
      <w:r w:rsidRPr="00C01906">
        <w:rPr>
          <w:rFonts w:ascii="Times New Roman" w:hAnsi="Times New Roman"/>
          <w:sz w:val="27"/>
          <w:szCs w:val="27"/>
          <w:lang w:val="en-US"/>
        </w:rPr>
        <w:t xml:space="preserve">Acts of racist and xenophobic nature because of the intensity they reflect and the consequences they bring in relation to the victims have created what is called cyber racism through computer systems. </w:t>
      </w:r>
      <w:r w:rsidRPr="00C01906">
        <w:rPr>
          <w:rFonts w:ascii="Times New Roman" w:hAnsi="Times New Roman"/>
          <w:i/>
          <w:sz w:val="27"/>
          <w:szCs w:val="27"/>
          <w:lang w:val="en-US"/>
        </w:rPr>
        <w:t xml:space="preserve">Cyber racism is referred to every image, to every symbol shared to social media, including even the exchange of forums and of dedicated websites of hatred. Cyber racism is not limited only to those behaviors of conduct that are related to satire, but that, essentially, transmits threatening messages and hatred to individuals or to groups of individuals they have as target.  </w:t>
      </w:r>
      <w:r w:rsidRPr="00C01906">
        <w:rPr>
          <w:rFonts w:ascii="Times New Roman" w:hAnsi="Times New Roman"/>
          <w:sz w:val="27"/>
          <w:szCs w:val="27"/>
          <w:lang w:val="en-US"/>
        </w:rPr>
        <w:t xml:space="preserve">Cyber racism brings great challenges for their investigation, because it is permanent, is accessed and shared quickly, is almost memorized, even in those cases when we take measures to remove them from platforms they remain there and victims of cyber crimes have a permanent damage.  </w:t>
      </w:r>
    </w:p>
    <w:p w:rsidR="00F57BF9" w:rsidRPr="00C01906" w:rsidRDefault="00F57BF9" w:rsidP="00F57BF9">
      <w:pPr>
        <w:spacing w:after="0" w:line="240" w:lineRule="auto"/>
        <w:jc w:val="both"/>
        <w:rPr>
          <w:rFonts w:ascii="Times New Roman" w:hAnsi="Times New Roman"/>
          <w:b/>
          <w:bCs/>
          <w:i/>
          <w:sz w:val="27"/>
          <w:szCs w:val="27"/>
          <w:lang w:val="en-US"/>
        </w:rPr>
      </w:pPr>
      <w:r w:rsidRPr="00C01906">
        <w:rPr>
          <w:rFonts w:ascii="Times New Roman" w:hAnsi="Times New Roman"/>
          <w:sz w:val="27"/>
          <w:szCs w:val="27"/>
          <w:lang w:val="en-US"/>
        </w:rPr>
        <w:t>All the acts through which is manifested cyber racism and xenophobia have some common elements:</w:t>
      </w:r>
    </w:p>
    <w:p w:rsidR="00F57BF9" w:rsidRPr="00C01906" w:rsidRDefault="00F57BF9" w:rsidP="00F57BF9">
      <w:pPr>
        <w:spacing w:after="0" w:line="240" w:lineRule="auto"/>
        <w:jc w:val="both"/>
        <w:rPr>
          <w:rFonts w:ascii="Times New Roman" w:hAnsi="Times New Roman"/>
          <w:sz w:val="27"/>
          <w:szCs w:val="27"/>
          <w:lang w:val="en-US"/>
        </w:rPr>
      </w:pPr>
      <w:r w:rsidRPr="00C01906">
        <w:rPr>
          <w:rFonts w:ascii="Times New Roman" w:hAnsi="Times New Roman"/>
          <w:sz w:val="27"/>
          <w:szCs w:val="27"/>
          <w:lang w:val="en-US"/>
        </w:rPr>
        <w:t xml:space="preserve">Firstly, their conduct is “unfair”;  </w:t>
      </w:r>
    </w:p>
    <w:p w:rsidR="00F57BF9" w:rsidRPr="00C01906" w:rsidRDefault="00F57BF9" w:rsidP="00F57BF9">
      <w:pPr>
        <w:spacing w:after="0" w:line="240" w:lineRule="auto"/>
        <w:jc w:val="both"/>
        <w:rPr>
          <w:rFonts w:ascii="Times New Roman" w:hAnsi="Times New Roman"/>
          <w:sz w:val="27"/>
          <w:szCs w:val="27"/>
          <w:lang w:val="en-US"/>
        </w:rPr>
      </w:pPr>
      <w:r w:rsidRPr="00C01906">
        <w:rPr>
          <w:rFonts w:ascii="Times New Roman" w:hAnsi="Times New Roman"/>
          <w:sz w:val="27"/>
          <w:szCs w:val="27"/>
          <w:lang w:val="en-US"/>
        </w:rPr>
        <w:t xml:space="preserve">Secondly, racist and xenophobic acts are committed voluntarily and with a certain intention; </w:t>
      </w:r>
    </w:p>
    <w:p w:rsidR="00F57BF9" w:rsidRPr="00C01906" w:rsidRDefault="00F57BF9" w:rsidP="00F57BF9">
      <w:pPr>
        <w:spacing w:after="0" w:line="240" w:lineRule="auto"/>
        <w:jc w:val="both"/>
        <w:rPr>
          <w:rFonts w:ascii="Times New Roman" w:hAnsi="Times New Roman"/>
          <w:sz w:val="27"/>
          <w:szCs w:val="27"/>
          <w:lang w:val="en-US"/>
        </w:rPr>
      </w:pPr>
      <w:r w:rsidRPr="00C01906">
        <w:rPr>
          <w:rFonts w:ascii="Times New Roman" w:hAnsi="Times New Roman"/>
          <w:sz w:val="27"/>
          <w:szCs w:val="27"/>
          <w:lang w:val="en-US"/>
        </w:rPr>
        <w:t>Thirdly, these offenses are committed through computer systems.</w:t>
      </w:r>
    </w:p>
    <w:p w:rsidR="00F57BF9" w:rsidRPr="00C01906" w:rsidRDefault="00F57BF9" w:rsidP="00F57BF9">
      <w:pPr>
        <w:spacing w:after="0" w:line="240" w:lineRule="auto"/>
        <w:jc w:val="both"/>
        <w:rPr>
          <w:rFonts w:ascii="Times New Roman" w:hAnsi="Times New Roman"/>
          <w:sz w:val="27"/>
          <w:szCs w:val="27"/>
          <w:lang w:val="en-US"/>
        </w:rPr>
      </w:pPr>
      <w:r w:rsidRPr="00C01906">
        <w:rPr>
          <w:rFonts w:ascii="Times New Roman" w:hAnsi="Times New Roman"/>
          <w:sz w:val="27"/>
          <w:szCs w:val="27"/>
          <w:lang w:val="en-US"/>
        </w:rPr>
        <w:t>The first measure that is taken for the harmonization of criminal legislation with the Convention is the inclusion in the Criminal Code of the Article 74/a that foresees the criminal offense of the computer share of materials pro genocide and of crimes against humanity.</w:t>
      </w:r>
      <w:r w:rsidRPr="00C01906">
        <w:rPr>
          <w:rStyle w:val="FootnoteReference"/>
          <w:rFonts w:ascii="Times New Roman" w:hAnsi="Times New Roman"/>
          <w:sz w:val="27"/>
          <w:szCs w:val="27"/>
          <w:lang w:val="en-US"/>
        </w:rPr>
        <w:footnoteReference w:id="7"/>
      </w:r>
      <w:r w:rsidRPr="00C01906">
        <w:rPr>
          <w:rFonts w:ascii="Times New Roman" w:hAnsi="Times New Roman"/>
          <w:sz w:val="27"/>
          <w:szCs w:val="27"/>
          <w:lang w:val="en-US"/>
        </w:rPr>
        <w:t xml:space="preserve"> Although we have taken this provision from the additional protocol, there are some problems in its interpretation.</w:t>
      </w:r>
    </w:p>
    <w:p w:rsidR="00F57BF9" w:rsidRPr="00C01906" w:rsidRDefault="00F57BF9" w:rsidP="00F57BF9">
      <w:pPr>
        <w:spacing w:after="0" w:line="240" w:lineRule="auto"/>
        <w:jc w:val="both"/>
        <w:rPr>
          <w:rFonts w:ascii="Times New Roman" w:hAnsi="Times New Roman"/>
          <w:bCs/>
          <w:sz w:val="27"/>
          <w:szCs w:val="27"/>
          <w:lang w:val="en-US"/>
        </w:rPr>
      </w:pPr>
      <w:r w:rsidRPr="00C01906">
        <w:rPr>
          <w:rFonts w:ascii="Times New Roman" w:hAnsi="Times New Roman"/>
          <w:sz w:val="27"/>
          <w:szCs w:val="27"/>
          <w:lang w:val="en-US"/>
        </w:rPr>
        <w:t xml:space="preserve">The question that may arise in this moment regarding the acts that are considered genocide and crimes against humanity, is, first of all, on who is the competent authority that determines such a thing? Secondly, if we speak one judicial verification of the acts that are considered genocide or crimes against humanity, the judicial judgment should be of the in effect or final format? </w:t>
      </w:r>
    </w:p>
    <w:p w:rsidR="00F57BF9" w:rsidRPr="00C01906" w:rsidRDefault="00F57BF9" w:rsidP="00F57BF9">
      <w:pPr>
        <w:spacing w:after="0" w:line="240" w:lineRule="auto"/>
        <w:jc w:val="both"/>
        <w:rPr>
          <w:rFonts w:ascii="Times New Roman" w:hAnsi="Times New Roman"/>
          <w:b/>
          <w:bCs/>
          <w:sz w:val="27"/>
          <w:szCs w:val="27"/>
          <w:lang w:val="en-US"/>
        </w:rPr>
      </w:pPr>
      <w:r w:rsidRPr="00C01906">
        <w:rPr>
          <w:rFonts w:ascii="Times New Roman" w:hAnsi="Times New Roman"/>
          <w:sz w:val="27"/>
          <w:szCs w:val="27"/>
          <w:lang w:val="en-US"/>
        </w:rPr>
        <w:t xml:space="preserve">In practice there have been cases when are done denunciations, references, criminal proceedings regarding expressions that were in the favor of holocaust and is required to be done a legal qualification as criminal offences that are a share of materials through computer systems pro genocide and crimes against humanity. It results that for these acts, we take as example the Armenian genocide, </w:t>
      </w:r>
      <w:proofErr w:type="gramStart"/>
      <w:r w:rsidRPr="00C01906">
        <w:rPr>
          <w:rFonts w:ascii="Times New Roman" w:hAnsi="Times New Roman"/>
          <w:sz w:val="27"/>
          <w:szCs w:val="27"/>
          <w:lang w:val="en-US"/>
        </w:rPr>
        <w:t>we</w:t>
      </w:r>
      <w:proofErr w:type="gramEnd"/>
      <w:r w:rsidRPr="00C01906">
        <w:rPr>
          <w:rFonts w:ascii="Times New Roman" w:hAnsi="Times New Roman"/>
          <w:sz w:val="27"/>
          <w:szCs w:val="27"/>
          <w:lang w:val="en-US"/>
        </w:rPr>
        <w:t xml:space="preserve"> do not have an international court to have verified legally the occurrence of genocide in Armenia, so </w:t>
      </w:r>
      <w:r w:rsidRPr="00C01906">
        <w:rPr>
          <w:rFonts w:ascii="Times New Roman" w:hAnsi="Times New Roman"/>
          <w:sz w:val="27"/>
          <w:szCs w:val="27"/>
          <w:lang w:val="en-US"/>
        </w:rPr>
        <w:lastRenderedPageBreak/>
        <w:t xml:space="preserve">that to qualify it later with its negation as an act of pro-genocide nature, that has caused that, generally, practice should go towards the stay of the case. </w:t>
      </w:r>
    </w:p>
    <w:p w:rsidR="00F57BF9" w:rsidRPr="00C01906" w:rsidRDefault="00F57BF9" w:rsidP="00F57BF9">
      <w:pPr>
        <w:spacing w:after="0" w:line="240" w:lineRule="auto"/>
        <w:jc w:val="both"/>
        <w:rPr>
          <w:rFonts w:ascii="Times New Roman" w:hAnsi="Times New Roman"/>
          <w:b/>
          <w:bCs/>
          <w:sz w:val="27"/>
          <w:szCs w:val="27"/>
          <w:lang w:val="en-US"/>
        </w:rPr>
      </w:pPr>
      <w:r w:rsidRPr="00C01906">
        <w:rPr>
          <w:rFonts w:ascii="Times New Roman" w:hAnsi="Times New Roman"/>
          <w:sz w:val="27"/>
          <w:szCs w:val="27"/>
          <w:lang w:val="en-US"/>
        </w:rPr>
        <w:t>Should be emphasized that Article 74/a  of the Criminal Code is not completely harmonized with the Additional Protocol, since in this provision is not included the last paragraph of the Article 6 of this protocol that foresees that,  “…..</w:t>
      </w:r>
      <w:r w:rsidRPr="00C01906">
        <w:rPr>
          <w:rFonts w:ascii="Times New Roman" w:hAnsi="Times New Roman"/>
          <w:i/>
          <w:sz w:val="27"/>
          <w:szCs w:val="27"/>
          <w:lang w:val="en-US"/>
        </w:rPr>
        <w:t>according to international rights and recognized to be so through in effect and compulsory judgments of the International Military Tribunal, created by London Agreement of 8 April,</w:t>
      </w:r>
      <w:r w:rsidRPr="00C01906">
        <w:rPr>
          <w:rFonts w:ascii="Times New Roman" w:hAnsi="Times New Roman"/>
          <w:i/>
          <w:iCs/>
          <w:sz w:val="27"/>
          <w:szCs w:val="27"/>
          <w:lang w:val="en-US"/>
        </w:rPr>
        <w:t xml:space="preserve"> 1945 or of any other international tribunal, created through respective international instruments, whose jurisdictions is recognized by this member state …”. </w:t>
      </w:r>
      <w:r w:rsidRPr="00C01906">
        <w:rPr>
          <w:rFonts w:ascii="Times New Roman" w:hAnsi="Times New Roman"/>
          <w:iCs/>
          <w:sz w:val="27"/>
          <w:szCs w:val="27"/>
          <w:lang w:val="en-US"/>
        </w:rPr>
        <w:t>So, we consider that this paragraph is not transposed in Albania</w:t>
      </w:r>
      <w:r w:rsidRPr="00C01906">
        <w:rPr>
          <w:rFonts w:ascii="Times New Roman" w:hAnsi="Times New Roman"/>
          <w:i/>
          <w:iCs/>
          <w:sz w:val="27"/>
          <w:szCs w:val="27"/>
          <w:lang w:val="en-US"/>
        </w:rPr>
        <w:t xml:space="preserve">. </w:t>
      </w:r>
      <w:r w:rsidRPr="00C01906">
        <w:rPr>
          <w:rFonts w:ascii="Times New Roman" w:hAnsi="Times New Roman"/>
          <w:iCs/>
          <w:sz w:val="27"/>
          <w:szCs w:val="27"/>
          <w:lang w:val="en-US"/>
        </w:rPr>
        <w:t>We have reflected simply the fact that will be considered negation of genocide, will be considered justification of genocide simply those acts that are considered as genocide and crime against humanity without being referred to international tribunals. This fact has caused problems in practice, because the definition of the term crimes against humanity and genocide should have a judicial verification. If we read the Article</w:t>
      </w:r>
      <w:r w:rsidRPr="00C01906">
        <w:rPr>
          <w:rFonts w:ascii="Times New Roman" w:hAnsi="Times New Roman"/>
          <w:sz w:val="27"/>
          <w:szCs w:val="27"/>
          <w:lang w:val="en-US"/>
        </w:rPr>
        <w:t xml:space="preserve"> 6 of the First Additional Protocol, we shall understand that choice to criminalize this fact or this aspect is in the discretion of states. We have chosen this technical method of incrimination. </w:t>
      </w:r>
    </w:p>
    <w:p w:rsidR="00F57BF9" w:rsidRPr="00C01906" w:rsidRDefault="00F57BF9" w:rsidP="00F57BF9">
      <w:pPr>
        <w:pStyle w:val="NoSpacing"/>
        <w:jc w:val="both"/>
        <w:rPr>
          <w:rFonts w:ascii="Times New Roman" w:hAnsi="Times New Roman"/>
          <w:sz w:val="27"/>
          <w:szCs w:val="27"/>
        </w:rPr>
      </w:pPr>
      <w:r w:rsidRPr="00C01906">
        <w:rPr>
          <w:rFonts w:ascii="Times New Roman" w:hAnsi="Times New Roman"/>
          <w:sz w:val="27"/>
          <w:szCs w:val="27"/>
        </w:rPr>
        <w:t xml:space="preserve">Meanwhile, the other states have done different choices. The Italian Criminal Code has foreseen that </w:t>
      </w:r>
      <w:proofErr w:type="spellStart"/>
      <w:r w:rsidRPr="00C01906">
        <w:rPr>
          <w:rFonts w:ascii="Times New Roman" w:hAnsi="Times New Roman"/>
          <w:sz w:val="27"/>
          <w:szCs w:val="27"/>
        </w:rPr>
        <w:t>thr</w:t>
      </w:r>
      <w:proofErr w:type="spellEnd"/>
      <w:r w:rsidRPr="00C01906">
        <w:rPr>
          <w:rFonts w:ascii="Times New Roman" w:hAnsi="Times New Roman"/>
          <w:sz w:val="27"/>
          <w:szCs w:val="27"/>
        </w:rPr>
        <w:t xml:space="preserve"> crime of genocide and the acts against humanity should be verified with judicial processes and when they are in effect and final decisions, then will be protected the meaning versus them. However, we should consider that, the purpose of the additional protocol itself was to be protected exactly the memory of the crimes against </w:t>
      </w:r>
      <w:proofErr w:type="spellStart"/>
      <w:r w:rsidRPr="00C01906">
        <w:rPr>
          <w:rFonts w:ascii="Times New Roman" w:hAnsi="Times New Roman"/>
          <w:sz w:val="27"/>
          <w:szCs w:val="27"/>
        </w:rPr>
        <w:t>humanit</w:t>
      </w:r>
      <w:proofErr w:type="spellEnd"/>
      <w:r w:rsidRPr="00C01906">
        <w:rPr>
          <w:rFonts w:ascii="Times New Roman" w:hAnsi="Times New Roman"/>
          <w:sz w:val="27"/>
          <w:szCs w:val="27"/>
        </w:rPr>
        <w:t xml:space="preserve"> and the genocide of the Second World War. Even other international act, such as the </w:t>
      </w:r>
      <w:r w:rsidRPr="00C01906">
        <w:rPr>
          <w:rFonts w:ascii="Times New Roman" w:hAnsi="Times New Roman"/>
          <w:sz w:val="27"/>
          <w:szCs w:val="27"/>
          <w:shd w:val="clear" w:color="auto" w:fill="FFFFFF"/>
        </w:rPr>
        <w:t>Council Framework Decision 2008/913/JHA of 28 November 2008 on combating certain forms and expressions of racism and xenophobia by means of criminal law</w:t>
      </w:r>
      <w:r w:rsidRPr="00C01906">
        <w:rPr>
          <w:rFonts w:ascii="Times New Roman" w:hAnsi="Times New Roman"/>
          <w:sz w:val="27"/>
          <w:szCs w:val="27"/>
        </w:rPr>
        <w:t xml:space="preserve"> has followed the same attitude. The </w:t>
      </w:r>
      <w:r w:rsidRPr="00C01906">
        <w:rPr>
          <w:rFonts w:ascii="Times New Roman" w:hAnsi="Times New Roman"/>
          <w:sz w:val="27"/>
          <w:szCs w:val="27"/>
          <w:shd w:val="clear" w:color="auto" w:fill="FFFFFF"/>
        </w:rPr>
        <w:t xml:space="preserve">Council Framework Decision 2008/913/JHA </w:t>
      </w:r>
      <w:proofErr w:type="gramStart"/>
      <w:r w:rsidRPr="00C01906">
        <w:rPr>
          <w:rFonts w:ascii="Times New Roman" w:hAnsi="Times New Roman"/>
          <w:sz w:val="27"/>
          <w:szCs w:val="27"/>
          <w:shd w:val="clear" w:color="auto" w:fill="FFFFFF"/>
        </w:rPr>
        <w:t>requires</w:t>
      </w:r>
      <w:proofErr w:type="gramEnd"/>
      <w:r w:rsidRPr="00C01906">
        <w:rPr>
          <w:rFonts w:ascii="Times New Roman" w:hAnsi="Times New Roman"/>
          <w:sz w:val="27"/>
          <w:szCs w:val="27"/>
          <w:shd w:val="clear" w:color="auto" w:fill="FFFFFF"/>
        </w:rPr>
        <w:t xml:space="preserve"> that these process should be verifiable, so judicial processes. States have done different choices in this direction</w:t>
      </w:r>
      <w:r w:rsidRPr="00C01906">
        <w:rPr>
          <w:rFonts w:ascii="Times New Roman" w:hAnsi="Times New Roman"/>
          <w:sz w:val="27"/>
          <w:szCs w:val="27"/>
        </w:rPr>
        <w:t>.</w:t>
      </w:r>
      <w:r w:rsidRPr="00C01906">
        <w:rPr>
          <w:rStyle w:val="FootnoteReference"/>
          <w:rFonts w:ascii="Times New Roman" w:hAnsi="Times New Roman"/>
          <w:sz w:val="27"/>
          <w:szCs w:val="27"/>
        </w:rPr>
        <w:footnoteReference w:id="8"/>
      </w:r>
      <w:r w:rsidRPr="00C01906">
        <w:rPr>
          <w:rFonts w:ascii="Times New Roman" w:hAnsi="Times New Roman"/>
          <w:sz w:val="27"/>
          <w:szCs w:val="27"/>
        </w:rPr>
        <w:t xml:space="preserve"> Meanwhile, the Commission of the European Parliament emphasized that states do not need to make such a transposition so that to foreseen in their legislation the verification of judicial procedures because they should be implied to be so.</w:t>
      </w:r>
      <w:r w:rsidRPr="00C01906">
        <w:rPr>
          <w:rStyle w:val="FootnoteReference"/>
          <w:rFonts w:ascii="Times New Roman" w:hAnsi="Times New Roman"/>
          <w:sz w:val="27"/>
          <w:szCs w:val="27"/>
        </w:rPr>
        <w:footnoteReference w:id="9"/>
      </w:r>
      <w:r w:rsidRPr="00C01906">
        <w:rPr>
          <w:rFonts w:ascii="Times New Roman" w:hAnsi="Times New Roman"/>
          <w:sz w:val="27"/>
          <w:szCs w:val="27"/>
        </w:rPr>
        <w:t xml:space="preserve"> </w:t>
      </w:r>
    </w:p>
    <w:p w:rsidR="00F57BF9" w:rsidRPr="00C01906" w:rsidRDefault="00F57BF9" w:rsidP="00F57BF9">
      <w:pPr>
        <w:spacing w:after="0" w:line="240" w:lineRule="auto"/>
        <w:jc w:val="both"/>
        <w:rPr>
          <w:rFonts w:ascii="Times New Roman" w:hAnsi="Times New Roman"/>
          <w:b/>
          <w:bCs/>
          <w:sz w:val="27"/>
          <w:szCs w:val="27"/>
          <w:lang w:val="en-US"/>
        </w:rPr>
      </w:pPr>
      <w:r w:rsidRPr="00C01906">
        <w:rPr>
          <w:rFonts w:ascii="Times New Roman" w:hAnsi="Times New Roman"/>
          <w:sz w:val="27"/>
          <w:szCs w:val="27"/>
          <w:lang w:val="en-US"/>
        </w:rPr>
        <w:t xml:space="preserve">Either the first additional Protocol, or the Directive, requires that these acts should be done intending the inciting of hatred and violence on the basis of ethnicity, race and religion. The negation of genocide, the approval of genocide or even their affirmation should be done exactly with a certain motivation. </w:t>
      </w:r>
      <w:r w:rsidRPr="00C01906">
        <w:rPr>
          <w:rStyle w:val="FootnoteReference"/>
          <w:rFonts w:ascii="Times New Roman" w:hAnsi="Times New Roman"/>
          <w:sz w:val="27"/>
          <w:szCs w:val="27"/>
          <w:lang w:val="en-US"/>
        </w:rPr>
        <w:footnoteReference w:id="10"/>
      </w:r>
      <w:r w:rsidRPr="00C01906">
        <w:rPr>
          <w:rFonts w:ascii="Times New Roman" w:hAnsi="Times New Roman"/>
          <w:sz w:val="27"/>
          <w:szCs w:val="27"/>
          <w:lang w:val="en-US"/>
        </w:rPr>
        <w:t xml:space="preserve"> </w:t>
      </w:r>
    </w:p>
    <w:p w:rsidR="00F57BF9" w:rsidRPr="00C01906" w:rsidRDefault="00F57BF9" w:rsidP="00F57BF9">
      <w:pPr>
        <w:spacing w:after="0" w:line="240" w:lineRule="auto"/>
        <w:jc w:val="both"/>
        <w:rPr>
          <w:rFonts w:ascii="Times New Roman" w:hAnsi="Times New Roman"/>
          <w:bCs/>
          <w:sz w:val="27"/>
          <w:szCs w:val="27"/>
          <w:lang w:val="en-US"/>
        </w:rPr>
      </w:pPr>
      <w:r w:rsidRPr="00C01906">
        <w:rPr>
          <w:rFonts w:ascii="Times New Roman" w:hAnsi="Times New Roman"/>
          <w:sz w:val="27"/>
          <w:szCs w:val="27"/>
          <w:lang w:val="en-US"/>
        </w:rPr>
        <w:lastRenderedPageBreak/>
        <w:t>Issues brought for discussion are, firstly whether the fact of negation or minimization of genocide or crimes against humanity to be qualified as criminal offenses would require or not even the motivation to incite hate as an aspect of their subjective side; secondly, whether the criminal defense should be enlarged even for war crimes? How should be treated cases when these offenses are not realized through computer systems but are realized through books</w:t>
      </w:r>
      <w:r w:rsidRPr="00C01906">
        <w:rPr>
          <w:rStyle w:val="FootnoteReference"/>
          <w:rFonts w:ascii="Times New Roman" w:hAnsi="Times New Roman"/>
          <w:sz w:val="27"/>
          <w:szCs w:val="27"/>
          <w:lang w:val="en-US"/>
        </w:rPr>
        <w:footnoteReference w:id="11"/>
      </w:r>
      <w:r w:rsidRPr="00C01906">
        <w:rPr>
          <w:rFonts w:ascii="Times New Roman" w:hAnsi="Times New Roman"/>
          <w:sz w:val="27"/>
          <w:szCs w:val="27"/>
          <w:lang w:val="en-US"/>
        </w:rPr>
        <w:t xml:space="preserve">? </w:t>
      </w:r>
    </w:p>
    <w:p w:rsidR="00F57BF9" w:rsidRPr="00C01906" w:rsidRDefault="00F57BF9" w:rsidP="00F57BF9">
      <w:pPr>
        <w:spacing w:after="0" w:line="240" w:lineRule="auto"/>
        <w:jc w:val="both"/>
        <w:rPr>
          <w:rFonts w:ascii="Times New Roman" w:hAnsi="Times New Roman"/>
          <w:b/>
          <w:bCs/>
          <w:sz w:val="27"/>
          <w:szCs w:val="27"/>
          <w:lang w:val="en-US"/>
        </w:rPr>
      </w:pPr>
      <w:r w:rsidRPr="00C01906">
        <w:rPr>
          <w:rFonts w:ascii="Times New Roman" w:hAnsi="Times New Roman"/>
          <w:sz w:val="27"/>
          <w:szCs w:val="27"/>
          <w:lang w:val="en-US"/>
        </w:rPr>
        <w:t xml:space="preserve">Regarding these issues there are different approaches. We should consider that the framework decision has enlarged the field not only for crimes of genocide and crimes against humanity but also for war crimes. Also, in the European Union finds a kind of differentiation between western and eastern states. Eastern states give a connotation even to communist aspects and communist totalitarian regimes, an approach that is not found in the west. Some states have reflected clearly and have used the reserve that has anticipated the framework decision that the negation of genocide should come only when is endangered public order and to be threatening. The Supreme Court of the Netherlands has elaborated that the approach of genocide will be extended even for crimes against humanity. Regarding the discussion whether the decision should be final or in force, should be considered the fact that the framework decision as well as the basic act where we are referred to transpose and anticipate this offense, claims that the decision should be final and in force. </w:t>
      </w:r>
    </w:p>
    <w:p w:rsidR="00F57BF9" w:rsidRPr="00C01906" w:rsidRDefault="00F57BF9" w:rsidP="00F57BF9">
      <w:pPr>
        <w:spacing w:after="0" w:line="240" w:lineRule="auto"/>
        <w:ind w:firstLine="360"/>
        <w:jc w:val="both"/>
        <w:rPr>
          <w:rFonts w:ascii="Times New Roman" w:hAnsi="Times New Roman"/>
          <w:b/>
          <w:bCs/>
          <w:sz w:val="27"/>
          <w:szCs w:val="27"/>
          <w:lang w:val="en-US"/>
        </w:rPr>
      </w:pPr>
    </w:p>
    <w:p w:rsidR="00F57BF9" w:rsidRPr="00C01906" w:rsidRDefault="00F57BF9" w:rsidP="00F57BF9">
      <w:pPr>
        <w:spacing w:after="0" w:line="240" w:lineRule="auto"/>
        <w:jc w:val="both"/>
        <w:rPr>
          <w:rFonts w:ascii="Times New Roman" w:hAnsi="Times New Roman"/>
          <w:b/>
          <w:bCs/>
          <w:sz w:val="27"/>
          <w:szCs w:val="27"/>
          <w:lang w:val="en-US"/>
        </w:rPr>
      </w:pPr>
      <w:r w:rsidRPr="00C01906">
        <w:rPr>
          <w:rFonts w:ascii="Times New Roman" w:hAnsi="Times New Roman"/>
          <w:b/>
          <w:bCs/>
          <w:sz w:val="27"/>
          <w:szCs w:val="27"/>
          <w:lang w:val="en-US"/>
        </w:rPr>
        <w:t>4) The recognition of Armenian genocide from the Parliamentary Assembly of the Council of Europe and its elaboration from the ECtHR</w:t>
      </w:r>
      <w:r w:rsidRPr="00C01906">
        <w:rPr>
          <w:rStyle w:val="FootnoteReference"/>
          <w:rFonts w:ascii="Times New Roman" w:hAnsi="Times New Roman"/>
          <w:b/>
          <w:bCs/>
          <w:sz w:val="27"/>
          <w:szCs w:val="27"/>
          <w:lang w:val="en-US"/>
        </w:rPr>
        <w:footnoteReference w:id="12"/>
      </w:r>
    </w:p>
    <w:p w:rsidR="00F57BF9" w:rsidRPr="00C01906" w:rsidRDefault="00F57BF9" w:rsidP="00F57BF9">
      <w:pPr>
        <w:spacing w:after="0" w:line="240" w:lineRule="auto"/>
        <w:ind w:firstLine="720"/>
        <w:jc w:val="both"/>
        <w:rPr>
          <w:rFonts w:ascii="Times New Roman" w:hAnsi="Times New Roman"/>
          <w:b/>
          <w:bCs/>
          <w:sz w:val="27"/>
          <w:szCs w:val="27"/>
          <w:lang w:val="en-US"/>
        </w:rPr>
      </w:pPr>
    </w:p>
    <w:p w:rsidR="00F57BF9" w:rsidRPr="00C01906" w:rsidRDefault="00F57BF9" w:rsidP="00F57BF9">
      <w:pPr>
        <w:spacing w:after="0" w:line="240" w:lineRule="auto"/>
        <w:jc w:val="both"/>
        <w:rPr>
          <w:rFonts w:ascii="Times New Roman" w:hAnsi="Times New Roman"/>
          <w:sz w:val="27"/>
          <w:szCs w:val="27"/>
          <w:lang w:val="en-US"/>
        </w:rPr>
      </w:pPr>
      <w:r w:rsidRPr="00C01906">
        <w:rPr>
          <w:rFonts w:ascii="Times New Roman" w:hAnsi="Times New Roman"/>
          <w:sz w:val="27"/>
          <w:szCs w:val="27"/>
          <w:lang w:val="en-US"/>
        </w:rPr>
        <w:t xml:space="preserve">On 2013, the Parliamentary Assembly of the Council of Europe approved and recognized the Armenian genocide, in the time when the Ottoman Empire did massacres against the Armenian people that lived in the territory of this empire. After one hundred year and after many discussions, the Parliamentary Assembly considered this as genocide. Meanwhile, the approval of this genocide reflected some problems. </w:t>
      </w:r>
    </w:p>
    <w:p w:rsidR="00F57BF9" w:rsidRPr="00C01906" w:rsidRDefault="00F57BF9" w:rsidP="00F57BF9">
      <w:pPr>
        <w:spacing w:after="0" w:line="240" w:lineRule="auto"/>
        <w:jc w:val="both"/>
        <w:rPr>
          <w:rFonts w:ascii="Times New Roman" w:hAnsi="Times New Roman"/>
          <w:sz w:val="27"/>
          <w:szCs w:val="27"/>
          <w:lang w:val="en-US"/>
        </w:rPr>
      </w:pPr>
      <w:r w:rsidRPr="00C01906">
        <w:rPr>
          <w:rFonts w:ascii="Times New Roman" w:hAnsi="Times New Roman"/>
          <w:sz w:val="27"/>
          <w:szCs w:val="27"/>
          <w:lang w:val="en-US"/>
        </w:rPr>
        <w:t xml:space="preserve">Since internationally either from the United States of America, or the Parliamentary Assembly of the Council of Europe, the Armenian genocide was noticed to be so, should be defended the negation or the minimization of it from this Convention. Differently from the holocaust genocide, of Ruanda or Hague, resulted that in this case of Armenian genocide was not in front of a judicial verification. With the indication of the states of ANTANTA in 1920 there were initiations of these internal judicial processes, where generals that committed massacres were punished for these offenses of the Armenian genocide. However, already we do not have an ottoman empire; we have another state and </w:t>
      </w:r>
      <w:r w:rsidR="00447B63" w:rsidRPr="00C01906">
        <w:rPr>
          <w:rFonts w:ascii="Times New Roman" w:hAnsi="Times New Roman"/>
          <w:sz w:val="27"/>
          <w:szCs w:val="27"/>
          <w:lang w:val="en-US"/>
        </w:rPr>
        <w:t>are</w:t>
      </w:r>
      <w:r w:rsidRPr="00C01906">
        <w:rPr>
          <w:rFonts w:ascii="Times New Roman" w:hAnsi="Times New Roman"/>
          <w:sz w:val="27"/>
          <w:szCs w:val="27"/>
          <w:lang w:val="en-US"/>
        </w:rPr>
        <w:t xml:space="preserve"> difficult to attribute to it these events. However, </w:t>
      </w:r>
      <w:r w:rsidRPr="00C01906">
        <w:rPr>
          <w:rFonts w:ascii="Times New Roman" w:hAnsi="Times New Roman"/>
          <w:sz w:val="27"/>
          <w:szCs w:val="27"/>
          <w:lang w:val="en-US"/>
        </w:rPr>
        <w:lastRenderedPageBreak/>
        <w:t xml:space="preserve">international acts make references that we should not have a final internal decision for the recognition of the acts of genocide but we should have an international tribunal and in the conditions that the international tribunal of Armenian genocide lacks, naturally will appear problems in the addressing of this genocide.    </w:t>
      </w:r>
    </w:p>
    <w:p w:rsidR="00F57BF9" w:rsidRPr="00C01906" w:rsidRDefault="00F57BF9" w:rsidP="00F57BF9">
      <w:pPr>
        <w:spacing w:after="0" w:line="240" w:lineRule="auto"/>
        <w:jc w:val="both"/>
        <w:rPr>
          <w:rFonts w:ascii="Times New Roman" w:hAnsi="Times New Roman"/>
          <w:sz w:val="27"/>
          <w:szCs w:val="27"/>
          <w:lang w:val="en-US"/>
        </w:rPr>
      </w:pPr>
      <w:r w:rsidRPr="00C01906">
        <w:rPr>
          <w:rFonts w:ascii="Times New Roman" w:hAnsi="Times New Roman"/>
          <w:sz w:val="27"/>
          <w:szCs w:val="27"/>
          <w:lang w:val="en-US"/>
        </w:rPr>
        <w:t xml:space="preserve">Differently from all other cases, there is a decision of the Grand Chamber of the ECtHR in the case </w:t>
      </w:r>
      <w:proofErr w:type="spellStart"/>
      <w:r w:rsidRPr="00C01906">
        <w:rPr>
          <w:rFonts w:ascii="Times New Roman" w:hAnsi="Times New Roman"/>
          <w:i/>
          <w:sz w:val="27"/>
          <w:szCs w:val="27"/>
          <w:lang w:val="en-US"/>
        </w:rPr>
        <w:t>Doğu</w:t>
      </w:r>
      <w:proofErr w:type="spellEnd"/>
      <w:r w:rsidRPr="00C01906">
        <w:rPr>
          <w:rFonts w:ascii="Times New Roman" w:hAnsi="Times New Roman"/>
          <w:i/>
          <w:sz w:val="27"/>
          <w:szCs w:val="27"/>
          <w:lang w:val="en-US"/>
        </w:rPr>
        <w:t xml:space="preserve"> </w:t>
      </w:r>
      <w:proofErr w:type="spellStart"/>
      <w:r w:rsidRPr="00C01906">
        <w:rPr>
          <w:rFonts w:ascii="Times New Roman" w:hAnsi="Times New Roman"/>
          <w:i/>
          <w:sz w:val="27"/>
          <w:szCs w:val="27"/>
          <w:lang w:val="en-US"/>
        </w:rPr>
        <w:t>Perinçek</w:t>
      </w:r>
      <w:proofErr w:type="spellEnd"/>
      <w:r w:rsidRPr="00C01906">
        <w:rPr>
          <w:rFonts w:ascii="Times New Roman" w:hAnsi="Times New Roman"/>
          <w:i/>
          <w:sz w:val="27"/>
          <w:szCs w:val="27"/>
          <w:lang w:val="en-US"/>
        </w:rPr>
        <w:t xml:space="preserve"> versus Switzerland</w:t>
      </w:r>
      <w:r w:rsidRPr="00C01906">
        <w:rPr>
          <w:rFonts w:ascii="Times New Roman" w:hAnsi="Times New Roman"/>
          <w:sz w:val="27"/>
          <w:szCs w:val="27"/>
          <w:lang w:val="en-US"/>
        </w:rPr>
        <w:t>, 15 October, 2015 (Application no.</w:t>
      </w:r>
      <w:r w:rsidRPr="00C01906">
        <w:rPr>
          <w:rStyle w:val="sa36b60a1"/>
          <w:rFonts w:ascii="Times New Roman" w:hAnsi="Times New Roman"/>
          <w:sz w:val="27"/>
          <w:szCs w:val="27"/>
          <w:lang w:val="en-US"/>
        </w:rPr>
        <w:t xml:space="preserve"> </w:t>
      </w:r>
      <w:hyperlink r:id="rId7" w:anchor="{&quot;appno&quot;:[&quot;27510/08&quot;]}" w:tgtFrame="_blank" w:history="1">
        <w:proofErr w:type="gramStart"/>
        <w:r w:rsidRPr="00C01906">
          <w:rPr>
            <w:rStyle w:val="Hyperlink"/>
            <w:rFonts w:ascii="Times New Roman" w:hAnsi="Times New Roman"/>
            <w:color w:val="auto"/>
            <w:sz w:val="27"/>
            <w:szCs w:val="27"/>
            <w:lang w:val="en-US"/>
          </w:rPr>
          <w:t>27510/08</w:t>
        </w:r>
      </w:hyperlink>
      <w:r w:rsidRPr="00C01906">
        <w:rPr>
          <w:rStyle w:val="sa36b60a1"/>
          <w:rFonts w:ascii="Times New Roman" w:hAnsi="Times New Roman"/>
          <w:sz w:val="27"/>
          <w:szCs w:val="27"/>
          <w:lang w:val="en-US"/>
        </w:rPr>
        <w:t>)</w:t>
      </w:r>
      <w:r w:rsidRPr="00C01906">
        <w:rPr>
          <w:rFonts w:ascii="Times New Roman" w:hAnsi="Times New Roman"/>
          <w:sz w:val="27"/>
          <w:szCs w:val="27"/>
          <w:lang w:val="en-US"/>
        </w:rPr>
        <w:t>.</w:t>
      </w:r>
      <w:proofErr w:type="gramEnd"/>
      <w:r w:rsidRPr="00C01906">
        <w:rPr>
          <w:rFonts w:ascii="Times New Roman" w:hAnsi="Times New Roman"/>
          <w:sz w:val="27"/>
          <w:szCs w:val="27"/>
          <w:lang w:val="en-US"/>
        </w:rPr>
        <w:t xml:space="preserve"> </w:t>
      </w:r>
      <w:proofErr w:type="spellStart"/>
      <w:r w:rsidRPr="00C01906">
        <w:rPr>
          <w:rFonts w:ascii="Times New Roman" w:hAnsi="Times New Roman"/>
          <w:sz w:val="27"/>
          <w:szCs w:val="27"/>
          <w:lang w:val="en-US"/>
        </w:rPr>
        <w:t>Doğu</w:t>
      </w:r>
      <w:proofErr w:type="spellEnd"/>
      <w:r w:rsidRPr="00C01906">
        <w:rPr>
          <w:rFonts w:ascii="Times New Roman" w:hAnsi="Times New Roman"/>
          <w:sz w:val="27"/>
          <w:szCs w:val="27"/>
          <w:lang w:val="en-US"/>
        </w:rPr>
        <w:t xml:space="preserve"> </w:t>
      </w:r>
      <w:proofErr w:type="spellStart"/>
      <w:r w:rsidRPr="00C01906">
        <w:rPr>
          <w:rFonts w:ascii="Times New Roman" w:hAnsi="Times New Roman"/>
          <w:sz w:val="27"/>
          <w:szCs w:val="27"/>
          <w:lang w:val="en-US"/>
        </w:rPr>
        <w:t>Perinçek</w:t>
      </w:r>
      <w:proofErr w:type="spellEnd"/>
      <w:r w:rsidRPr="00C01906">
        <w:rPr>
          <w:rFonts w:ascii="Times New Roman" w:hAnsi="Times New Roman"/>
          <w:sz w:val="27"/>
          <w:szCs w:val="27"/>
          <w:lang w:val="en-US"/>
        </w:rPr>
        <w:t xml:space="preserve"> is a Turkish politician, who exercises his activity in the Turkish Worker’s Party in Switzerland and during political events, public demonstrations, he declared that massive deprivations and massacres committed versus the community of Armenians from Ottoman Empire were not genocide and this was an international lie. Regarding these declarations, the Swiss prosecution started the criminal proceeding for the negation of the Armenian genocide and the case went to the ECtHR. The ECtHR considered that in this case there was not any violation of the dignity of the Armenian community. It is strange how the Strasbourg Court did not analyze how should be determined the judicial verification of this case. However, the Strasbourg Court considered some elements and some other criteria that are related to the nature of declarations that according to them are not sufficient to incite violence and hate between Armenians. Also, considered even the context in which were realized and historical, geographical factors, the fact that did not have direct relation with the place where had happened genocide or with the place where was done the declaration. </w:t>
      </w:r>
    </w:p>
    <w:p w:rsidR="00F57BF9" w:rsidRPr="00C01906" w:rsidRDefault="00F57BF9" w:rsidP="00F57BF9">
      <w:pPr>
        <w:spacing w:after="0" w:line="240" w:lineRule="auto"/>
        <w:ind w:firstLine="720"/>
        <w:jc w:val="both"/>
        <w:rPr>
          <w:rFonts w:ascii="Times New Roman" w:hAnsi="Times New Roman"/>
          <w:sz w:val="27"/>
          <w:szCs w:val="27"/>
          <w:lang w:val="en-US"/>
        </w:rPr>
      </w:pPr>
    </w:p>
    <w:p w:rsidR="00F57BF9" w:rsidRPr="00C01906" w:rsidRDefault="00F57BF9" w:rsidP="00F57BF9">
      <w:pPr>
        <w:spacing w:line="240" w:lineRule="auto"/>
        <w:jc w:val="both"/>
        <w:rPr>
          <w:rFonts w:ascii="Times New Roman" w:hAnsi="Times New Roman"/>
          <w:b/>
          <w:bCs/>
          <w:sz w:val="27"/>
          <w:szCs w:val="27"/>
          <w:lang w:val="en-US"/>
        </w:rPr>
      </w:pPr>
      <w:r w:rsidRPr="00C01906">
        <w:rPr>
          <w:rFonts w:ascii="Times New Roman" w:hAnsi="Times New Roman"/>
          <w:b/>
          <w:bCs/>
          <w:sz w:val="27"/>
          <w:szCs w:val="27"/>
          <w:lang w:val="en-US"/>
        </w:rPr>
        <w:t>5) Computer share of materials pro genocide or of crimes against humanity</w:t>
      </w:r>
      <w:r w:rsidR="000D55A1" w:rsidRPr="00C01906">
        <w:rPr>
          <w:rFonts w:ascii="Times New Roman" w:hAnsi="Times New Roman"/>
          <w:b/>
          <w:bCs/>
          <w:sz w:val="27"/>
          <w:szCs w:val="27"/>
          <w:lang w:val="en-US"/>
        </w:rPr>
        <w:t>, (</w:t>
      </w:r>
      <w:r w:rsidRPr="00C01906">
        <w:rPr>
          <w:rFonts w:ascii="Times New Roman" w:hAnsi="Times New Roman"/>
          <w:b/>
          <w:bCs/>
          <w:sz w:val="27"/>
          <w:szCs w:val="27"/>
          <w:lang w:val="en-US"/>
        </w:rPr>
        <w:t>Article 74/</w:t>
      </w:r>
      <w:proofErr w:type="gramStart"/>
      <w:r w:rsidRPr="00C01906">
        <w:rPr>
          <w:rFonts w:ascii="Times New Roman" w:hAnsi="Times New Roman"/>
          <w:b/>
          <w:bCs/>
          <w:sz w:val="27"/>
          <w:szCs w:val="27"/>
          <w:lang w:val="en-US"/>
        </w:rPr>
        <w:t>a of</w:t>
      </w:r>
      <w:proofErr w:type="gramEnd"/>
      <w:r w:rsidRPr="00C01906">
        <w:rPr>
          <w:rFonts w:ascii="Times New Roman" w:hAnsi="Times New Roman"/>
          <w:b/>
          <w:bCs/>
          <w:sz w:val="27"/>
          <w:szCs w:val="27"/>
          <w:lang w:val="en-US"/>
        </w:rPr>
        <w:t xml:space="preserve"> the CC). </w:t>
      </w:r>
      <w:proofErr w:type="gramStart"/>
      <w:r w:rsidRPr="00C01906">
        <w:rPr>
          <w:rFonts w:ascii="Times New Roman" w:hAnsi="Times New Roman"/>
          <w:b/>
          <w:bCs/>
          <w:sz w:val="27"/>
          <w:szCs w:val="27"/>
          <w:lang w:val="en-US"/>
        </w:rPr>
        <w:t>The purpose and the object of this figure of criminal offense.</w:t>
      </w:r>
      <w:proofErr w:type="gramEnd"/>
      <w:r w:rsidRPr="00C01906">
        <w:rPr>
          <w:rFonts w:ascii="Times New Roman" w:hAnsi="Times New Roman"/>
          <w:b/>
          <w:bCs/>
          <w:sz w:val="27"/>
          <w:szCs w:val="27"/>
          <w:lang w:val="en-US"/>
        </w:rPr>
        <w:t xml:space="preserve"> </w:t>
      </w:r>
      <w:proofErr w:type="gramStart"/>
      <w:r w:rsidRPr="00C01906">
        <w:rPr>
          <w:rFonts w:ascii="Times New Roman" w:hAnsi="Times New Roman"/>
          <w:b/>
          <w:bCs/>
          <w:sz w:val="27"/>
          <w:szCs w:val="27"/>
          <w:lang w:val="en-US"/>
        </w:rPr>
        <w:t>Albanian judicial practice and that foreign one regarding this criminal offense.</w:t>
      </w:r>
      <w:proofErr w:type="gramEnd"/>
      <w:r w:rsidRPr="00C01906">
        <w:rPr>
          <w:rStyle w:val="FootnoteReference"/>
          <w:rFonts w:ascii="Times New Roman" w:hAnsi="Times New Roman"/>
          <w:b/>
          <w:bCs/>
          <w:sz w:val="27"/>
          <w:szCs w:val="27"/>
          <w:lang w:val="en-US"/>
        </w:rPr>
        <w:footnoteReference w:id="13"/>
      </w:r>
      <w:r w:rsidRPr="00C01906">
        <w:rPr>
          <w:rFonts w:ascii="Times New Roman" w:hAnsi="Times New Roman"/>
          <w:b/>
          <w:bCs/>
          <w:sz w:val="27"/>
          <w:szCs w:val="27"/>
          <w:lang w:val="en-US"/>
        </w:rPr>
        <w:t xml:space="preserve"> </w:t>
      </w:r>
    </w:p>
    <w:p w:rsidR="00F57BF9" w:rsidRPr="00C01906" w:rsidRDefault="00F57BF9" w:rsidP="00F57BF9">
      <w:pPr>
        <w:spacing w:after="0" w:line="240" w:lineRule="auto"/>
        <w:jc w:val="both"/>
        <w:rPr>
          <w:rFonts w:ascii="Times New Roman" w:hAnsi="Times New Roman"/>
          <w:sz w:val="27"/>
          <w:szCs w:val="27"/>
          <w:lang w:val="en-US"/>
        </w:rPr>
      </w:pPr>
      <w:r w:rsidRPr="00C01906">
        <w:rPr>
          <w:rFonts w:ascii="Times New Roman" w:hAnsi="Times New Roman"/>
          <w:sz w:val="27"/>
          <w:szCs w:val="27"/>
          <w:lang w:val="en-US"/>
        </w:rPr>
        <w:t xml:space="preserve">To determine the purpose or the object of this criminal offense, so what legal relations protects this criminal offense, we should refer in fact to the context where is approved the additional protocol of the Convention of Budapest. The purpose of the designers of the protocol has been the criminalization of the negation of genocide and of crimes against humanity done during the Second World War, where the key stone was established since in the formation of the Nuremberg Court. This because of the fact that the most important behaviors, that had caused genocide and crimes against humanity, happened in the period 1940-1945. Also, since then, </w:t>
      </w:r>
      <w:proofErr w:type="gramStart"/>
      <w:r w:rsidRPr="00C01906">
        <w:rPr>
          <w:rFonts w:ascii="Times New Roman" w:hAnsi="Times New Roman"/>
          <w:sz w:val="27"/>
          <w:szCs w:val="27"/>
          <w:lang w:val="en-US"/>
        </w:rPr>
        <w:t>happened</w:t>
      </w:r>
      <w:proofErr w:type="gramEnd"/>
      <w:r w:rsidRPr="00C01906">
        <w:rPr>
          <w:rFonts w:ascii="Times New Roman" w:hAnsi="Times New Roman"/>
          <w:sz w:val="27"/>
          <w:szCs w:val="27"/>
          <w:lang w:val="en-US"/>
        </w:rPr>
        <w:t xml:space="preserve"> other cases of genocide and crimes against humanity that were strongly motivated from theories and ideas of racist and xenophobic nature.</w:t>
      </w:r>
      <w:r w:rsidRPr="00C01906">
        <w:rPr>
          <w:rStyle w:val="FootnoteReference"/>
          <w:rFonts w:ascii="Times New Roman" w:hAnsi="Times New Roman"/>
          <w:sz w:val="27"/>
          <w:szCs w:val="27"/>
          <w:lang w:val="en-US"/>
        </w:rPr>
        <w:footnoteReference w:id="14"/>
      </w:r>
    </w:p>
    <w:p w:rsidR="00F57BF9" w:rsidRPr="00C01906" w:rsidRDefault="00F57BF9" w:rsidP="00F57BF9">
      <w:pPr>
        <w:spacing w:after="0" w:line="240" w:lineRule="auto"/>
        <w:jc w:val="both"/>
        <w:rPr>
          <w:rFonts w:ascii="Times New Roman" w:hAnsi="Times New Roman"/>
          <w:sz w:val="27"/>
          <w:szCs w:val="27"/>
          <w:lang w:val="en-US"/>
        </w:rPr>
      </w:pPr>
      <w:r w:rsidRPr="00C01906">
        <w:rPr>
          <w:rFonts w:ascii="Times New Roman" w:hAnsi="Times New Roman"/>
          <w:sz w:val="27"/>
          <w:szCs w:val="27"/>
          <w:lang w:val="en-US"/>
        </w:rPr>
        <w:lastRenderedPageBreak/>
        <w:t xml:space="preserve">In fact ECtHR has established that the object of the judicial – criminal defense is done versus the memory for the two thousand years persecution against Hebrew community, so in this case the defense is exactly versus the realized memory. On the other hand, regarding the purpose of this offense it consists in the incrimination/criminalization of the providing in public or intentional share to the public of the materials pro genocide and against humanity. The providing in public implies the approach to the public, the accessibility of the public and the availability. </w:t>
      </w:r>
    </w:p>
    <w:p w:rsidR="00F57BF9" w:rsidRPr="00C01906" w:rsidRDefault="00F57BF9" w:rsidP="00F57BF9">
      <w:pPr>
        <w:spacing w:after="0" w:line="240" w:lineRule="auto"/>
        <w:jc w:val="both"/>
        <w:rPr>
          <w:rFonts w:ascii="Times New Roman" w:hAnsi="Times New Roman"/>
          <w:sz w:val="27"/>
          <w:szCs w:val="27"/>
          <w:lang w:val="en-US"/>
        </w:rPr>
      </w:pPr>
      <w:r w:rsidRPr="00C01906">
        <w:rPr>
          <w:rFonts w:ascii="Times New Roman" w:hAnsi="Times New Roman"/>
          <w:sz w:val="27"/>
          <w:szCs w:val="27"/>
          <w:lang w:val="en-US"/>
        </w:rPr>
        <w:t>There have been several discussions whether will be considered public communications, communications between individuals or a group of individuals, who reflect to each – other expressions or aspects that are related to the negation of genocide. The resolution has been so that since communications are private and do not have a public character, they do not enjoy protection.</w:t>
      </w:r>
    </w:p>
    <w:p w:rsidR="00F57BF9" w:rsidRPr="00C01906" w:rsidRDefault="00F57BF9" w:rsidP="00F57BF9">
      <w:pPr>
        <w:spacing w:after="0" w:line="240" w:lineRule="auto"/>
        <w:jc w:val="both"/>
        <w:rPr>
          <w:rFonts w:ascii="Times New Roman" w:hAnsi="Times New Roman"/>
          <w:sz w:val="27"/>
          <w:szCs w:val="27"/>
          <w:lang w:val="en-US"/>
        </w:rPr>
      </w:pPr>
      <w:r w:rsidRPr="00C01906">
        <w:rPr>
          <w:rFonts w:ascii="Times New Roman" w:hAnsi="Times New Roman"/>
          <w:sz w:val="27"/>
          <w:szCs w:val="27"/>
          <w:lang w:val="en-US"/>
        </w:rPr>
        <w:t xml:space="preserve">For the effect of legal qualification is not required the coming of consequences from the offense or that negation or minimization to be done with the purpose of the inciting of hate, discrimination or violence against every individual or group of individuals. It is sufficient that the person is aware on the importance of the action that is committing, of the content of the material that is sharing and desires the realization of the offense. </w:t>
      </w:r>
    </w:p>
    <w:p w:rsidR="00F57BF9" w:rsidRPr="00C01906" w:rsidRDefault="00F57BF9" w:rsidP="00F57BF9">
      <w:pPr>
        <w:spacing w:after="0" w:line="240" w:lineRule="auto"/>
        <w:jc w:val="both"/>
        <w:rPr>
          <w:rFonts w:ascii="Times New Roman" w:hAnsi="Times New Roman"/>
          <w:sz w:val="27"/>
          <w:szCs w:val="27"/>
          <w:lang w:val="en-US"/>
        </w:rPr>
      </w:pPr>
      <w:r w:rsidRPr="00C01906">
        <w:rPr>
          <w:rFonts w:ascii="Times New Roman" w:hAnsi="Times New Roman"/>
          <w:sz w:val="27"/>
          <w:szCs w:val="27"/>
          <w:lang w:val="en-US"/>
        </w:rPr>
        <w:t>Our jurisprudence in relation to the negation of genocide has been very little, however cases has existed.</w:t>
      </w:r>
      <w:r w:rsidRPr="00C01906">
        <w:rPr>
          <w:rStyle w:val="FootnoteReference"/>
          <w:rFonts w:ascii="Times New Roman" w:hAnsi="Times New Roman"/>
          <w:sz w:val="27"/>
          <w:szCs w:val="27"/>
          <w:lang w:val="en-US"/>
        </w:rPr>
        <w:footnoteReference w:id="15"/>
      </w:r>
      <w:r w:rsidRPr="00C01906">
        <w:rPr>
          <w:rFonts w:ascii="Times New Roman" w:hAnsi="Times New Roman"/>
          <w:sz w:val="27"/>
          <w:szCs w:val="27"/>
          <w:lang w:val="en-US"/>
        </w:rPr>
        <w:t xml:space="preserve"> In these cases prosecution has decided to stay the criminal proceeding reasoning, among others that initially should </w:t>
      </w:r>
      <w:proofErr w:type="gramStart"/>
      <w:r w:rsidRPr="00C01906">
        <w:rPr>
          <w:rFonts w:ascii="Times New Roman" w:hAnsi="Times New Roman"/>
          <w:sz w:val="27"/>
          <w:szCs w:val="27"/>
          <w:lang w:val="en-US"/>
        </w:rPr>
        <w:t>exist</w:t>
      </w:r>
      <w:proofErr w:type="gramEnd"/>
      <w:r w:rsidRPr="00C01906">
        <w:rPr>
          <w:rFonts w:ascii="Times New Roman" w:hAnsi="Times New Roman"/>
          <w:sz w:val="27"/>
          <w:szCs w:val="27"/>
          <w:lang w:val="en-US"/>
        </w:rPr>
        <w:t xml:space="preserve"> the act that is genocide, or crimes against humanity and is recognized as such by judicial decisions. Publications done in social websites are considered to be an expression of opinions, in the application of the freedom of expression of the individual. </w:t>
      </w:r>
    </w:p>
    <w:p w:rsidR="00F57BF9" w:rsidRPr="00C01906" w:rsidRDefault="00F57BF9" w:rsidP="00F57BF9">
      <w:pPr>
        <w:spacing w:after="0" w:line="240" w:lineRule="auto"/>
        <w:ind w:firstLine="720"/>
        <w:jc w:val="both"/>
        <w:rPr>
          <w:rFonts w:ascii="Times New Roman" w:hAnsi="Times New Roman"/>
          <w:sz w:val="27"/>
          <w:szCs w:val="27"/>
          <w:lang w:val="en-US"/>
        </w:rPr>
      </w:pPr>
    </w:p>
    <w:p w:rsidR="00F57BF9" w:rsidRPr="00C01906" w:rsidRDefault="00F57BF9" w:rsidP="00F57BF9">
      <w:pPr>
        <w:spacing w:after="0" w:line="240" w:lineRule="auto"/>
        <w:jc w:val="both"/>
        <w:rPr>
          <w:rFonts w:ascii="Times New Roman" w:hAnsi="Times New Roman"/>
          <w:b/>
          <w:bCs/>
          <w:sz w:val="27"/>
          <w:szCs w:val="27"/>
          <w:lang w:val="en-US"/>
        </w:rPr>
      </w:pPr>
      <w:r w:rsidRPr="00C01906">
        <w:rPr>
          <w:rFonts w:ascii="Times New Roman" w:hAnsi="Times New Roman"/>
          <w:b/>
          <w:bCs/>
          <w:sz w:val="27"/>
          <w:szCs w:val="27"/>
          <w:lang w:val="en-US"/>
        </w:rPr>
        <w:t>6) Foreign judicial practice</w:t>
      </w:r>
      <w:r w:rsidRPr="00C01906">
        <w:rPr>
          <w:rStyle w:val="FootnoteReference"/>
          <w:rFonts w:ascii="Times New Roman" w:hAnsi="Times New Roman"/>
          <w:b/>
          <w:bCs/>
          <w:sz w:val="27"/>
          <w:szCs w:val="27"/>
          <w:lang w:val="en-US"/>
        </w:rPr>
        <w:footnoteReference w:id="16"/>
      </w:r>
      <w:r w:rsidRPr="00C01906">
        <w:rPr>
          <w:rFonts w:ascii="Times New Roman" w:hAnsi="Times New Roman"/>
          <w:b/>
          <w:bCs/>
          <w:sz w:val="27"/>
          <w:szCs w:val="27"/>
          <w:lang w:val="en-US"/>
        </w:rPr>
        <w:t xml:space="preserve"> </w:t>
      </w:r>
    </w:p>
    <w:p w:rsidR="00F57BF9" w:rsidRPr="00C01906" w:rsidRDefault="00F57BF9" w:rsidP="00F57BF9">
      <w:pPr>
        <w:spacing w:after="0" w:line="240" w:lineRule="auto"/>
        <w:jc w:val="both"/>
        <w:rPr>
          <w:rFonts w:ascii="Times New Roman" w:hAnsi="Times New Roman"/>
          <w:b/>
          <w:i/>
          <w:sz w:val="27"/>
          <w:szCs w:val="27"/>
          <w:lang w:val="en-US"/>
        </w:rPr>
      </w:pPr>
    </w:p>
    <w:p w:rsidR="00F57BF9" w:rsidRPr="00C01906" w:rsidRDefault="00F57BF9" w:rsidP="00F57BF9">
      <w:pPr>
        <w:spacing w:after="0" w:line="240" w:lineRule="auto"/>
        <w:jc w:val="both"/>
        <w:rPr>
          <w:rFonts w:ascii="Times New Roman" w:hAnsi="Times New Roman"/>
          <w:sz w:val="27"/>
          <w:szCs w:val="27"/>
          <w:lang w:val="en-US"/>
        </w:rPr>
      </w:pPr>
      <w:r w:rsidRPr="00C01906">
        <w:rPr>
          <w:rFonts w:ascii="Times New Roman" w:hAnsi="Times New Roman"/>
          <w:sz w:val="27"/>
          <w:szCs w:val="27"/>
          <w:lang w:val="en-US"/>
        </w:rPr>
        <w:t>In the training were discussed some cases of foreign practice, therefore we are going to mention some of them:</w:t>
      </w:r>
    </w:p>
    <w:p w:rsidR="00F57BF9" w:rsidRPr="00C01906" w:rsidRDefault="00F57BF9" w:rsidP="00F57BF9">
      <w:pPr>
        <w:numPr>
          <w:ilvl w:val="0"/>
          <w:numId w:val="8"/>
        </w:numPr>
        <w:spacing w:after="0" w:line="240" w:lineRule="auto"/>
        <w:jc w:val="both"/>
        <w:rPr>
          <w:rFonts w:ascii="Times New Roman" w:hAnsi="Times New Roman"/>
          <w:b/>
          <w:bCs/>
          <w:sz w:val="27"/>
          <w:szCs w:val="27"/>
          <w:lang w:val="en-US"/>
        </w:rPr>
      </w:pPr>
      <w:r w:rsidRPr="00C01906">
        <w:rPr>
          <w:rFonts w:ascii="Times New Roman" w:hAnsi="Times New Roman"/>
          <w:sz w:val="27"/>
          <w:szCs w:val="27"/>
          <w:lang w:val="en-US"/>
        </w:rPr>
        <w:lastRenderedPageBreak/>
        <w:t xml:space="preserve">In Australia, there is the case </w:t>
      </w:r>
      <w:proofErr w:type="spellStart"/>
      <w:r w:rsidRPr="00C01906">
        <w:rPr>
          <w:rFonts w:ascii="Times New Roman" w:hAnsi="Times New Roman"/>
          <w:i/>
          <w:iCs/>
          <w:sz w:val="27"/>
          <w:szCs w:val="27"/>
          <w:lang w:val="en-US"/>
        </w:rPr>
        <w:t>Töben</w:t>
      </w:r>
      <w:proofErr w:type="spellEnd"/>
      <w:r w:rsidRPr="00C01906">
        <w:rPr>
          <w:rFonts w:ascii="Times New Roman" w:hAnsi="Times New Roman"/>
          <w:sz w:val="27"/>
          <w:szCs w:val="27"/>
          <w:lang w:val="en-US"/>
        </w:rPr>
        <w:t xml:space="preserve">, who is a German – Australian citizen, administrator of </w:t>
      </w:r>
      <w:r w:rsidRPr="00C01906">
        <w:rPr>
          <w:rFonts w:ascii="Times New Roman" w:hAnsi="Times New Roman"/>
          <w:i/>
          <w:sz w:val="27"/>
          <w:szCs w:val="27"/>
          <w:lang w:val="en-US"/>
        </w:rPr>
        <w:t>Adelaide Institute</w:t>
      </w:r>
      <w:r w:rsidRPr="00C01906">
        <w:rPr>
          <w:rFonts w:ascii="Times New Roman" w:hAnsi="Times New Roman"/>
          <w:i/>
          <w:iCs/>
          <w:sz w:val="27"/>
          <w:szCs w:val="27"/>
          <w:lang w:val="en-US"/>
        </w:rPr>
        <w:t xml:space="preserve"> website</w:t>
      </w:r>
      <w:r w:rsidRPr="00C01906">
        <w:rPr>
          <w:rFonts w:ascii="Times New Roman" w:hAnsi="Times New Roman"/>
          <w:sz w:val="27"/>
          <w:szCs w:val="27"/>
          <w:lang w:val="en-US"/>
        </w:rPr>
        <w:t>, who published materials that negated genocide, insulting and degrading materials against groups of Hebrews. This person was arrested and convicted for the negation of genocide.</w:t>
      </w:r>
      <w:r w:rsidRPr="00C01906">
        <w:rPr>
          <w:rStyle w:val="FootnoteReference"/>
          <w:rFonts w:ascii="Times New Roman" w:hAnsi="Times New Roman"/>
          <w:sz w:val="27"/>
          <w:szCs w:val="27"/>
          <w:lang w:val="en-US"/>
        </w:rPr>
        <w:footnoteReference w:id="17"/>
      </w:r>
    </w:p>
    <w:p w:rsidR="00F57BF9" w:rsidRPr="00C01906" w:rsidRDefault="00F57BF9" w:rsidP="00F57BF9">
      <w:pPr>
        <w:numPr>
          <w:ilvl w:val="0"/>
          <w:numId w:val="8"/>
        </w:numPr>
        <w:spacing w:after="0" w:line="240" w:lineRule="auto"/>
        <w:jc w:val="both"/>
        <w:rPr>
          <w:rFonts w:ascii="Times New Roman" w:hAnsi="Times New Roman"/>
          <w:b/>
          <w:bCs/>
          <w:sz w:val="27"/>
          <w:szCs w:val="27"/>
          <w:lang w:val="en-US"/>
        </w:rPr>
      </w:pPr>
      <w:r w:rsidRPr="00C01906">
        <w:rPr>
          <w:rFonts w:ascii="Times New Roman" w:hAnsi="Times New Roman"/>
          <w:sz w:val="27"/>
          <w:szCs w:val="27"/>
          <w:lang w:val="en-US"/>
        </w:rPr>
        <w:t xml:space="preserve">The case </w:t>
      </w:r>
      <w:proofErr w:type="spellStart"/>
      <w:r w:rsidRPr="00C01906">
        <w:rPr>
          <w:rFonts w:ascii="Times New Roman" w:hAnsi="Times New Roman"/>
          <w:sz w:val="27"/>
          <w:szCs w:val="27"/>
          <w:lang w:val="en-US"/>
        </w:rPr>
        <w:t>Zundel</w:t>
      </w:r>
      <w:proofErr w:type="spellEnd"/>
      <w:r w:rsidRPr="00C01906">
        <w:rPr>
          <w:rFonts w:ascii="Times New Roman" w:hAnsi="Times New Roman"/>
          <w:i/>
          <w:iCs/>
          <w:sz w:val="27"/>
          <w:szCs w:val="27"/>
          <w:lang w:val="en-US"/>
        </w:rPr>
        <w:t>,</w:t>
      </w:r>
      <w:r w:rsidRPr="00C01906">
        <w:rPr>
          <w:rFonts w:ascii="Times New Roman" w:hAnsi="Times New Roman"/>
          <w:sz w:val="27"/>
          <w:szCs w:val="27"/>
          <w:lang w:val="en-US"/>
        </w:rPr>
        <w:t xml:space="preserve"> of one the most interesting cases because of the importance it has had. </w:t>
      </w:r>
      <w:proofErr w:type="spellStart"/>
      <w:r w:rsidRPr="00C01906">
        <w:rPr>
          <w:rFonts w:ascii="Times New Roman" w:hAnsi="Times New Roman"/>
          <w:sz w:val="27"/>
          <w:szCs w:val="27"/>
          <w:lang w:val="en-US"/>
        </w:rPr>
        <w:t>Zundel</w:t>
      </w:r>
      <w:proofErr w:type="spellEnd"/>
      <w:r w:rsidRPr="00C01906">
        <w:rPr>
          <w:rFonts w:ascii="Times New Roman" w:hAnsi="Times New Roman"/>
          <w:sz w:val="27"/>
          <w:szCs w:val="27"/>
          <w:lang w:val="en-US"/>
        </w:rPr>
        <w:t xml:space="preserve">, a German citizen, lived in Canada and was one of the well-known </w:t>
      </w:r>
      <w:r w:rsidR="000D55A1" w:rsidRPr="00C01906">
        <w:rPr>
          <w:rFonts w:ascii="Times New Roman" w:hAnsi="Times New Roman"/>
          <w:sz w:val="27"/>
          <w:szCs w:val="27"/>
          <w:lang w:val="en-US"/>
        </w:rPr>
        <w:t>distributors</w:t>
      </w:r>
      <w:r w:rsidRPr="00C01906">
        <w:rPr>
          <w:rFonts w:ascii="Times New Roman" w:hAnsi="Times New Roman"/>
          <w:sz w:val="27"/>
          <w:szCs w:val="27"/>
          <w:lang w:val="en-US"/>
        </w:rPr>
        <w:t xml:space="preserve"> of Nazi propaganda in the world. For this purpose he used the post, used telephones, e-mails, media, </w:t>
      </w:r>
      <w:proofErr w:type="gramStart"/>
      <w:r w:rsidRPr="00C01906">
        <w:rPr>
          <w:rFonts w:ascii="Times New Roman" w:hAnsi="Times New Roman"/>
          <w:sz w:val="27"/>
          <w:szCs w:val="27"/>
          <w:lang w:val="en-US"/>
        </w:rPr>
        <w:t>internet</w:t>
      </w:r>
      <w:proofErr w:type="gramEnd"/>
      <w:r w:rsidRPr="00C01906">
        <w:rPr>
          <w:rFonts w:ascii="Times New Roman" w:hAnsi="Times New Roman"/>
          <w:sz w:val="27"/>
          <w:szCs w:val="27"/>
          <w:lang w:val="en-US"/>
        </w:rPr>
        <w:t>. Judicial authorities cane in the conclusion that his actions intended the negation of genocide and decided to convict, by not finding violations of the freedom of expression.</w:t>
      </w:r>
      <w:r w:rsidRPr="00C01906">
        <w:rPr>
          <w:rStyle w:val="FootnoteReference"/>
          <w:rFonts w:ascii="Times New Roman" w:hAnsi="Times New Roman"/>
          <w:sz w:val="27"/>
          <w:szCs w:val="27"/>
          <w:lang w:val="en-US"/>
        </w:rPr>
        <w:footnoteReference w:id="18"/>
      </w:r>
    </w:p>
    <w:p w:rsidR="00F57BF9" w:rsidRPr="00C01906" w:rsidRDefault="00F57BF9" w:rsidP="00F57BF9">
      <w:pPr>
        <w:numPr>
          <w:ilvl w:val="0"/>
          <w:numId w:val="8"/>
        </w:numPr>
        <w:spacing w:after="0" w:line="240" w:lineRule="auto"/>
        <w:jc w:val="both"/>
        <w:rPr>
          <w:rFonts w:ascii="Times New Roman" w:hAnsi="Times New Roman"/>
          <w:b/>
          <w:bCs/>
          <w:sz w:val="27"/>
          <w:szCs w:val="27"/>
          <w:lang w:val="en-US"/>
        </w:rPr>
      </w:pPr>
      <w:r w:rsidRPr="00C01906">
        <w:rPr>
          <w:rFonts w:ascii="Times New Roman" w:hAnsi="Times New Roman"/>
          <w:sz w:val="27"/>
          <w:szCs w:val="27"/>
          <w:lang w:val="en-US"/>
        </w:rPr>
        <w:t>Another interesting case is also the decision of the Cassation Court of Italy,</w:t>
      </w:r>
      <w:r w:rsidRPr="00C01906">
        <w:rPr>
          <w:rStyle w:val="FootnoteReference"/>
          <w:rFonts w:ascii="Times New Roman" w:hAnsi="Times New Roman"/>
          <w:sz w:val="27"/>
          <w:szCs w:val="27"/>
          <w:lang w:val="en-US"/>
        </w:rPr>
        <w:footnoteReference w:id="19"/>
      </w:r>
      <w:r w:rsidRPr="00C01906">
        <w:rPr>
          <w:rFonts w:ascii="Times New Roman" w:hAnsi="Times New Roman"/>
          <w:sz w:val="27"/>
          <w:szCs w:val="27"/>
          <w:lang w:val="en-US"/>
        </w:rPr>
        <w:t xml:space="preserve"> given to one of the members of the National Socialist Movement of Workers, who in 27 January, 2017 (holocaust memorial day of the Second World War) shared in the streets of Milan nationalist slogans and nationalist materials, glorifying the supremacy of the white race being against the presence of Judaism in Europe, as well as did offensive declarations.  After the arrest was done control to his residence and resulted that he had leaflets with the same content. This citizen declared that materials found in the residence were in the context of the protection of the freedom of expression, also were unpublished.</w:t>
      </w:r>
    </w:p>
    <w:p w:rsidR="00F57BF9" w:rsidRPr="00C01906" w:rsidRDefault="00F57BF9" w:rsidP="00F57BF9">
      <w:pPr>
        <w:spacing w:after="0" w:line="240" w:lineRule="auto"/>
        <w:ind w:firstLine="360"/>
        <w:jc w:val="both"/>
        <w:rPr>
          <w:rFonts w:ascii="Times New Roman" w:hAnsi="Times New Roman"/>
          <w:b/>
          <w:sz w:val="27"/>
          <w:szCs w:val="27"/>
          <w:lang w:val="en-US"/>
        </w:rPr>
      </w:pPr>
    </w:p>
    <w:p w:rsidR="00F57BF9" w:rsidRPr="00C01906" w:rsidRDefault="00F57BF9" w:rsidP="00F57BF9">
      <w:pPr>
        <w:spacing w:after="0" w:line="240" w:lineRule="auto"/>
        <w:jc w:val="both"/>
        <w:rPr>
          <w:rFonts w:ascii="Times New Roman" w:hAnsi="Times New Roman"/>
          <w:i/>
          <w:sz w:val="27"/>
          <w:szCs w:val="27"/>
          <w:lang w:val="en-US"/>
        </w:rPr>
      </w:pPr>
      <w:r w:rsidRPr="00C01906">
        <w:rPr>
          <w:rFonts w:ascii="Times New Roman" w:hAnsi="Times New Roman"/>
          <w:i/>
          <w:sz w:val="27"/>
          <w:szCs w:val="27"/>
          <w:lang w:val="en-US"/>
        </w:rPr>
        <w:t xml:space="preserve">The question that was in discussion in the training was, whether such a case would be in Albania, how should be acted? </w:t>
      </w:r>
    </w:p>
    <w:p w:rsidR="00F57BF9" w:rsidRPr="00C01906" w:rsidRDefault="00F57BF9" w:rsidP="00F57BF9">
      <w:pPr>
        <w:spacing w:after="0" w:line="240" w:lineRule="auto"/>
        <w:jc w:val="both"/>
        <w:rPr>
          <w:rFonts w:ascii="Times New Roman" w:hAnsi="Times New Roman"/>
          <w:b/>
          <w:sz w:val="27"/>
          <w:szCs w:val="27"/>
          <w:lang w:val="en-US"/>
        </w:rPr>
      </w:pPr>
      <w:r w:rsidRPr="00C01906">
        <w:rPr>
          <w:rFonts w:ascii="Times New Roman" w:hAnsi="Times New Roman"/>
          <w:sz w:val="27"/>
          <w:szCs w:val="27"/>
          <w:lang w:val="en-US"/>
        </w:rPr>
        <w:t>In relation to the answer to this question there were two approaches: the first approach was for a detailed interpretation of the Article 74/a of the Criminal Code with the argument that even if the public sharing or intentional sharing of these materials that negate, minimize, seriously, approve or justify acts, that are genocide or crimes against humanity will be done with leaflets or with books, it is a sharing, despite the fact of being done through computer system, or not.  Leaflets in themselves are published and printed through computer system and if we shall analyze in details, we shall be in front of the criminal offense foreseen by the Article 74/</w:t>
      </w:r>
      <w:proofErr w:type="gramStart"/>
      <w:r w:rsidRPr="00C01906">
        <w:rPr>
          <w:rFonts w:ascii="Times New Roman" w:hAnsi="Times New Roman"/>
          <w:sz w:val="27"/>
          <w:szCs w:val="27"/>
          <w:lang w:val="en-US"/>
        </w:rPr>
        <w:t>a of</w:t>
      </w:r>
      <w:proofErr w:type="gramEnd"/>
      <w:r w:rsidRPr="00C01906">
        <w:rPr>
          <w:rFonts w:ascii="Times New Roman" w:hAnsi="Times New Roman"/>
          <w:sz w:val="27"/>
          <w:szCs w:val="27"/>
          <w:lang w:val="en-US"/>
        </w:rPr>
        <w:t xml:space="preserve"> the Criminal Code.</w:t>
      </w:r>
      <w:r w:rsidRPr="00C01906">
        <w:rPr>
          <w:rStyle w:val="FootnoteReference"/>
          <w:rFonts w:ascii="Times New Roman" w:hAnsi="Times New Roman"/>
          <w:sz w:val="27"/>
          <w:szCs w:val="27"/>
          <w:lang w:val="en-US"/>
        </w:rPr>
        <w:footnoteReference w:id="20"/>
      </w:r>
    </w:p>
    <w:p w:rsidR="00F57BF9" w:rsidRPr="00C01906" w:rsidRDefault="00F57BF9" w:rsidP="00F57BF9">
      <w:pPr>
        <w:spacing w:after="0" w:line="240" w:lineRule="auto"/>
        <w:jc w:val="both"/>
        <w:rPr>
          <w:rFonts w:ascii="Times New Roman" w:hAnsi="Times New Roman"/>
          <w:b/>
          <w:sz w:val="27"/>
          <w:szCs w:val="27"/>
          <w:lang w:val="en-US"/>
        </w:rPr>
      </w:pPr>
      <w:r w:rsidRPr="00C01906">
        <w:rPr>
          <w:rFonts w:ascii="Times New Roman" w:hAnsi="Times New Roman"/>
          <w:sz w:val="27"/>
          <w:szCs w:val="27"/>
          <w:lang w:val="en-US"/>
        </w:rPr>
        <w:lastRenderedPageBreak/>
        <w:t>The second approach considered it as a classic criminal offense and not in the context of cyber crime. The person in discussion would be responsible criminally under the Article 265 of the Criminal Code for the inciting of hate and divergences.</w:t>
      </w:r>
      <w:r w:rsidRPr="00C01906">
        <w:rPr>
          <w:rStyle w:val="FootnoteReference"/>
          <w:rFonts w:ascii="Times New Roman" w:hAnsi="Times New Roman"/>
          <w:sz w:val="27"/>
          <w:szCs w:val="27"/>
          <w:lang w:val="en-US"/>
        </w:rPr>
        <w:footnoteReference w:id="21"/>
      </w:r>
      <w:r w:rsidRPr="00C01906">
        <w:rPr>
          <w:rFonts w:ascii="Times New Roman" w:hAnsi="Times New Roman"/>
          <w:sz w:val="27"/>
          <w:szCs w:val="27"/>
          <w:lang w:val="en-US"/>
        </w:rPr>
        <w:t xml:space="preserve"> This approach supported the argument in the fact that cybercrime is committed only through computer systems and to the Article 74/</w:t>
      </w:r>
      <w:proofErr w:type="gramStart"/>
      <w:r w:rsidRPr="00C01906">
        <w:rPr>
          <w:rFonts w:ascii="Times New Roman" w:hAnsi="Times New Roman"/>
          <w:sz w:val="27"/>
          <w:szCs w:val="27"/>
          <w:lang w:val="en-US"/>
        </w:rPr>
        <w:t>a of</w:t>
      </w:r>
      <w:proofErr w:type="gramEnd"/>
      <w:r w:rsidRPr="00C01906">
        <w:rPr>
          <w:rFonts w:ascii="Times New Roman" w:hAnsi="Times New Roman"/>
          <w:sz w:val="27"/>
          <w:szCs w:val="27"/>
          <w:lang w:val="en-US"/>
        </w:rPr>
        <w:t xml:space="preserve"> the Criminal Code could not be given an enlarged interpretation. </w:t>
      </w:r>
      <w:r w:rsidRPr="00C01906">
        <w:rPr>
          <w:rStyle w:val="FootnoteReference"/>
          <w:rFonts w:ascii="Times New Roman" w:hAnsi="Times New Roman"/>
          <w:sz w:val="27"/>
          <w:szCs w:val="27"/>
          <w:lang w:val="en-US"/>
        </w:rPr>
        <w:footnoteReference w:id="22"/>
      </w:r>
      <w:r w:rsidRPr="00C01906">
        <w:rPr>
          <w:rFonts w:ascii="Times New Roman" w:hAnsi="Times New Roman"/>
          <w:sz w:val="27"/>
          <w:szCs w:val="27"/>
          <w:lang w:val="en-US"/>
        </w:rPr>
        <w:t xml:space="preserve"> In the absence of computer systems, we may go to the general figure that we have had since 1995 that we have transposed from the Code of the year 1952 and of the year 1977, the inciting of hate and conflicts (Article 265 of the CC). Article 265 of the Criminal Code should be considered as a general figure and to be applied. However, if we analyze the inciting of hate and conflicts, it needs discernment from propaganda.</w:t>
      </w:r>
    </w:p>
    <w:p w:rsidR="00F57BF9" w:rsidRPr="00C01906" w:rsidRDefault="00F57BF9" w:rsidP="00F57BF9">
      <w:pPr>
        <w:spacing w:after="0" w:line="240" w:lineRule="auto"/>
        <w:jc w:val="both"/>
        <w:rPr>
          <w:rFonts w:ascii="Times New Roman" w:hAnsi="Times New Roman"/>
          <w:b/>
          <w:sz w:val="27"/>
          <w:szCs w:val="27"/>
          <w:lang w:val="en-US"/>
        </w:rPr>
      </w:pPr>
      <w:r w:rsidRPr="00C01906">
        <w:rPr>
          <w:rFonts w:ascii="Times New Roman" w:hAnsi="Times New Roman"/>
          <w:sz w:val="27"/>
          <w:szCs w:val="27"/>
          <w:lang w:val="en-US"/>
        </w:rPr>
        <w:t xml:space="preserve">The question was discussed even in the reference of the last paragraph of the Article 265 of the Criminal Code, which states that, </w:t>
      </w:r>
      <w:r w:rsidRPr="00C01906">
        <w:rPr>
          <w:rFonts w:ascii="Times New Roman" w:hAnsi="Times New Roman"/>
          <w:i/>
          <w:sz w:val="27"/>
          <w:szCs w:val="27"/>
          <w:lang w:val="en-US"/>
        </w:rPr>
        <w:t>“the inciting of hatred and conflicts, because of race, ethnicity, religion or sexual orientation, as well as preparation, transmission or the storage, intending the sharing of writings with such content, done through every instrument or form, is sentenced with two up to ten years</w:t>
      </w:r>
      <w:r w:rsidRPr="00C01906">
        <w:rPr>
          <w:rFonts w:ascii="Times New Roman" w:hAnsi="Times New Roman"/>
          <w:i/>
          <w:spacing w:val="2"/>
          <w:sz w:val="27"/>
          <w:szCs w:val="27"/>
          <w:shd w:val="clear" w:color="auto" w:fill="FFFFFF"/>
          <w:lang w:val="en-US"/>
        </w:rPr>
        <w:t>.</w:t>
      </w:r>
      <w:r w:rsidRPr="00C01906">
        <w:rPr>
          <w:rFonts w:ascii="Times New Roman" w:hAnsi="Times New Roman"/>
          <w:i/>
          <w:sz w:val="27"/>
          <w:szCs w:val="27"/>
          <w:lang w:val="en-US"/>
        </w:rPr>
        <w:t xml:space="preserve">” </w:t>
      </w:r>
      <w:r w:rsidRPr="00C01906">
        <w:rPr>
          <w:rFonts w:ascii="Times New Roman" w:hAnsi="Times New Roman"/>
          <w:sz w:val="27"/>
          <w:szCs w:val="27"/>
          <w:lang w:val="en-US"/>
        </w:rPr>
        <w:t xml:space="preserve">Does this paragraph imply or not cyber systems? </w:t>
      </w:r>
    </w:p>
    <w:p w:rsidR="00F57BF9" w:rsidRPr="00C01906" w:rsidRDefault="00F57BF9" w:rsidP="00F57BF9">
      <w:pPr>
        <w:spacing w:after="0" w:line="240" w:lineRule="auto"/>
        <w:jc w:val="both"/>
        <w:rPr>
          <w:rFonts w:ascii="Times New Roman" w:hAnsi="Times New Roman"/>
          <w:b/>
          <w:sz w:val="27"/>
          <w:szCs w:val="27"/>
          <w:lang w:val="en-US"/>
        </w:rPr>
      </w:pPr>
      <w:r w:rsidRPr="00C01906">
        <w:rPr>
          <w:rFonts w:ascii="Times New Roman" w:hAnsi="Times New Roman"/>
          <w:sz w:val="27"/>
          <w:szCs w:val="27"/>
          <w:lang w:val="en-US"/>
        </w:rPr>
        <w:t xml:space="preserve">The approach was that in the moment that we have a special offense, we should not have a general one. When the criminal fact meets the objective side of another criminal offense you will go to that criminal offense because the anticipation of a specific provision is related with the part of risk and the influence it has. The Article 265 of the Criminal Code is a general offense and the term </w:t>
      </w:r>
      <w:r w:rsidRPr="00C01906">
        <w:rPr>
          <w:rFonts w:ascii="Times New Roman" w:hAnsi="Times New Roman"/>
          <w:i/>
          <w:sz w:val="27"/>
          <w:szCs w:val="27"/>
          <w:lang w:val="en-US"/>
        </w:rPr>
        <w:t xml:space="preserve">through every instrument and form </w:t>
      </w:r>
      <w:r w:rsidRPr="00C01906">
        <w:rPr>
          <w:rFonts w:ascii="Times New Roman" w:hAnsi="Times New Roman"/>
          <w:sz w:val="27"/>
          <w:szCs w:val="27"/>
          <w:lang w:val="en-US"/>
        </w:rPr>
        <w:t xml:space="preserve">does not include the computer system that is foreseen as a specific act. </w:t>
      </w:r>
    </w:p>
    <w:p w:rsidR="00F57BF9" w:rsidRPr="00C01906" w:rsidRDefault="00F57BF9" w:rsidP="00F57BF9">
      <w:pPr>
        <w:spacing w:after="0" w:line="240" w:lineRule="auto"/>
        <w:jc w:val="both"/>
        <w:rPr>
          <w:rFonts w:ascii="Times New Roman" w:hAnsi="Times New Roman"/>
          <w:sz w:val="27"/>
          <w:szCs w:val="27"/>
          <w:lang w:val="en-US"/>
        </w:rPr>
      </w:pPr>
      <w:r w:rsidRPr="00C01906">
        <w:rPr>
          <w:rFonts w:ascii="Times New Roman" w:hAnsi="Times New Roman"/>
          <w:sz w:val="27"/>
          <w:szCs w:val="27"/>
          <w:lang w:val="en-US"/>
        </w:rPr>
        <w:t>The Cassation Court in Italy has elaborated this fact in two important aspects. In relation to leaflets, that were found to the residence, the court declared that they do not have a public character and stayed the case. In relation to the other aspect of the language of hate, considered it a negation of genocide and of crimes against humanity the accepting of holocaust as a form of the language of hate and being so the sharing of leaflets, the context in which it was realized, that was in their memory day, shows the malicious purpose of the author. What should be emphasized is that the negation of holocaust or materials for genocide were treated as language of hate and we have transposed the language of hate to the Article 265 of the Criminal Code.</w:t>
      </w:r>
    </w:p>
    <w:p w:rsidR="00F57BF9" w:rsidRPr="00C01906" w:rsidRDefault="00F57BF9" w:rsidP="00F57BF9">
      <w:pPr>
        <w:spacing w:after="0" w:line="240" w:lineRule="auto"/>
        <w:jc w:val="both"/>
        <w:rPr>
          <w:rFonts w:ascii="Times New Roman" w:hAnsi="Times New Roman"/>
          <w:b/>
          <w:sz w:val="27"/>
          <w:szCs w:val="27"/>
          <w:lang w:val="en-US"/>
        </w:rPr>
      </w:pPr>
      <w:r w:rsidRPr="00C01906">
        <w:rPr>
          <w:rFonts w:ascii="Times New Roman" w:hAnsi="Times New Roman"/>
          <w:sz w:val="27"/>
          <w:szCs w:val="27"/>
          <w:lang w:val="en-US"/>
        </w:rPr>
        <w:t>In the training were presented also other cases from the international practice.</w:t>
      </w:r>
      <w:r w:rsidRPr="00C01906">
        <w:rPr>
          <w:rStyle w:val="FootnoteReference"/>
          <w:rFonts w:ascii="Times New Roman" w:hAnsi="Times New Roman"/>
          <w:sz w:val="27"/>
          <w:szCs w:val="27"/>
          <w:lang w:val="en-US"/>
        </w:rPr>
        <w:footnoteReference w:id="23"/>
      </w:r>
    </w:p>
    <w:p w:rsidR="00F57BF9" w:rsidRPr="00C01906" w:rsidRDefault="00F57BF9" w:rsidP="00F57BF9">
      <w:pPr>
        <w:spacing w:after="0" w:line="240" w:lineRule="auto"/>
        <w:jc w:val="both"/>
        <w:rPr>
          <w:rFonts w:ascii="Times New Roman" w:hAnsi="Times New Roman"/>
          <w:sz w:val="27"/>
          <w:szCs w:val="27"/>
          <w:lang w:val="en-US"/>
        </w:rPr>
      </w:pPr>
    </w:p>
    <w:p w:rsidR="00F57BF9" w:rsidRPr="00C01906" w:rsidRDefault="00F57BF9" w:rsidP="00F57BF9">
      <w:pPr>
        <w:tabs>
          <w:tab w:val="left" w:pos="360"/>
          <w:tab w:val="left" w:pos="720"/>
        </w:tabs>
        <w:spacing w:after="0" w:line="240" w:lineRule="auto"/>
        <w:jc w:val="both"/>
        <w:rPr>
          <w:rFonts w:ascii="Times New Roman" w:hAnsi="Times New Roman"/>
          <w:b/>
          <w:bCs/>
          <w:sz w:val="27"/>
          <w:szCs w:val="27"/>
          <w:lang w:val="en-US"/>
        </w:rPr>
      </w:pPr>
      <w:r w:rsidRPr="00C01906">
        <w:rPr>
          <w:rFonts w:ascii="Times New Roman" w:hAnsi="Times New Roman"/>
          <w:b/>
          <w:bCs/>
          <w:sz w:val="27"/>
          <w:szCs w:val="27"/>
          <w:lang w:val="en-US"/>
        </w:rPr>
        <w:t xml:space="preserve"> 7) Distribution of racist or xenophobic materials through computer system, (Article 119/a)</w:t>
      </w:r>
      <w:r w:rsidRPr="00C01906">
        <w:rPr>
          <w:rFonts w:ascii="Times New Roman" w:hAnsi="Times New Roman"/>
          <w:b/>
          <w:bCs/>
          <w:sz w:val="27"/>
          <w:szCs w:val="27"/>
          <w:vertAlign w:val="superscript"/>
          <w:lang w:val="en-US"/>
        </w:rPr>
        <w:footnoteReference w:id="24"/>
      </w:r>
      <w:r w:rsidRPr="00C01906">
        <w:rPr>
          <w:rFonts w:ascii="Times New Roman" w:hAnsi="Times New Roman"/>
          <w:b/>
          <w:bCs/>
          <w:sz w:val="27"/>
          <w:szCs w:val="27"/>
          <w:lang w:val="en-US"/>
        </w:rPr>
        <w:t>, concepts and problems noticed from judicial practice</w:t>
      </w:r>
    </w:p>
    <w:p w:rsidR="00F57BF9" w:rsidRPr="00C01906" w:rsidRDefault="00F57BF9" w:rsidP="00F57BF9">
      <w:pPr>
        <w:tabs>
          <w:tab w:val="left" w:pos="360"/>
          <w:tab w:val="left" w:pos="720"/>
        </w:tabs>
        <w:spacing w:after="0" w:line="240" w:lineRule="auto"/>
        <w:jc w:val="both"/>
        <w:rPr>
          <w:rFonts w:ascii="Times New Roman" w:hAnsi="Times New Roman"/>
          <w:b/>
          <w:bCs/>
          <w:sz w:val="27"/>
          <w:szCs w:val="27"/>
          <w:lang w:val="en-US"/>
        </w:rPr>
      </w:pPr>
    </w:p>
    <w:p w:rsidR="00F57BF9" w:rsidRPr="00C01906" w:rsidRDefault="00F57BF9" w:rsidP="00F57BF9">
      <w:pPr>
        <w:tabs>
          <w:tab w:val="left" w:pos="360"/>
          <w:tab w:val="left" w:pos="720"/>
        </w:tabs>
        <w:spacing w:after="0" w:line="240" w:lineRule="auto"/>
        <w:jc w:val="both"/>
        <w:rPr>
          <w:rFonts w:ascii="Times New Roman" w:hAnsi="Times New Roman"/>
          <w:b/>
          <w:bCs/>
          <w:sz w:val="27"/>
          <w:szCs w:val="27"/>
          <w:lang w:val="en-US"/>
        </w:rPr>
      </w:pPr>
      <w:r w:rsidRPr="00C01906">
        <w:rPr>
          <w:rFonts w:ascii="Times New Roman" w:hAnsi="Times New Roman"/>
          <w:bCs/>
          <w:i/>
          <w:sz w:val="27"/>
          <w:szCs w:val="27"/>
          <w:lang w:val="en-US"/>
        </w:rPr>
        <w:t>During the analysis was given the meaning of the racist or xenophobic material as well as of the terms race, favoring and promotion of distribution and incitement of violence, discrimination, violence, gender identity, ethnicity and ethnic relevance, public character and hate</w:t>
      </w:r>
      <w:r w:rsidRPr="00C01906">
        <w:rPr>
          <w:rFonts w:ascii="Times New Roman" w:hAnsi="Times New Roman"/>
          <w:i/>
          <w:iCs/>
          <w:sz w:val="27"/>
          <w:szCs w:val="27"/>
          <w:lang w:val="en-US"/>
        </w:rPr>
        <w:t xml:space="preserve"> speech. </w:t>
      </w:r>
      <w:r w:rsidRPr="00C01906">
        <w:rPr>
          <w:rFonts w:ascii="Times New Roman" w:hAnsi="Times New Roman"/>
          <w:iCs/>
          <w:sz w:val="27"/>
          <w:szCs w:val="27"/>
          <w:lang w:val="en-US"/>
        </w:rPr>
        <w:t>The objective side of the criminal offense foreseen by the Article</w:t>
      </w:r>
      <w:r w:rsidRPr="00C01906">
        <w:rPr>
          <w:rFonts w:ascii="Times New Roman" w:hAnsi="Times New Roman"/>
          <w:sz w:val="27"/>
          <w:szCs w:val="27"/>
          <w:lang w:val="en-US"/>
        </w:rPr>
        <w:t xml:space="preserve"> 119/a of the Criminal Code, includes its inclusion not only through computer systems, but also through all other forms of photographs, materials, etc.</w:t>
      </w:r>
      <w:r w:rsidRPr="00C01906">
        <w:rPr>
          <w:rFonts w:ascii="Times New Roman" w:hAnsi="Times New Roman"/>
          <w:sz w:val="27"/>
          <w:szCs w:val="27"/>
          <w:vertAlign w:val="superscript"/>
          <w:lang w:val="en-US"/>
        </w:rPr>
        <w:footnoteReference w:id="25"/>
      </w:r>
      <w:r w:rsidRPr="00C01906">
        <w:rPr>
          <w:rFonts w:ascii="Times New Roman" w:hAnsi="Times New Roman"/>
          <w:sz w:val="27"/>
          <w:szCs w:val="27"/>
          <w:lang w:val="en-US"/>
        </w:rPr>
        <w:t xml:space="preserve"> Convention and the second additional Protocol have given a definition of the xenophobic material, considering as such every written material, every image or every presentation of idea or theory that makes favor, shares or incites discriminating violence, hate on the basis of race,</w:t>
      </w:r>
      <w:r w:rsidRPr="00C01906">
        <w:rPr>
          <w:rFonts w:ascii="Times New Roman" w:hAnsi="Times New Roman"/>
          <w:sz w:val="27"/>
          <w:szCs w:val="27"/>
          <w:vertAlign w:val="superscript"/>
          <w:lang w:val="en-US"/>
        </w:rPr>
        <w:footnoteReference w:id="26"/>
      </w:r>
      <w:r w:rsidRPr="00C01906">
        <w:rPr>
          <w:rFonts w:ascii="Times New Roman" w:hAnsi="Times New Roman"/>
          <w:sz w:val="27"/>
          <w:szCs w:val="27"/>
          <w:lang w:val="en-US"/>
        </w:rPr>
        <w:t xml:space="preserve"> color, lineage and ethnic national origin.</w:t>
      </w:r>
      <w:r w:rsidRPr="00C01906">
        <w:rPr>
          <w:rFonts w:ascii="Times New Roman" w:hAnsi="Times New Roman"/>
          <w:sz w:val="27"/>
          <w:szCs w:val="27"/>
          <w:vertAlign w:val="superscript"/>
          <w:lang w:val="en-US"/>
        </w:rPr>
        <w:footnoteReference w:id="27"/>
      </w:r>
      <w:r w:rsidRPr="00C01906">
        <w:rPr>
          <w:rFonts w:ascii="Times New Roman" w:hAnsi="Times New Roman"/>
          <w:sz w:val="27"/>
          <w:szCs w:val="27"/>
          <w:lang w:val="en-US"/>
        </w:rPr>
        <w:t xml:space="preserve"> They are directed to an individual or to a group of individuals who are vulnerable, such as: refugees, emigrants, religious, historic, ethnic, linguistic minorities; </w:t>
      </w:r>
      <w:r w:rsidRPr="00C01906">
        <w:rPr>
          <w:rStyle w:val="hgkelc"/>
          <w:rFonts w:ascii="Times New Roman" w:hAnsi="Times New Roman"/>
          <w:sz w:val="27"/>
          <w:szCs w:val="27"/>
          <w:lang w:val="en-US"/>
        </w:rPr>
        <w:t>LGBTQIA+</w:t>
      </w:r>
      <w:r w:rsidRPr="00C01906">
        <w:rPr>
          <w:rFonts w:ascii="Times New Roman" w:hAnsi="Times New Roman"/>
          <w:sz w:val="27"/>
          <w:szCs w:val="27"/>
          <w:lang w:val="en-US"/>
        </w:rPr>
        <w:t xml:space="preserve">; persons with limited ability. This figure of the criminal offense needs the public </w:t>
      </w:r>
      <w:r w:rsidRPr="00C01906">
        <w:rPr>
          <w:rFonts w:ascii="Times New Roman" w:hAnsi="Times New Roman"/>
          <w:sz w:val="27"/>
          <w:szCs w:val="27"/>
          <w:lang w:val="en-US"/>
        </w:rPr>
        <w:lastRenderedPageBreak/>
        <w:t>character through computer systems, so that to be configured as a criminal offense.</w:t>
      </w:r>
      <w:r w:rsidRPr="00C01906">
        <w:rPr>
          <w:rFonts w:ascii="Times New Roman" w:hAnsi="Times New Roman"/>
          <w:sz w:val="27"/>
          <w:szCs w:val="27"/>
          <w:vertAlign w:val="superscript"/>
          <w:lang w:val="en-US"/>
        </w:rPr>
        <w:footnoteReference w:id="28"/>
      </w:r>
      <w:r w:rsidRPr="00C01906">
        <w:rPr>
          <w:rFonts w:ascii="Times New Roman" w:hAnsi="Times New Roman"/>
          <w:sz w:val="27"/>
          <w:szCs w:val="27"/>
          <w:lang w:val="en-US"/>
        </w:rPr>
        <w:t xml:space="preserve"> The term “for the public” makes clear that private communications or expressed communicated or transmitted through a computer system are out of the area of this provision. The exchange of the racist and xenophobic material through the post of similar messages between groups of news or discussions for them are examples of the availability of the public to this material. </w:t>
      </w:r>
    </w:p>
    <w:p w:rsidR="00F57BF9" w:rsidRPr="00C01906" w:rsidRDefault="00F57BF9" w:rsidP="00F57BF9">
      <w:pPr>
        <w:tabs>
          <w:tab w:val="left" w:pos="360"/>
          <w:tab w:val="left" w:pos="720"/>
        </w:tabs>
        <w:spacing w:after="0" w:line="240" w:lineRule="auto"/>
        <w:jc w:val="both"/>
        <w:rPr>
          <w:rFonts w:ascii="Times New Roman" w:hAnsi="Times New Roman"/>
          <w:b/>
          <w:bCs/>
          <w:sz w:val="27"/>
          <w:szCs w:val="27"/>
          <w:lang w:val="en-US"/>
        </w:rPr>
      </w:pPr>
      <w:r w:rsidRPr="00C01906">
        <w:rPr>
          <w:rFonts w:ascii="Times New Roman" w:hAnsi="Times New Roman"/>
          <w:sz w:val="27"/>
          <w:szCs w:val="27"/>
          <w:lang w:val="en-US"/>
        </w:rPr>
        <w:t>There have always been different attitudes in the cases of the creation of the groups of discussion to the website (forums) for a certain number of individuals, whether the publication of the racist or xenophobic material between them may be considered of being public. This for the fact that forums may appear even as groups with closed participation (limited membership). In the training was discussed decision no. 4534, date 6 December, 2021 of the Cassation Court of Italy, Section I, where is seen the approach that in the above mentioned case the material is public. In this decision was reasoned that is consumed the figure of the criminal offense, joining to a virtual community that is characterized by a neo-Nazi ideological vocation, having as one of his purposes the propaganda and inciting of discrimination and violence for race, ethnic or religious reasons and the division in tables of messages of its “social” platforms, of messages with clear negative, anti-Semitic and discriminating  content, because of races, through the inclusion of “likes” and re-sharing of “posts” and similar comments, because of the high risk of the sharing of such ideological contents between an indefinite number of people that results from the algorithm, of the function of “social networks,” that increases the number of interactions between users.</w:t>
      </w:r>
    </w:p>
    <w:p w:rsidR="00F57BF9" w:rsidRPr="00C01906" w:rsidRDefault="00F57BF9" w:rsidP="00F57BF9">
      <w:pPr>
        <w:tabs>
          <w:tab w:val="left" w:pos="360"/>
          <w:tab w:val="left" w:pos="720"/>
        </w:tabs>
        <w:spacing w:after="0" w:line="240" w:lineRule="auto"/>
        <w:jc w:val="both"/>
        <w:rPr>
          <w:rFonts w:ascii="Times New Roman" w:hAnsi="Times New Roman"/>
          <w:b/>
          <w:bCs/>
          <w:sz w:val="27"/>
          <w:szCs w:val="27"/>
          <w:lang w:val="en-US"/>
        </w:rPr>
      </w:pPr>
      <w:r w:rsidRPr="00C01906">
        <w:rPr>
          <w:rFonts w:ascii="Times New Roman" w:hAnsi="Times New Roman"/>
          <w:sz w:val="27"/>
          <w:szCs w:val="27"/>
          <w:lang w:val="en-US"/>
        </w:rPr>
        <w:t xml:space="preserve">There were discussions on the implementation of the criminal liability regarding the possession of racist materials. In this aspect was presented the attitude of the Cassation Court of Italy in decision no. </w:t>
      </w:r>
      <w:r w:rsidRPr="00C01906">
        <w:rPr>
          <w:rFonts w:ascii="Times New Roman" w:hAnsi="Times New Roman"/>
          <w:bCs/>
          <w:sz w:val="27"/>
          <w:szCs w:val="27"/>
          <w:lang w:val="en-US"/>
        </w:rPr>
        <w:t>3808/22, who along with the complete respect of the ECtHR jurisprudence, that for year has considered the negation of Holocaust specifically as a form of the language of hate that has clear discriminating intentions, identifies the importance of the essential factors to punish these crimes within the country. Specifically, the Cassation Court in Italy considered that the finding of leaflets in a private house was not a criminal offense, while their posting and distributing, yes. This brings a fair balance between the limits of the freedom of expression and the prohibition of discrimination because is exactly the distribution of discriminating messages and of hate that makes a certain behavior to have criminal importance.</w:t>
      </w:r>
      <w:r w:rsidRPr="00C01906">
        <w:rPr>
          <w:rFonts w:ascii="Times New Roman" w:hAnsi="Times New Roman"/>
          <w:sz w:val="27"/>
          <w:szCs w:val="27"/>
          <w:lang w:val="en-US"/>
        </w:rPr>
        <w:t xml:space="preserve"> </w:t>
      </w:r>
    </w:p>
    <w:p w:rsidR="00F57BF9" w:rsidRPr="00C01906" w:rsidRDefault="00F57BF9" w:rsidP="00F57BF9">
      <w:pPr>
        <w:tabs>
          <w:tab w:val="left" w:pos="360"/>
          <w:tab w:val="left" w:pos="720"/>
        </w:tabs>
        <w:spacing w:after="0" w:line="240" w:lineRule="auto"/>
        <w:jc w:val="both"/>
        <w:rPr>
          <w:rFonts w:ascii="Times New Roman" w:hAnsi="Times New Roman"/>
          <w:b/>
          <w:bCs/>
          <w:sz w:val="27"/>
          <w:szCs w:val="27"/>
          <w:lang w:val="en-US"/>
        </w:rPr>
      </w:pPr>
      <w:r w:rsidRPr="00C01906">
        <w:rPr>
          <w:rFonts w:ascii="Times New Roman" w:hAnsi="Times New Roman"/>
          <w:sz w:val="27"/>
          <w:szCs w:val="27"/>
          <w:lang w:val="en-US"/>
        </w:rPr>
        <w:t>During the training were discussed cases of the use of social networks for the inciting of violence and if they should be considered as racist materials. It was analyzed the case of inciting for violence on the</w:t>
      </w:r>
      <w:r w:rsidRPr="00C01906">
        <w:rPr>
          <w:rFonts w:ascii="Times New Roman" w:hAnsi="Times New Roman"/>
          <w:bCs/>
          <w:sz w:val="27"/>
          <w:szCs w:val="27"/>
          <w:lang w:val="en-US"/>
        </w:rPr>
        <w:t xml:space="preserve"> </w:t>
      </w:r>
      <w:r w:rsidRPr="00C01906">
        <w:rPr>
          <w:rFonts w:ascii="Times New Roman" w:hAnsi="Times New Roman"/>
          <w:bCs/>
          <w:i/>
          <w:sz w:val="27"/>
          <w:szCs w:val="27"/>
          <w:lang w:val="en-US"/>
        </w:rPr>
        <w:t>facebook</w:t>
      </w:r>
      <w:r w:rsidRPr="00C01906">
        <w:rPr>
          <w:rFonts w:ascii="Times New Roman" w:hAnsi="Times New Roman"/>
          <w:bCs/>
          <w:sz w:val="27"/>
          <w:szCs w:val="27"/>
          <w:lang w:val="en-US"/>
        </w:rPr>
        <w:t xml:space="preserve"> whether it is an encouragement for violence, and the attitude of the Cassation Court of Italy, section</w:t>
      </w:r>
      <w:r w:rsidRPr="00C01906">
        <w:rPr>
          <w:rFonts w:ascii="Times New Roman" w:hAnsi="Times New Roman"/>
          <w:sz w:val="27"/>
          <w:szCs w:val="27"/>
          <w:lang w:val="en-US"/>
        </w:rPr>
        <w:t xml:space="preserve"> I, decision no. 42727, date 23.10.2015. A woman that was convicted for the encouragement of violence for </w:t>
      </w:r>
      <w:r w:rsidRPr="00C01906">
        <w:rPr>
          <w:rFonts w:ascii="Times New Roman" w:hAnsi="Times New Roman"/>
          <w:sz w:val="27"/>
          <w:szCs w:val="27"/>
          <w:lang w:val="en-US"/>
        </w:rPr>
        <w:lastRenderedPageBreak/>
        <w:t xml:space="preserve">racial reasons after having published in her profile on </w:t>
      </w:r>
      <w:r w:rsidRPr="00C01906">
        <w:rPr>
          <w:rFonts w:ascii="Times New Roman" w:hAnsi="Times New Roman"/>
          <w:i/>
          <w:sz w:val="27"/>
          <w:szCs w:val="27"/>
          <w:lang w:val="en-US"/>
        </w:rPr>
        <w:t>Facebook</w:t>
      </w:r>
      <w:r w:rsidRPr="00C01906">
        <w:rPr>
          <w:rFonts w:ascii="Times New Roman" w:hAnsi="Times New Roman"/>
          <w:sz w:val="27"/>
          <w:szCs w:val="27"/>
          <w:lang w:val="en-US"/>
        </w:rPr>
        <w:t xml:space="preserve"> the message, "</w:t>
      </w:r>
      <w:r w:rsidRPr="00C01906">
        <w:rPr>
          <w:rFonts w:ascii="Times New Roman" w:hAnsi="Times New Roman"/>
          <w:i/>
          <w:sz w:val="27"/>
          <w:szCs w:val="27"/>
          <w:lang w:val="en-US"/>
        </w:rPr>
        <w:t>Never allow someone to violate her, only to see how feels the victim of this shameful crime! Shame on you!</w:t>
      </w:r>
      <w:r w:rsidRPr="00C01906">
        <w:rPr>
          <w:rFonts w:ascii="Times New Roman" w:hAnsi="Times New Roman"/>
          <w:sz w:val="27"/>
          <w:szCs w:val="27"/>
          <w:lang w:val="en-US"/>
        </w:rPr>
        <w:t xml:space="preserve">” In this case, the author has acted on a certain purpose, voluntarily and intentionally to violate the dignity and the safety of the victim, considering ethnic, religious or race factors and is considered committed in spite of circumstances that the encouragement is accepted by the receivers. This term implies a behavior that intends to provide for the others the incitement that is essential to commit a violent crime. It was considered that the risk existed, taking into consideration expressions and instruments used to publish them, a fact that provides a large distribution, and not the context where it happened, characterized by a serious debate in relation to an episode of sexual violence of an </w:t>
      </w:r>
      <w:proofErr w:type="spellStart"/>
      <w:r w:rsidRPr="00C01906">
        <w:rPr>
          <w:rFonts w:ascii="Times New Roman" w:hAnsi="Times New Roman"/>
          <w:sz w:val="27"/>
          <w:szCs w:val="27"/>
          <w:lang w:val="en-US"/>
        </w:rPr>
        <w:t>italian</w:t>
      </w:r>
      <w:proofErr w:type="spellEnd"/>
      <w:r w:rsidRPr="00C01906">
        <w:rPr>
          <w:rFonts w:ascii="Times New Roman" w:hAnsi="Times New Roman"/>
          <w:sz w:val="27"/>
          <w:szCs w:val="27"/>
          <w:lang w:val="en-US"/>
        </w:rPr>
        <w:t xml:space="preserve"> woman by an African man. </w:t>
      </w:r>
    </w:p>
    <w:p w:rsidR="00F57BF9" w:rsidRPr="00C01906" w:rsidRDefault="00F57BF9" w:rsidP="00F57BF9">
      <w:pPr>
        <w:spacing w:after="0" w:line="240" w:lineRule="auto"/>
        <w:ind w:firstLine="720"/>
        <w:jc w:val="both"/>
        <w:rPr>
          <w:rFonts w:ascii="Times New Roman" w:hAnsi="Times New Roman"/>
          <w:sz w:val="27"/>
          <w:szCs w:val="27"/>
          <w:lang w:val="en-US"/>
        </w:rPr>
      </w:pPr>
    </w:p>
    <w:p w:rsidR="00F57BF9" w:rsidRPr="00C01906" w:rsidRDefault="00F57BF9" w:rsidP="00F57BF9">
      <w:pPr>
        <w:tabs>
          <w:tab w:val="left" w:pos="90"/>
          <w:tab w:val="left" w:pos="360"/>
        </w:tabs>
        <w:spacing w:line="240" w:lineRule="auto"/>
        <w:jc w:val="both"/>
        <w:rPr>
          <w:rFonts w:ascii="Times New Roman" w:hAnsi="Times New Roman"/>
          <w:b/>
          <w:sz w:val="27"/>
          <w:szCs w:val="27"/>
          <w:lang w:val="en-US"/>
        </w:rPr>
      </w:pPr>
      <w:r w:rsidRPr="00C01906">
        <w:rPr>
          <w:rFonts w:ascii="Times New Roman" w:hAnsi="Times New Roman"/>
          <w:b/>
          <w:sz w:val="27"/>
          <w:szCs w:val="27"/>
          <w:lang w:val="en-US"/>
        </w:rPr>
        <w:t xml:space="preserve">8) The difference between the distribution of racist and xenophobic materials and insults and threats. The difference between insults and propaganda </w:t>
      </w:r>
    </w:p>
    <w:p w:rsidR="00F57BF9" w:rsidRPr="00C01906" w:rsidRDefault="00F57BF9" w:rsidP="00F57BF9">
      <w:pPr>
        <w:spacing w:after="0" w:line="240" w:lineRule="auto"/>
        <w:jc w:val="both"/>
        <w:rPr>
          <w:rFonts w:ascii="Times New Roman" w:hAnsi="Times New Roman"/>
          <w:sz w:val="27"/>
          <w:szCs w:val="27"/>
          <w:lang w:val="en-US"/>
        </w:rPr>
      </w:pPr>
      <w:r w:rsidRPr="00C01906">
        <w:rPr>
          <w:rFonts w:ascii="Times New Roman" w:hAnsi="Times New Roman"/>
          <w:sz w:val="27"/>
          <w:szCs w:val="27"/>
          <w:lang w:val="en-US"/>
        </w:rPr>
        <w:t>In difference from the distribution of racist and xenophobic materials that are offenses with general character and purpose, insults and threats are criminal offenses that have a more specific purpose and are addressed to an individual or to a certain group. If lack such motives as: race, ethnicity, etc., then should be applied the traditional provision.</w:t>
      </w:r>
      <w:r w:rsidRPr="00C01906">
        <w:rPr>
          <w:rFonts w:ascii="Times New Roman" w:hAnsi="Times New Roman"/>
          <w:sz w:val="27"/>
          <w:szCs w:val="27"/>
          <w:vertAlign w:val="superscript"/>
          <w:lang w:val="en-US"/>
        </w:rPr>
        <w:footnoteReference w:id="29"/>
      </w:r>
      <w:r w:rsidRPr="00C01906">
        <w:rPr>
          <w:rFonts w:ascii="Times New Roman" w:hAnsi="Times New Roman"/>
          <w:sz w:val="27"/>
          <w:szCs w:val="27"/>
          <w:vertAlign w:val="superscript"/>
          <w:lang w:val="en-US"/>
        </w:rPr>
        <w:t>,</w:t>
      </w:r>
      <w:r w:rsidRPr="00C01906">
        <w:rPr>
          <w:rFonts w:ascii="Times New Roman" w:hAnsi="Times New Roman"/>
          <w:sz w:val="27"/>
          <w:szCs w:val="27"/>
          <w:vertAlign w:val="superscript"/>
          <w:lang w:val="en-US"/>
        </w:rPr>
        <w:footnoteReference w:id="30"/>
      </w:r>
      <w:r w:rsidRPr="00C01906">
        <w:rPr>
          <w:rFonts w:ascii="Times New Roman" w:hAnsi="Times New Roman"/>
          <w:sz w:val="27"/>
          <w:szCs w:val="27"/>
          <w:lang w:val="en-US"/>
        </w:rPr>
        <w:t xml:space="preserve"> In a case which has happened in 2019 in Italy, a deputy of the European Parliament in an interview transmitted in the radio used some expressions for the roma community, such as: they do not work, they are supported by the Italian society, considering them even thieves, etc. The Cassation Court made the difference between insults and propaganda and emphasized that when it is addressed to a certain person; we are in the circumstances of insult, while propaganda has a general character.  </w:t>
      </w:r>
    </w:p>
    <w:p w:rsidR="00F57BF9" w:rsidRPr="00C01906" w:rsidRDefault="00F57BF9" w:rsidP="00F57BF9">
      <w:pPr>
        <w:spacing w:after="0" w:line="240" w:lineRule="auto"/>
        <w:jc w:val="both"/>
        <w:rPr>
          <w:rFonts w:ascii="Times New Roman" w:hAnsi="Times New Roman"/>
          <w:sz w:val="27"/>
          <w:szCs w:val="27"/>
          <w:lang w:val="en-US"/>
        </w:rPr>
      </w:pPr>
      <w:r w:rsidRPr="00C01906">
        <w:rPr>
          <w:rFonts w:ascii="Times New Roman" w:hAnsi="Times New Roman"/>
          <w:sz w:val="27"/>
          <w:szCs w:val="27"/>
          <w:lang w:val="en-US"/>
        </w:rPr>
        <w:t>In this case, the Cassation Court convicted him per the distribution of racist and xenophobic materials through computer systems because it is a language of ethnic and race hate and in this case the satire used for the roma community was one of the forms of the language of hate.</w:t>
      </w:r>
    </w:p>
    <w:p w:rsidR="00F57BF9" w:rsidRPr="00C01906" w:rsidRDefault="00F57BF9" w:rsidP="00F57BF9">
      <w:pPr>
        <w:spacing w:after="0" w:line="240" w:lineRule="auto"/>
        <w:jc w:val="both"/>
        <w:rPr>
          <w:rFonts w:ascii="Times New Roman" w:hAnsi="Times New Roman"/>
          <w:sz w:val="27"/>
          <w:szCs w:val="27"/>
          <w:lang w:val="en-US"/>
        </w:rPr>
      </w:pPr>
      <w:r w:rsidRPr="00C01906">
        <w:rPr>
          <w:rFonts w:ascii="Times New Roman" w:hAnsi="Times New Roman"/>
          <w:sz w:val="27"/>
          <w:szCs w:val="27"/>
          <w:lang w:val="en-US"/>
        </w:rPr>
        <w:t>In another case, in Italy, a deputy, in the journal “</w:t>
      </w:r>
      <w:proofErr w:type="spellStart"/>
      <w:r w:rsidRPr="00C01906">
        <w:rPr>
          <w:rFonts w:ascii="Times New Roman" w:hAnsi="Times New Roman"/>
          <w:i/>
          <w:sz w:val="27"/>
          <w:szCs w:val="27"/>
          <w:lang w:val="en-US"/>
        </w:rPr>
        <w:t>Corriere</w:t>
      </w:r>
      <w:proofErr w:type="spellEnd"/>
      <w:r w:rsidRPr="00C01906">
        <w:rPr>
          <w:rFonts w:ascii="Times New Roman" w:hAnsi="Times New Roman"/>
          <w:i/>
          <w:sz w:val="27"/>
          <w:szCs w:val="27"/>
          <w:lang w:val="en-US"/>
        </w:rPr>
        <w:t xml:space="preserve"> </w:t>
      </w:r>
      <w:proofErr w:type="spellStart"/>
      <w:r w:rsidRPr="00C01906">
        <w:rPr>
          <w:rFonts w:ascii="Times New Roman" w:hAnsi="Times New Roman"/>
          <w:i/>
          <w:sz w:val="27"/>
          <w:szCs w:val="27"/>
          <w:lang w:val="en-US"/>
        </w:rPr>
        <w:t>della</w:t>
      </w:r>
      <w:proofErr w:type="spellEnd"/>
      <w:r w:rsidRPr="00C01906">
        <w:rPr>
          <w:rFonts w:ascii="Times New Roman" w:hAnsi="Times New Roman"/>
          <w:i/>
          <w:sz w:val="27"/>
          <w:szCs w:val="27"/>
          <w:lang w:val="en-US"/>
        </w:rPr>
        <w:t xml:space="preserve"> Sera</w:t>
      </w:r>
      <w:r w:rsidRPr="00C01906">
        <w:rPr>
          <w:rFonts w:ascii="Times New Roman" w:hAnsi="Times New Roman"/>
          <w:sz w:val="27"/>
          <w:szCs w:val="27"/>
          <w:lang w:val="en-US"/>
        </w:rPr>
        <w:t xml:space="preserve">”, commented one of the members of parliament, who had relations with a new movement in the Italian political life, considering the program of this political movement as a fascist program and being so as an anticonstitutional one. The Cassation Court emphasized that we have to do with political beliefs versus each – other, and in this cases expressed an opinion for what exists or not and there is no criminal offense. In the </w:t>
      </w:r>
      <w:r w:rsidRPr="00C01906">
        <w:rPr>
          <w:rFonts w:ascii="Times New Roman" w:hAnsi="Times New Roman"/>
          <w:sz w:val="27"/>
          <w:szCs w:val="27"/>
          <w:lang w:val="en-US"/>
        </w:rPr>
        <w:lastRenderedPageBreak/>
        <w:t>concrete case, the court considered as unimportant, exactly because the case did not pass the limits of political critic, the verification of the truth of the presence of the characteristics of xenophobia, racism, violence and anti-Semitism in the association “</w:t>
      </w:r>
      <w:r w:rsidRPr="00C01906">
        <w:rPr>
          <w:rFonts w:ascii="Times New Roman" w:hAnsi="Times New Roman"/>
          <w:i/>
          <w:sz w:val="27"/>
          <w:szCs w:val="27"/>
          <w:lang w:val="en-US"/>
        </w:rPr>
        <w:t xml:space="preserve">Forza </w:t>
      </w:r>
      <w:proofErr w:type="spellStart"/>
      <w:r w:rsidRPr="00C01906">
        <w:rPr>
          <w:rFonts w:ascii="Times New Roman" w:hAnsi="Times New Roman"/>
          <w:i/>
          <w:sz w:val="27"/>
          <w:szCs w:val="27"/>
          <w:lang w:val="en-US"/>
        </w:rPr>
        <w:t>Nuova</w:t>
      </w:r>
      <w:proofErr w:type="spellEnd"/>
      <w:r w:rsidRPr="00C01906">
        <w:rPr>
          <w:rFonts w:ascii="Times New Roman" w:hAnsi="Times New Roman"/>
          <w:sz w:val="27"/>
          <w:szCs w:val="27"/>
          <w:lang w:val="en-US"/>
        </w:rPr>
        <w:t xml:space="preserve">”. (For more see: Cass. Section 5, 8.1.2010, n. 10449, </w:t>
      </w:r>
      <w:proofErr w:type="gramStart"/>
      <w:r w:rsidRPr="00C01906">
        <w:rPr>
          <w:rFonts w:ascii="Times New Roman" w:hAnsi="Times New Roman"/>
          <w:sz w:val="27"/>
          <w:szCs w:val="27"/>
          <w:lang w:val="en-US"/>
        </w:rPr>
        <w:t>rv</w:t>
      </w:r>
      <w:proofErr w:type="gramEnd"/>
      <w:r w:rsidRPr="00C01906">
        <w:rPr>
          <w:rFonts w:ascii="Times New Roman" w:hAnsi="Times New Roman"/>
          <w:sz w:val="27"/>
          <w:szCs w:val="27"/>
          <w:lang w:val="en-US"/>
        </w:rPr>
        <w:t>. 247132).</w:t>
      </w:r>
    </w:p>
    <w:p w:rsidR="00F57BF9" w:rsidRPr="00C01906" w:rsidRDefault="00F57BF9" w:rsidP="00F57BF9">
      <w:pPr>
        <w:spacing w:after="0" w:line="240" w:lineRule="auto"/>
        <w:jc w:val="both"/>
        <w:rPr>
          <w:rFonts w:ascii="Times New Roman" w:hAnsi="Times New Roman"/>
          <w:i/>
          <w:iCs/>
          <w:sz w:val="27"/>
          <w:szCs w:val="27"/>
          <w:lang w:val="en-US"/>
        </w:rPr>
      </w:pPr>
      <w:r w:rsidRPr="00C01906">
        <w:rPr>
          <w:rFonts w:ascii="Times New Roman" w:hAnsi="Times New Roman"/>
          <w:sz w:val="27"/>
          <w:szCs w:val="27"/>
          <w:lang w:val="en-US"/>
        </w:rPr>
        <w:t>Discussions were in relation to terms “serious threat” and “intimidation.” This recent one may refer to a threat that creates fear to persons to whom it is addressed, that they will be hurt by a serious criminal offense, for example, by touching life, personal safety or integrity, serious damage of properties, etc., of the eviction or of her relatives. It is up to party states to decide what a serious criminal offense is. While your state determines that intimidation should be serious and should be for the killing of serious wounding of the person. So, the prediction that is done is in harmony with protocol, with the difference that the term “intimidation” is considered as threat in the general meaning “serious threatening for killing or serious health damage.”</w:t>
      </w:r>
    </w:p>
    <w:p w:rsidR="00F57BF9" w:rsidRPr="00C01906" w:rsidRDefault="00F57BF9" w:rsidP="00F57BF9">
      <w:pPr>
        <w:spacing w:after="0" w:line="240" w:lineRule="auto"/>
        <w:jc w:val="both"/>
        <w:rPr>
          <w:rFonts w:ascii="Times New Roman" w:hAnsi="Times New Roman"/>
          <w:sz w:val="27"/>
          <w:szCs w:val="27"/>
          <w:lang w:val="en-US"/>
        </w:rPr>
      </w:pPr>
      <w:r w:rsidRPr="00C01906">
        <w:rPr>
          <w:rFonts w:ascii="Times New Roman" w:hAnsi="Times New Roman"/>
          <w:i/>
          <w:iCs/>
          <w:sz w:val="27"/>
          <w:szCs w:val="27"/>
          <w:lang w:val="en-US"/>
        </w:rPr>
        <w:t xml:space="preserve"> </w:t>
      </w:r>
      <w:r w:rsidRPr="00C01906">
        <w:rPr>
          <w:rFonts w:ascii="Times New Roman" w:hAnsi="Times New Roman"/>
          <w:iCs/>
          <w:sz w:val="27"/>
          <w:szCs w:val="27"/>
          <w:lang w:val="en-US"/>
        </w:rPr>
        <w:t>It was discussed if should be enlarged the term “serious offense.” Also, there were approaches if could be foreseen as motive of ethnic, national, race or religion belonging, even in cases when is not committed through computer systems, specifically in relation to the Article</w:t>
      </w:r>
      <w:r w:rsidRPr="00C01906">
        <w:rPr>
          <w:rFonts w:ascii="Times New Roman" w:hAnsi="Times New Roman"/>
          <w:sz w:val="27"/>
          <w:szCs w:val="27"/>
          <w:lang w:val="en-US"/>
        </w:rPr>
        <w:t xml:space="preserve"> 4 of the Council Framework Decision 2008/913/JHA of 28 November, 2008. The intimidation should be directed to the person for the reason that he or she belongs to a group which is different because of race, color, lineage or national/ethnic origin, as well as religion, if is used the pretext for some of these factors, or a group of persons that is different because of characteristics. There is no restriction that the intimidation should be public. This offense also covers private intimidations and communications. </w:t>
      </w:r>
    </w:p>
    <w:p w:rsidR="00F57BF9" w:rsidRPr="00C01906" w:rsidRDefault="00F57BF9" w:rsidP="00F57BF9">
      <w:pPr>
        <w:spacing w:after="0" w:line="240" w:lineRule="auto"/>
        <w:jc w:val="both"/>
        <w:rPr>
          <w:rFonts w:ascii="Times New Roman" w:hAnsi="Times New Roman"/>
          <w:sz w:val="27"/>
          <w:szCs w:val="27"/>
          <w:lang w:val="en-US"/>
        </w:rPr>
      </w:pPr>
    </w:p>
    <w:p w:rsidR="00F57BF9" w:rsidRPr="00C01906" w:rsidRDefault="00F57BF9" w:rsidP="00F57BF9">
      <w:pPr>
        <w:spacing w:line="240" w:lineRule="auto"/>
        <w:jc w:val="both"/>
        <w:rPr>
          <w:rFonts w:ascii="Times New Roman" w:hAnsi="Times New Roman"/>
          <w:b/>
          <w:sz w:val="27"/>
          <w:szCs w:val="27"/>
          <w:lang w:val="en-US"/>
        </w:rPr>
      </w:pPr>
      <w:r w:rsidRPr="00C01906">
        <w:rPr>
          <w:rFonts w:ascii="Times New Roman" w:hAnsi="Times New Roman"/>
          <w:b/>
          <w:sz w:val="27"/>
          <w:szCs w:val="27"/>
          <w:lang w:val="en-US"/>
        </w:rPr>
        <w:t xml:space="preserve">  9) Other forms of the criminalization of the “inciting of conflicts or national hatred and propaganda for the commitment of acts with terrorist purposes, acts of discrimination and problems presented in jurisprudence </w:t>
      </w:r>
    </w:p>
    <w:p w:rsidR="00F57BF9" w:rsidRPr="00C01906" w:rsidRDefault="00F57BF9" w:rsidP="00F57BF9">
      <w:pPr>
        <w:pStyle w:val="NoSpacing"/>
        <w:jc w:val="both"/>
        <w:rPr>
          <w:rFonts w:ascii="Times New Roman" w:hAnsi="Times New Roman"/>
          <w:sz w:val="27"/>
          <w:szCs w:val="27"/>
        </w:rPr>
      </w:pPr>
      <w:r w:rsidRPr="00C01906">
        <w:rPr>
          <w:rFonts w:ascii="Times New Roman" w:hAnsi="Times New Roman"/>
          <w:sz w:val="27"/>
          <w:szCs w:val="27"/>
        </w:rPr>
        <w:t xml:space="preserve">It was elaborated the inciting of hate and of conflicts because of race, ethnicity, religion or sexual orientation, as well as preparation, distribution or preservation, on the purpose of distributing writings with such a content, done through every instrument or form. </w:t>
      </w:r>
      <w:proofErr w:type="gramStart"/>
      <w:r w:rsidRPr="00C01906">
        <w:rPr>
          <w:rFonts w:ascii="Times New Roman" w:hAnsi="Times New Roman"/>
          <w:sz w:val="27"/>
          <w:szCs w:val="27"/>
        </w:rPr>
        <w:t>Techniques of incrimination chosen in Article 265 of the Criminal Code.</w:t>
      </w:r>
      <w:proofErr w:type="gramEnd"/>
      <w:r w:rsidRPr="00C01906">
        <w:rPr>
          <w:rFonts w:ascii="Times New Roman" w:hAnsi="Times New Roman"/>
          <w:sz w:val="27"/>
          <w:szCs w:val="27"/>
        </w:rPr>
        <w:t xml:space="preserve"> It was discussed its harmonization with the Article1 of the Council Framework Decision 2008/913/JHA of 28 November, 2008</w:t>
      </w:r>
      <w:r w:rsidRPr="00C01906">
        <w:rPr>
          <w:rStyle w:val="FootnoteReference"/>
          <w:rFonts w:ascii="Times New Roman" w:hAnsi="Times New Roman"/>
          <w:sz w:val="27"/>
          <w:szCs w:val="27"/>
        </w:rPr>
        <w:footnoteReference w:id="31"/>
      </w:r>
      <w:r w:rsidRPr="00C01906">
        <w:rPr>
          <w:rFonts w:ascii="Times New Roman" w:hAnsi="Times New Roman"/>
          <w:sz w:val="27"/>
          <w:szCs w:val="27"/>
        </w:rPr>
        <w:t xml:space="preserve">. Another important element related to the anticipation of the Article 265 of the CC is the fact that is enough to be evidenced one of the elements, such as: preparation, distribution, even simply of the hate language and the criminal offense will be considered as consumed. The article </w:t>
      </w:r>
      <w:r w:rsidRPr="00C01906">
        <w:rPr>
          <w:rFonts w:ascii="Times New Roman" w:hAnsi="Times New Roman"/>
          <w:sz w:val="27"/>
          <w:szCs w:val="27"/>
        </w:rPr>
        <w:lastRenderedPageBreak/>
        <w:t xml:space="preserve">itself gives emphasis that the form of the expression of this language is not important in the determination of this criminal offense.  So, not essentially, such a call should be written so that </w:t>
      </w:r>
      <w:proofErr w:type="spellStart"/>
      <w:proofErr w:type="gramStart"/>
      <w:r w:rsidRPr="00C01906">
        <w:rPr>
          <w:rFonts w:ascii="Times New Roman" w:hAnsi="Times New Roman"/>
          <w:sz w:val="27"/>
          <w:szCs w:val="27"/>
        </w:rPr>
        <w:t>ot</w:t>
      </w:r>
      <w:proofErr w:type="spellEnd"/>
      <w:proofErr w:type="gramEnd"/>
      <w:r w:rsidRPr="00C01906">
        <w:rPr>
          <w:rFonts w:ascii="Times New Roman" w:hAnsi="Times New Roman"/>
          <w:sz w:val="27"/>
          <w:szCs w:val="27"/>
        </w:rPr>
        <w:t xml:space="preserve"> be applied. In years this article has been subject of changes, by increasing the measure of punishment in harmony with the increase of the social danger of this criminal offense. </w:t>
      </w:r>
    </w:p>
    <w:p w:rsidR="00F57BF9" w:rsidRPr="00C01906" w:rsidRDefault="00F57BF9" w:rsidP="00F57BF9">
      <w:pPr>
        <w:pStyle w:val="NoSpacing"/>
        <w:jc w:val="both"/>
        <w:rPr>
          <w:rFonts w:ascii="Times New Roman" w:hAnsi="Times New Roman"/>
          <w:sz w:val="27"/>
          <w:szCs w:val="27"/>
        </w:rPr>
      </w:pPr>
      <w:r w:rsidRPr="00C01906">
        <w:rPr>
          <w:rFonts w:ascii="Times New Roman" w:hAnsi="Times New Roman"/>
          <w:sz w:val="27"/>
          <w:szCs w:val="27"/>
        </w:rPr>
        <w:t xml:space="preserve">The language of hate is addressed even in the Article 266 of the Criminal Code, (in the same section as in the Article 265 of the CC), which under the title, “The call for national hatred”, that implies the endangering of the public health making calls for hatred against parts of population, insulting or defaming them, asking to be used violence or arbitrary </w:t>
      </w:r>
      <w:proofErr w:type="spellStart"/>
      <w:r w:rsidRPr="00C01906">
        <w:rPr>
          <w:rFonts w:ascii="Times New Roman" w:hAnsi="Times New Roman"/>
          <w:sz w:val="27"/>
          <w:szCs w:val="27"/>
        </w:rPr>
        <w:t>acations</w:t>
      </w:r>
      <w:proofErr w:type="spellEnd"/>
      <w:r w:rsidRPr="00C01906">
        <w:rPr>
          <w:rFonts w:ascii="Times New Roman" w:hAnsi="Times New Roman"/>
          <w:sz w:val="27"/>
          <w:szCs w:val="27"/>
        </w:rPr>
        <w:t xml:space="preserve"> against them. Yet, this article </w:t>
      </w:r>
      <w:proofErr w:type="spellStart"/>
      <w:r w:rsidRPr="00C01906">
        <w:rPr>
          <w:rFonts w:ascii="Times New Roman" w:hAnsi="Times New Roman"/>
          <w:sz w:val="27"/>
          <w:szCs w:val="27"/>
        </w:rPr>
        <w:t>indends</w:t>
      </w:r>
      <w:proofErr w:type="spellEnd"/>
      <w:r w:rsidRPr="00C01906">
        <w:rPr>
          <w:rFonts w:ascii="Times New Roman" w:hAnsi="Times New Roman"/>
          <w:sz w:val="27"/>
          <w:szCs w:val="27"/>
        </w:rPr>
        <w:t xml:space="preserve"> the limitation of the abuse with the freedom of expression and foresees among others the call for hatred against parts of population or requests for the use of violence or the arbitrary actions against certain parts of the population, as forms of this abuse. </w:t>
      </w:r>
    </w:p>
    <w:p w:rsidR="00F57BF9" w:rsidRPr="00C01906" w:rsidRDefault="00F57BF9" w:rsidP="00F57BF9">
      <w:pPr>
        <w:pStyle w:val="NoSpacing"/>
        <w:jc w:val="both"/>
        <w:rPr>
          <w:rFonts w:ascii="Times New Roman" w:hAnsi="Times New Roman"/>
          <w:sz w:val="27"/>
          <w:szCs w:val="27"/>
        </w:rPr>
      </w:pPr>
      <w:r w:rsidRPr="00C01906">
        <w:rPr>
          <w:rFonts w:ascii="Times New Roman" w:hAnsi="Times New Roman"/>
          <w:sz w:val="27"/>
          <w:szCs w:val="27"/>
        </w:rPr>
        <w:t xml:space="preserve">There was the elaboration of the criminal offense foreseen in the Article  232/a of the Criminal Code, which means propaganda, inciting, public call and the distribution of writings on the purpose of the commitment of criminal offenses with terrorist nature or the financing of terrorism. </w:t>
      </w:r>
    </w:p>
    <w:p w:rsidR="00F57BF9" w:rsidRPr="00C01906" w:rsidRDefault="00F57BF9" w:rsidP="00F57BF9">
      <w:pPr>
        <w:pStyle w:val="NoSpacing"/>
        <w:jc w:val="both"/>
        <w:rPr>
          <w:rFonts w:ascii="Times New Roman" w:hAnsi="Times New Roman"/>
          <w:sz w:val="27"/>
          <w:szCs w:val="27"/>
        </w:rPr>
      </w:pPr>
      <w:r w:rsidRPr="00C01906">
        <w:rPr>
          <w:rFonts w:ascii="Times New Roman" w:hAnsi="Times New Roman"/>
          <w:sz w:val="27"/>
          <w:szCs w:val="27"/>
        </w:rPr>
        <w:t xml:space="preserve">The jurisprudence of the Italian Court of Cassation has made a difference between propaganda and incitement. </w:t>
      </w:r>
      <w:proofErr w:type="gramStart"/>
      <w:r w:rsidRPr="00C01906">
        <w:rPr>
          <w:rFonts w:ascii="Times New Roman" w:hAnsi="Times New Roman"/>
          <w:sz w:val="27"/>
          <w:szCs w:val="27"/>
        </w:rPr>
        <w:t>propaganda</w:t>
      </w:r>
      <w:proofErr w:type="gramEnd"/>
      <w:r w:rsidRPr="00C01906">
        <w:rPr>
          <w:rFonts w:ascii="Times New Roman" w:hAnsi="Times New Roman"/>
          <w:sz w:val="27"/>
          <w:szCs w:val="27"/>
        </w:rPr>
        <w:t xml:space="preserve"> does not mean simply an expression of opinion, but implies the influence on the psychology and in the behavior of others, intending to have a kind of relation and a consensus with what is intended. So, the notion of propaganda has two aspects. On the one hand is a sharing of opinions and on the other hand is the addressing of the third parties in the form of an invitation so that to become part of these ideas.</w:t>
      </w:r>
      <w:r w:rsidRPr="00C01906">
        <w:rPr>
          <w:rFonts w:ascii="Times New Roman" w:hAnsi="Times New Roman"/>
          <w:sz w:val="27"/>
          <w:szCs w:val="27"/>
          <w:vertAlign w:val="superscript"/>
        </w:rPr>
        <w:footnoteReference w:id="32"/>
      </w:r>
    </w:p>
    <w:p w:rsidR="00F57BF9" w:rsidRPr="00C01906" w:rsidRDefault="00F57BF9" w:rsidP="00F57BF9">
      <w:pPr>
        <w:pStyle w:val="NoSpacing"/>
        <w:jc w:val="both"/>
        <w:rPr>
          <w:rFonts w:ascii="Times New Roman" w:hAnsi="Times New Roman"/>
          <w:sz w:val="27"/>
          <w:szCs w:val="27"/>
        </w:rPr>
      </w:pPr>
      <w:r w:rsidRPr="00C01906">
        <w:rPr>
          <w:rFonts w:ascii="Times New Roman" w:hAnsi="Times New Roman"/>
          <w:sz w:val="27"/>
          <w:szCs w:val="27"/>
        </w:rPr>
        <w:t xml:space="preserve">While the incitement is a more advanced phase, it is not a simple form of support but implies a propaganda that intends to convince the thirds to commit actions and has a more specific purpose, exactly to commit criminal offense of discriminating character. Like propaganda </w:t>
      </w:r>
      <w:proofErr w:type="spellStart"/>
      <w:r w:rsidRPr="00C01906">
        <w:rPr>
          <w:rFonts w:ascii="Times New Roman" w:hAnsi="Times New Roman"/>
          <w:sz w:val="27"/>
          <w:szCs w:val="27"/>
        </w:rPr>
        <w:t>evwen</w:t>
      </w:r>
      <w:proofErr w:type="spellEnd"/>
      <w:r w:rsidRPr="00C01906">
        <w:rPr>
          <w:rFonts w:ascii="Times New Roman" w:hAnsi="Times New Roman"/>
          <w:sz w:val="27"/>
          <w:szCs w:val="27"/>
        </w:rPr>
        <w:t xml:space="preserve"> the </w:t>
      </w:r>
      <w:proofErr w:type="gramStart"/>
      <w:r w:rsidRPr="00C01906">
        <w:rPr>
          <w:rFonts w:ascii="Times New Roman" w:hAnsi="Times New Roman"/>
          <w:sz w:val="27"/>
          <w:szCs w:val="27"/>
        </w:rPr>
        <w:t>incitement that is referred to an individual or to a group because of racial, religious and ethnic characteristics, have</w:t>
      </w:r>
      <w:proofErr w:type="gramEnd"/>
      <w:r w:rsidRPr="00C01906">
        <w:rPr>
          <w:rFonts w:ascii="Times New Roman" w:hAnsi="Times New Roman"/>
          <w:sz w:val="27"/>
          <w:szCs w:val="27"/>
        </w:rPr>
        <w:t xml:space="preserve"> as characteristic the use of the psychological element and from the subjective point of </w:t>
      </w:r>
      <w:proofErr w:type="spellStart"/>
      <w:r w:rsidRPr="00C01906">
        <w:rPr>
          <w:rFonts w:ascii="Times New Roman" w:hAnsi="Times New Roman"/>
          <w:sz w:val="27"/>
          <w:szCs w:val="27"/>
        </w:rPr>
        <w:t>vies</w:t>
      </w:r>
      <w:proofErr w:type="spellEnd"/>
      <w:r w:rsidRPr="00C01906">
        <w:rPr>
          <w:rFonts w:ascii="Times New Roman" w:hAnsi="Times New Roman"/>
          <w:sz w:val="27"/>
          <w:szCs w:val="27"/>
        </w:rPr>
        <w:t xml:space="preserve"> is done always voluntarily.</w:t>
      </w:r>
      <w:r w:rsidRPr="00C01906">
        <w:rPr>
          <w:rFonts w:ascii="Times New Roman" w:hAnsi="Times New Roman"/>
          <w:sz w:val="27"/>
          <w:szCs w:val="27"/>
          <w:vertAlign w:val="superscript"/>
        </w:rPr>
        <w:footnoteReference w:id="33"/>
      </w:r>
    </w:p>
    <w:p w:rsidR="00F57BF9" w:rsidRPr="00C01906" w:rsidRDefault="00F57BF9" w:rsidP="00F57BF9">
      <w:pPr>
        <w:spacing w:after="0" w:line="240" w:lineRule="auto"/>
        <w:jc w:val="both"/>
        <w:rPr>
          <w:rFonts w:ascii="Times New Roman" w:hAnsi="Times New Roman"/>
          <w:sz w:val="27"/>
          <w:szCs w:val="27"/>
          <w:lang w:val="en-US"/>
        </w:rPr>
      </w:pPr>
      <w:r w:rsidRPr="00C01906">
        <w:rPr>
          <w:rFonts w:ascii="Times New Roman" w:hAnsi="Times New Roman"/>
          <w:bCs/>
          <w:sz w:val="27"/>
          <w:szCs w:val="27"/>
          <w:lang w:val="en-US"/>
        </w:rPr>
        <w:t xml:space="preserve">There was a discussion of the parity of citizens, as a form of its discrimination and criminalization. The juridical object imposed to be protected is identified with the necessity for protection from discriminating actions based on race, ethical origin or the religion of every individual. Specifically, a discriminating behavior implies every action that intends to differ, to exclude, to restrict or to make preference on the basis </w:t>
      </w:r>
      <w:r w:rsidRPr="00C01906">
        <w:rPr>
          <w:rFonts w:ascii="Times New Roman" w:hAnsi="Times New Roman"/>
          <w:bCs/>
          <w:sz w:val="27"/>
          <w:szCs w:val="27"/>
          <w:lang w:val="en-US"/>
        </w:rPr>
        <w:lastRenderedPageBreak/>
        <w:t xml:space="preserve">of race, color, lineage or ethical origin, that intends or has the effect to destroy or compromise the recognition, the enjoying or the exercise, in conditions of parity, of fundamental rights and freedoms in the political, economic, social and cultural fields, or in every other sector of public life. </w:t>
      </w:r>
    </w:p>
    <w:p w:rsidR="00F57BF9" w:rsidRPr="00C01906" w:rsidRDefault="00F57BF9" w:rsidP="00F57BF9">
      <w:pPr>
        <w:spacing w:after="0" w:line="240" w:lineRule="auto"/>
        <w:jc w:val="both"/>
        <w:rPr>
          <w:rFonts w:ascii="Times New Roman" w:hAnsi="Times New Roman"/>
          <w:sz w:val="27"/>
          <w:szCs w:val="27"/>
          <w:lang w:val="en-US"/>
        </w:rPr>
      </w:pPr>
      <w:proofErr w:type="gramStart"/>
      <w:r w:rsidRPr="00C01906">
        <w:rPr>
          <w:rFonts w:ascii="Times New Roman" w:hAnsi="Times New Roman"/>
          <w:sz w:val="27"/>
          <w:szCs w:val="27"/>
          <w:lang w:val="en-US"/>
        </w:rPr>
        <w:t>The Cassation Court in Italy, (</w:t>
      </w:r>
      <w:r w:rsidRPr="00C01906">
        <w:rPr>
          <w:rFonts w:ascii="Times New Roman" w:hAnsi="Times New Roman"/>
          <w:i/>
          <w:iCs/>
          <w:sz w:val="27"/>
          <w:szCs w:val="27"/>
          <w:lang w:val="en-US"/>
        </w:rPr>
        <w:t>Cass.</w:t>
      </w:r>
      <w:proofErr w:type="gramEnd"/>
      <w:r w:rsidRPr="00C01906">
        <w:rPr>
          <w:rFonts w:ascii="Times New Roman" w:hAnsi="Times New Roman"/>
          <w:i/>
          <w:iCs/>
          <w:sz w:val="27"/>
          <w:szCs w:val="27"/>
          <w:lang w:val="en-US"/>
        </w:rPr>
        <w:t xml:space="preserve"> </w:t>
      </w:r>
      <w:proofErr w:type="gramStart"/>
      <w:r w:rsidRPr="00C01906">
        <w:rPr>
          <w:rFonts w:ascii="Times New Roman" w:hAnsi="Times New Roman"/>
          <w:i/>
          <w:iCs/>
          <w:sz w:val="27"/>
          <w:szCs w:val="27"/>
          <w:lang w:val="en-US"/>
        </w:rPr>
        <w:t>III pen.</w:t>
      </w:r>
      <w:proofErr w:type="gramEnd"/>
      <w:r w:rsidRPr="00C01906">
        <w:rPr>
          <w:rFonts w:ascii="Times New Roman" w:hAnsi="Times New Roman"/>
          <w:i/>
          <w:iCs/>
          <w:sz w:val="27"/>
          <w:szCs w:val="27"/>
          <w:lang w:val="en-US"/>
        </w:rPr>
        <w:t xml:space="preserve"> </w:t>
      </w:r>
      <w:proofErr w:type="gramStart"/>
      <w:r w:rsidRPr="00C01906">
        <w:rPr>
          <w:rFonts w:ascii="Times New Roman" w:hAnsi="Times New Roman"/>
          <w:i/>
          <w:iCs/>
          <w:sz w:val="27"/>
          <w:szCs w:val="27"/>
          <w:lang w:val="en-US"/>
        </w:rPr>
        <w:t>nr</w:t>
      </w:r>
      <w:proofErr w:type="gramEnd"/>
      <w:r w:rsidRPr="00C01906">
        <w:rPr>
          <w:rFonts w:ascii="Times New Roman" w:hAnsi="Times New Roman"/>
          <w:i/>
          <w:iCs/>
          <w:sz w:val="27"/>
          <w:szCs w:val="27"/>
          <w:lang w:val="en-US"/>
        </w:rPr>
        <w:t>. 36906/2015</w:t>
      </w:r>
      <w:r w:rsidRPr="00C01906">
        <w:rPr>
          <w:rFonts w:ascii="Times New Roman" w:hAnsi="Times New Roman"/>
          <w:sz w:val="27"/>
          <w:szCs w:val="27"/>
          <w:lang w:val="en-US"/>
        </w:rPr>
        <w:t xml:space="preserve">) has reasoned that is mostly an offensive crime, since it has at least two good juridical benefits – protected interests: public order understood as the right for social peace and human dignity, with a priority for the second; because existed two intended subjects: those that are identified individually in the concrete case and the ethnic group in complete, something that makes unimportant the circumstance that the behavior has as purpose the discrimination of unidentified persons specifically, but, in an unidentified manner, all members of a certain community. The inciting and propaganda are crimes of a clear behavior or of the abstract danger, so are formal criminal offenses, anyway is essential that the crime should become perfect, that the discriminating behavior to be </w:t>
      </w:r>
      <w:proofErr w:type="spellStart"/>
      <w:r w:rsidRPr="00C01906">
        <w:rPr>
          <w:rFonts w:ascii="Times New Roman" w:hAnsi="Times New Roman"/>
          <w:sz w:val="27"/>
          <w:szCs w:val="27"/>
          <w:lang w:val="en-US"/>
        </w:rPr>
        <w:t>percepted</w:t>
      </w:r>
      <w:proofErr w:type="spellEnd"/>
      <w:r w:rsidRPr="00C01906">
        <w:rPr>
          <w:rFonts w:ascii="Times New Roman" w:hAnsi="Times New Roman"/>
          <w:sz w:val="27"/>
          <w:szCs w:val="27"/>
          <w:lang w:val="en-US"/>
        </w:rPr>
        <w:t xml:space="preserve"> by another person, by not being necessary, however, that the victim sees the declaration as </w:t>
      </w:r>
      <w:proofErr w:type="gramStart"/>
      <w:r w:rsidRPr="00C01906">
        <w:rPr>
          <w:rFonts w:ascii="Times New Roman" w:hAnsi="Times New Roman"/>
          <w:sz w:val="27"/>
          <w:szCs w:val="27"/>
          <w:lang w:val="en-US"/>
        </w:rPr>
        <w:t>an</w:t>
      </w:r>
      <w:proofErr w:type="gramEnd"/>
      <w:r w:rsidRPr="00C01906">
        <w:rPr>
          <w:rFonts w:ascii="Times New Roman" w:hAnsi="Times New Roman"/>
          <w:sz w:val="27"/>
          <w:szCs w:val="27"/>
          <w:lang w:val="en-US"/>
        </w:rPr>
        <w:t xml:space="preserve"> violation of his dignity, (Cass. III, n. 37581/2008).</w:t>
      </w:r>
    </w:p>
    <w:p w:rsidR="00F57BF9" w:rsidRPr="00C01906" w:rsidRDefault="00F57BF9" w:rsidP="00F57BF9">
      <w:pPr>
        <w:pStyle w:val="NoSpacing"/>
        <w:jc w:val="both"/>
        <w:rPr>
          <w:rFonts w:ascii="Times New Roman" w:hAnsi="Times New Roman"/>
          <w:sz w:val="27"/>
          <w:szCs w:val="27"/>
        </w:rPr>
      </w:pPr>
      <w:r w:rsidRPr="00C01906">
        <w:rPr>
          <w:rFonts w:ascii="Times New Roman" w:hAnsi="Times New Roman"/>
          <w:sz w:val="27"/>
          <w:szCs w:val="27"/>
        </w:rPr>
        <w:t>According to jurisprudence, the crime of the encouragement of violence and acts of provocation are crimes of danger committed independently from the fact that incitement is accepted by the receivers, however is essential to be considered the concrete and internal capacity of the behavior to determine the others to make a violent action in relation to the specific context and the modalities of the fact, (</w:t>
      </w:r>
      <w:r w:rsidRPr="00C01906">
        <w:rPr>
          <w:rFonts w:ascii="Times New Roman" w:hAnsi="Times New Roman"/>
          <w:i/>
          <w:sz w:val="27"/>
          <w:szCs w:val="27"/>
        </w:rPr>
        <w:t>Cass. pen I, nr. 42727/2015).</w:t>
      </w:r>
    </w:p>
    <w:p w:rsidR="00F57BF9" w:rsidRPr="00C01906" w:rsidRDefault="00F57BF9" w:rsidP="00F57BF9">
      <w:pPr>
        <w:pStyle w:val="NoSpacing"/>
        <w:jc w:val="both"/>
        <w:rPr>
          <w:rFonts w:ascii="Times New Roman" w:hAnsi="Times New Roman"/>
          <w:sz w:val="27"/>
          <w:szCs w:val="27"/>
        </w:rPr>
      </w:pPr>
      <w:r w:rsidRPr="00C01906">
        <w:rPr>
          <w:rFonts w:ascii="Times New Roman" w:hAnsi="Times New Roman"/>
          <w:sz w:val="27"/>
          <w:szCs w:val="27"/>
        </w:rPr>
        <w:t>Italian judicial practice has reasoned that, discrimination, to be considered as such, should be based on differences determined by the supported racial priority or ethnical hatred and not by a delinquent tendency of the supposed victim, who is discriminated in a legitimate way for his behavior</w:t>
      </w:r>
      <w:proofErr w:type="gramStart"/>
      <w:r w:rsidRPr="00C01906">
        <w:rPr>
          <w:rFonts w:ascii="Times New Roman" w:hAnsi="Times New Roman"/>
          <w:sz w:val="27"/>
          <w:szCs w:val="27"/>
        </w:rPr>
        <w:t>,  (</w:t>
      </w:r>
      <w:proofErr w:type="gramEnd"/>
      <w:r w:rsidRPr="00C01906">
        <w:rPr>
          <w:rFonts w:ascii="Times New Roman" w:hAnsi="Times New Roman"/>
          <w:i/>
          <w:sz w:val="27"/>
          <w:szCs w:val="27"/>
        </w:rPr>
        <w:t xml:space="preserve">Cass. </w:t>
      </w:r>
      <w:proofErr w:type="gramStart"/>
      <w:r w:rsidRPr="00C01906">
        <w:rPr>
          <w:rFonts w:ascii="Times New Roman" w:hAnsi="Times New Roman"/>
          <w:i/>
          <w:sz w:val="27"/>
          <w:szCs w:val="27"/>
        </w:rPr>
        <w:t>III pen., nr.</w:t>
      </w:r>
      <w:proofErr w:type="gramEnd"/>
      <w:r w:rsidRPr="00C01906">
        <w:rPr>
          <w:rFonts w:ascii="Times New Roman" w:hAnsi="Times New Roman"/>
          <w:i/>
          <w:sz w:val="27"/>
          <w:szCs w:val="27"/>
        </w:rPr>
        <w:t xml:space="preserve"> 36906/2015, the issue regarding the author of election leaflet that had pointed out some foreign people as dangerous ones, for whom the liability was excluded because the  expressed disgust did not have to do with the ethnicity, but with criminal activities that are mostly related to those ethnic groups.</w:t>
      </w:r>
      <w:r w:rsidRPr="00C01906">
        <w:rPr>
          <w:rFonts w:ascii="Times New Roman" w:hAnsi="Times New Roman"/>
          <w:sz w:val="27"/>
          <w:szCs w:val="27"/>
        </w:rPr>
        <w:t>)</w:t>
      </w:r>
    </w:p>
    <w:p w:rsidR="00F57BF9" w:rsidRPr="00C01906" w:rsidRDefault="00F57BF9" w:rsidP="00F57BF9">
      <w:pPr>
        <w:pStyle w:val="NoSpacing"/>
        <w:jc w:val="both"/>
        <w:rPr>
          <w:rFonts w:ascii="Times New Roman" w:hAnsi="Times New Roman"/>
          <w:sz w:val="27"/>
          <w:szCs w:val="27"/>
        </w:rPr>
      </w:pPr>
      <w:r w:rsidRPr="00C01906">
        <w:rPr>
          <w:rFonts w:ascii="Times New Roman" w:hAnsi="Times New Roman"/>
          <w:bCs/>
          <w:sz w:val="27"/>
          <w:szCs w:val="27"/>
        </w:rPr>
        <w:t>The notion of ethnic – racial discrimination determines so the objective element of the crime of the commitment of the acts of discrimination; crime, that however may be consumed only if the discriminating acts itself is accompanied by a certain purpose by the person who commits it, i.e., conscience and subjective will to violate the human dignity of the others considering the race, ethnicity or religion of subjects who are subjects of the behavior,</w:t>
      </w:r>
      <w:r w:rsidRPr="00C01906">
        <w:rPr>
          <w:rFonts w:ascii="Times New Roman" w:hAnsi="Times New Roman"/>
          <w:sz w:val="27"/>
          <w:szCs w:val="27"/>
        </w:rPr>
        <w:t xml:space="preserve"> (</w:t>
      </w:r>
      <w:r w:rsidRPr="00C01906">
        <w:rPr>
          <w:rFonts w:ascii="Times New Roman" w:hAnsi="Times New Roman"/>
          <w:i/>
          <w:iCs/>
          <w:sz w:val="27"/>
          <w:szCs w:val="27"/>
        </w:rPr>
        <w:t xml:space="preserve">Cass. </w:t>
      </w:r>
      <w:proofErr w:type="gramStart"/>
      <w:r w:rsidRPr="00C01906">
        <w:rPr>
          <w:rFonts w:ascii="Times New Roman" w:hAnsi="Times New Roman"/>
          <w:i/>
          <w:iCs/>
          <w:sz w:val="27"/>
          <w:szCs w:val="27"/>
        </w:rPr>
        <w:t>III pen., 10.01.2002, nr.</w:t>
      </w:r>
      <w:proofErr w:type="gramEnd"/>
      <w:r w:rsidRPr="00C01906">
        <w:rPr>
          <w:rFonts w:ascii="Times New Roman" w:hAnsi="Times New Roman"/>
          <w:i/>
          <w:iCs/>
          <w:sz w:val="27"/>
          <w:szCs w:val="27"/>
        </w:rPr>
        <w:t xml:space="preserve"> 7421</w:t>
      </w:r>
      <w:r w:rsidRPr="00C01906">
        <w:rPr>
          <w:rFonts w:ascii="Times New Roman" w:hAnsi="Times New Roman"/>
          <w:sz w:val="27"/>
          <w:szCs w:val="27"/>
        </w:rPr>
        <w:t>).</w:t>
      </w:r>
    </w:p>
    <w:p w:rsidR="00F57BF9" w:rsidRPr="00C01906" w:rsidRDefault="00F57BF9" w:rsidP="00F57BF9">
      <w:pPr>
        <w:pStyle w:val="NoSpacing"/>
        <w:jc w:val="both"/>
        <w:rPr>
          <w:rFonts w:ascii="Times New Roman" w:hAnsi="Times New Roman"/>
          <w:sz w:val="27"/>
          <w:szCs w:val="27"/>
        </w:rPr>
      </w:pPr>
      <w:r w:rsidRPr="00C01906">
        <w:rPr>
          <w:rFonts w:ascii="Times New Roman" w:hAnsi="Times New Roman"/>
          <w:sz w:val="27"/>
          <w:szCs w:val="27"/>
        </w:rPr>
        <w:t xml:space="preserve">Regarding the psychological element of the crime, of propaganda and the encouragement to commit discriminating behavior was underlined as follows, a) are crimes of general purpose; b) the commitment of the acts of discrimination, violence or provoking of violence for racial, ethnic, national or religious reasons are crimes with a certain purpose. Propaganda and the encouragement to commit discriminating </w:t>
      </w:r>
      <w:r w:rsidRPr="00C01906">
        <w:rPr>
          <w:rFonts w:ascii="Times New Roman" w:hAnsi="Times New Roman"/>
          <w:sz w:val="27"/>
          <w:szCs w:val="27"/>
        </w:rPr>
        <w:lastRenderedPageBreak/>
        <w:t>acts are specific intentional crimes,</w:t>
      </w:r>
      <w:r w:rsidRPr="00C01906">
        <w:rPr>
          <w:rFonts w:ascii="Times New Roman" w:hAnsi="Times New Roman"/>
          <w:i/>
          <w:sz w:val="27"/>
          <w:szCs w:val="27"/>
        </w:rPr>
        <w:t xml:space="preserve"> (Cass. I </w:t>
      </w:r>
      <w:proofErr w:type="gramStart"/>
      <w:r w:rsidRPr="00C01906">
        <w:rPr>
          <w:rFonts w:ascii="Times New Roman" w:hAnsi="Times New Roman"/>
          <w:i/>
          <w:sz w:val="27"/>
          <w:szCs w:val="27"/>
        </w:rPr>
        <w:t>pen.,</w:t>
      </w:r>
      <w:proofErr w:type="gramEnd"/>
      <w:r w:rsidRPr="00C01906">
        <w:rPr>
          <w:rFonts w:ascii="Times New Roman" w:hAnsi="Times New Roman"/>
          <w:i/>
          <w:sz w:val="27"/>
          <w:szCs w:val="27"/>
        </w:rPr>
        <w:t xml:space="preserve"> n. 42727/2015; Cass. </w:t>
      </w:r>
      <w:proofErr w:type="spellStart"/>
      <w:proofErr w:type="gramStart"/>
      <w:r w:rsidRPr="00C01906">
        <w:rPr>
          <w:rFonts w:ascii="Times New Roman" w:hAnsi="Times New Roman"/>
          <w:i/>
          <w:sz w:val="27"/>
          <w:szCs w:val="27"/>
        </w:rPr>
        <w:t>sez</w:t>
      </w:r>
      <w:proofErr w:type="spellEnd"/>
      <w:proofErr w:type="gramEnd"/>
      <w:r w:rsidRPr="00C01906">
        <w:rPr>
          <w:rFonts w:ascii="Times New Roman" w:hAnsi="Times New Roman"/>
          <w:i/>
          <w:sz w:val="27"/>
          <w:szCs w:val="27"/>
        </w:rPr>
        <w:t xml:space="preserve">. </w:t>
      </w:r>
      <w:proofErr w:type="spellStart"/>
      <w:proofErr w:type="gramStart"/>
      <w:r w:rsidRPr="00C01906">
        <w:rPr>
          <w:rFonts w:ascii="Times New Roman" w:hAnsi="Times New Roman"/>
          <w:i/>
          <w:sz w:val="27"/>
          <w:szCs w:val="27"/>
        </w:rPr>
        <w:t>fer</w:t>
      </w:r>
      <w:proofErr w:type="spellEnd"/>
      <w:r w:rsidRPr="00C01906">
        <w:rPr>
          <w:rFonts w:ascii="Times New Roman" w:hAnsi="Times New Roman"/>
          <w:i/>
          <w:sz w:val="27"/>
          <w:szCs w:val="27"/>
        </w:rPr>
        <w:t>.,</w:t>
      </w:r>
      <w:proofErr w:type="gramEnd"/>
      <w:r w:rsidRPr="00C01906">
        <w:rPr>
          <w:rFonts w:ascii="Times New Roman" w:hAnsi="Times New Roman"/>
          <w:i/>
          <w:sz w:val="27"/>
          <w:szCs w:val="27"/>
        </w:rPr>
        <w:t xml:space="preserve"> n. 38877/2015; Cass. </w:t>
      </w:r>
      <w:proofErr w:type="gramStart"/>
      <w:r w:rsidRPr="00C01906">
        <w:rPr>
          <w:rFonts w:ascii="Times New Roman" w:hAnsi="Times New Roman"/>
          <w:i/>
          <w:sz w:val="27"/>
          <w:szCs w:val="27"/>
        </w:rPr>
        <w:t>V pen., n. 25756/2015, Cass.</w:t>
      </w:r>
      <w:proofErr w:type="gramEnd"/>
      <w:r w:rsidRPr="00C01906">
        <w:rPr>
          <w:rFonts w:ascii="Times New Roman" w:hAnsi="Times New Roman"/>
          <w:i/>
          <w:sz w:val="27"/>
          <w:szCs w:val="27"/>
        </w:rPr>
        <w:t xml:space="preserve"> III pen., n. 37581/2008</w:t>
      </w:r>
      <w:r w:rsidRPr="00C01906">
        <w:rPr>
          <w:rFonts w:ascii="Times New Roman" w:hAnsi="Times New Roman"/>
          <w:sz w:val="27"/>
          <w:szCs w:val="27"/>
        </w:rPr>
        <w:t>).</w:t>
      </w:r>
    </w:p>
    <w:p w:rsidR="00F57BF9" w:rsidRPr="00C01906" w:rsidRDefault="00F57BF9" w:rsidP="00F57BF9">
      <w:pPr>
        <w:pStyle w:val="NoSpacing"/>
        <w:ind w:firstLine="360"/>
        <w:jc w:val="both"/>
        <w:rPr>
          <w:rFonts w:ascii="Times New Roman" w:hAnsi="Times New Roman"/>
          <w:sz w:val="27"/>
          <w:szCs w:val="27"/>
        </w:rPr>
      </w:pPr>
    </w:p>
    <w:p w:rsidR="00F57BF9" w:rsidRPr="00C01906" w:rsidRDefault="00F57BF9" w:rsidP="00F57BF9">
      <w:pPr>
        <w:spacing w:line="240" w:lineRule="auto"/>
        <w:jc w:val="both"/>
        <w:rPr>
          <w:rFonts w:ascii="Times New Roman" w:hAnsi="Times New Roman"/>
          <w:b/>
          <w:sz w:val="27"/>
          <w:szCs w:val="27"/>
          <w:lang w:val="en-US"/>
        </w:rPr>
      </w:pPr>
    </w:p>
    <w:p w:rsidR="00F57BF9" w:rsidRPr="00C01906" w:rsidRDefault="00F57BF9" w:rsidP="00F57BF9">
      <w:pPr>
        <w:spacing w:line="240" w:lineRule="auto"/>
        <w:jc w:val="both"/>
        <w:rPr>
          <w:rFonts w:ascii="Times New Roman" w:hAnsi="Times New Roman"/>
          <w:b/>
          <w:sz w:val="27"/>
          <w:szCs w:val="27"/>
          <w:lang w:val="en-US"/>
        </w:rPr>
      </w:pPr>
      <w:r w:rsidRPr="00C01906">
        <w:rPr>
          <w:rFonts w:ascii="Times New Roman" w:hAnsi="Times New Roman"/>
          <w:b/>
          <w:sz w:val="27"/>
          <w:szCs w:val="27"/>
          <w:lang w:val="en-US"/>
        </w:rPr>
        <w:t xml:space="preserve">10) ECtHR jurisprudence </w:t>
      </w:r>
    </w:p>
    <w:p w:rsidR="00F57BF9" w:rsidRPr="00C01906" w:rsidRDefault="00F57BF9" w:rsidP="00F57BF9">
      <w:pPr>
        <w:spacing w:after="0" w:line="240" w:lineRule="auto"/>
        <w:jc w:val="both"/>
        <w:rPr>
          <w:rFonts w:ascii="Times New Roman" w:hAnsi="Times New Roman"/>
          <w:sz w:val="27"/>
          <w:szCs w:val="27"/>
          <w:lang w:val="en-US"/>
        </w:rPr>
      </w:pPr>
      <w:r w:rsidRPr="00C01906">
        <w:rPr>
          <w:rFonts w:ascii="Times New Roman" w:hAnsi="Times New Roman"/>
          <w:sz w:val="27"/>
          <w:szCs w:val="27"/>
          <w:lang w:val="en-US"/>
        </w:rPr>
        <w:t>ECtHR connects the issues of the language of hate with the Articles 10, 8 and 9 of the European Convention for Human Rights (the Convention). For cases that have to do with the encouragement of hatred and the freedom of expression, ECtHR in its jurisprudence uses two approaches that are foreseen by the Convention, as follows, 1) the approach of the exclusion from the protection of the Convention, foreseen by the Article 17</w:t>
      </w:r>
      <w:r w:rsidRPr="00C01906">
        <w:rPr>
          <w:rFonts w:ascii="Times New Roman" w:hAnsi="Times New Roman"/>
          <w:sz w:val="27"/>
          <w:szCs w:val="27"/>
          <w:vertAlign w:val="superscript"/>
          <w:lang w:val="en-US"/>
        </w:rPr>
        <w:footnoteReference w:id="34"/>
      </w:r>
      <w:r w:rsidRPr="00C01906">
        <w:rPr>
          <w:rFonts w:ascii="Times New Roman" w:hAnsi="Times New Roman"/>
          <w:sz w:val="27"/>
          <w:szCs w:val="27"/>
          <w:lang w:val="en-US"/>
        </w:rPr>
        <w:t xml:space="preserve"> (</w:t>
      </w:r>
      <w:r w:rsidRPr="00C01906">
        <w:rPr>
          <w:rFonts w:ascii="Times New Roman" w:hAnsi="Times New Roman"/>
          <w:i/>
          <w:sz w:val="27"/>
          <w:szCs w:val="27"/>
          <w:lang w:val="en-US"/>
        </w:rPr>
        <w:t>prohibition of abuse of rights</w:t>
      </w:r>
      <w:r w:rsidRPr="00C01906">
        <w:rPr>
          <w:rFonts w:ascii="Times New Roman" w:hAnsi="Times New Roman"/>
          <w:sz w:val="27"/>
          <w:szCs w:val="27"/>
          <w:lang w:val="en-US"/>
        </w:rPr>
        <w:t>), when comments in discussion come to the language of hate and the negation of the fundamental rights of the Convention; and 2) the approach of the imposing of limitations for the protection, foreseen by the Article 10, paragraph 2 of the Convention, (when comments in discussion, however are not considered as language of hate, are not proper ones so that to destroy the fundamental values protected by the Convention).</w:t>
      </w:r>
    </w:p>
    <w:p w:rsidR="00F57BF9" w:rsidRPr="00C01906" w:rsidRDefault="00F57BF9" w:rsidP="00F57BF9">
      <w:pPr>
        <w:spacing w:after="0" w:line="240" w:lineRule="auto"/>
        <w:jc w:val="both"/>
        <w:rPr>
          <w:rFonts w:ascii="Times New Roman" w:hAnsi="Times New Roman"/>
          <w:sz w:val="27"/>
          <w:szCs w:val="27"/>
          <w:lang w:val="en-US"/>
        </w:rPr>
      </w:pPr>
      <w:r w:rsidRPr="00C01906">
        <w:rPr>
          <w:rFonts w:ascii="Times New Roman" w:hAnsi="Times New Roman"/>
          <w:sz w:val="27"/>
          <w:szCs w:val="27"/>
          <w:lang w:val="en-US"/>
        </w:rPr>
        <w:t xml:space="preserve">In the case </w:t>
      </w:r>
      <w:proofErr w:type="spellStart"/>
      <w:r w:rsidRPr="00C01906">
        <w:rPr>
          <w:rFonts w:ascii="Times New Roman" w:hAnsi="Times New Roman"/>
          <w:i/>
          <w:iCs/>
          <w:sz w:val="27"/>
          <w:szCs w:val="27"/>
          <w:lang w:val="en-US"/>
        </w:rPr>
        <w:t>Garaudy</w:t>
      </w:r>
      <w:proofErr w:type="spellEnd"/>
      <w:r w:rsidRPr="00C01906">
        <w:rPr>
          <w:rFonts w:ascii="Times New Roman" w:hAnsi="Times New Roman"/>
          <w:i/>
          <w:iCs/>
          <w:sz w:val="27"/>
          <w:szCs w:val="27"/>
          <w:lang w:val="en-US"/>
        </w:rPr>
        <w:t xml:space="preserve"> v. France,</w:t>
      </w:r>
      <w:r w:rsidRPr="00C01906">
        <w:rPr>
          <w:rFonts w:ascii="Times New Roman" w:hAnsi="Times New Roman"/>
          <w:sz w:val="27"/>
          <w:szCs w:val="27"/>
          <w:lang w:val="en-US"/>
        </w:rPr>
        <w:t xml:space="preserve"> (the applicant is the author of a book on the founding myths of modern Israel and is convicted for the criminal offense of the opposition of the crimes against humanity. He reasons that his actions have been in harmony with the exercise of the freedom of expression)</w:t>
      </w:r>
      <w:r w:rsidRPr="00C01906">
        <w:rPr>
          <w:rFonts w:ascii="Times New Roman" w:hAnsi="Times New Roman"/>
          <w:i/>
          <w:iCs/>
          <w:sz w:val="27"/>
          <w:szCs w:val="27"/>
          <w:lang w:val="en-US"/>
        </w:rPr>
        <w:t>,</w:t>
      </w:r>
      <w:r w:rsidRPr="00C01906">
        <w:rPr>
          <w:rFonts w:ascii="Times New Roman" w:hAnsi="Times New Roman"/>
          <w:sz w:val="27"/>
          <w:szCs w:val="27"/>
          <w:lang w:val="en-US"/>
        </w:rPr>
        <w:t xml:space="preserve"> the Court considered the application of the application as non acceptable, considering that the content was a negation of holocaust and was one of the most serious forms of racial slurs for Hebrews and the encouragement of hatred for them. </w:t>
      </w:r>
    </w:p>
    <w:p w:rsidR="00F57BF9" w:rsidRPr="00C01906" w:rsidRDefault="00F57BF9" w:rsidP="00F57BF9">
      <w:pPr>
        <w:spacing w:after="0" w:line="240" w:lineRule="auto"/>
        <w:jc w:val="both"/>
        <w:rPr>
          <w:rFonts w:ascii="Times New Roman" w:hAnsi="Times New Roman"/>
          <w:sz w:val="27"/>
          <w:szCs w:val="27"/>
          <w:lang w:val="en-US"/>
        </w:rPr>
      </w:pPr>
      <w:r w:rsidRPr="00C01906">
        <w:rPr>
          <w:rFonts w:ascii="Times New Roman" w:hAnsi="Times New Roman"/>
          <w:sz w:val="27"/>
          <w:szCs w:val="27"/>
          <w:lang w:val="en-US"/>
        </w:rPr>
        <w:t xml:space="preserve">A similar case is the case of  </w:t>
      </w:r>
      <w:r w:rsidRPr="00C01906">
        <w:rPr>
          <w:rFonts w:ascii="Times New Roman" w:hAnsi="Times New Roman"/>
          <w:i/>
          <w:iCs/>
          <w:sz w:val="27"/>
          <w:szCs w:val="27"/>
          <w:lang w:val="en-US"/>
        </w:rPr>
        <w:t>Williamson v. Germany,</w:t>
      </w:r>
      <w:r w:rsidRPr="00C01906">
        <w:rPr>
          <w:rFonts w:ascii="Times New Roman" w:hAnsi="Times New Roman"/>
          <w:sz w:val="27"/>
          <w:szCs w:val="27"/>
          <w:lang w:val="en-US"/>
        </w:rPr>
        <w:t xml:space="preserve"> (the applicant is a bishop and appeals against the criminal penalty for the incitement to hatred, and for the negation of holocaust in a Swedish television programme reasoning that the German law was not applicable for his statements, because the offense was not committed in Germany but in Sweden),</w:t>
      </w:r>
      <w:r w:rsidRPr="00C01906">
        <w:rPr>
          <w:rFonts w:ascii="Times New Roman" w:hAnsi="Times New Roman"/>
          <w:i/>
          <w:iCs/>
          <w:sz w:val="27"/>
          <w:szCs w:val="27"/>
          <w:lang w:val="en-US"/>
        </w:rPr>
        <w:t xml:space="preserve"> </w:t>
      </w:r>
      <w:r w:rsidRPr="00C01906">
        <w:rPr>
          <w:rFonts w:ascii="Times New Roman" w:hAnsi="Times New Roman"/>
          <w:iCs/>
          <w:sz w:val="27"/>
          <w:szCs w:val="27"/>
          <w:lang w:val="en-US"/>
        </w:rPr>
        <w:t>where the court considered the application as not acceptable reasoning that the applicant has given an interview and that had not taken the necessary measures so that his interview  could not be viewed in Germany, although he lived somewhere else.</w:t>
      </w:r>
      <w:r w:rsidRPr="00C01906">
        <w:rPr>
          <w:rFonts w:ascii="Times New Roman" w:hAnsi="Times New Roman"/>
          <w:sz w:val="27"/>
          <w:szCs w:val="27"/>
          <w:lang w:val="en-US"/>
        </w:rPr>
        <w:t xml:space="preserve"> </w:t>
      </w:r>
    </w:p>
    <w:p w:rsidR="00F57BF9" w:rsidRPr="00C01906" w:rsidRDefault="00F57BF9" w:rsidP="00F57BF9">
      <w:pPr>
        <w:spacing w:after="0" w:line="240" w:lineRule="auto"/>
        <w:jc w:val="both"/>
        <w:rPr>
          <w:rFonts w:ascii="Times New Roman" w:hAnsi="Times New Roman"/>
          <w:sz w:val="27"/>
          <w:szCs w:val="27"/>
          <w:lang w:val="en-US"/>
        </w:rPr>
      </w:pPr>
      <w:r w:rsidRPr="00C01906">
        <w:rPr>
          <w:rFonts w:ascii="Times New Roman" w:hAnsi="Times New Roman"/>
          <w:sz w:val="27"/>
          <w:szCs w:val="27"/>
          <w:lang w:val="en-US"/>
        </w:rPr>
        <w:t xml:space="preserve">In the case </w:t>
      </w:r>
      <w:proofErr w:type="spellStart"/>
      <w:r w:rsidRPr="00C01906">
        <w:rPr>
          <w:rFonts w:ascii="Times New Roman" w:hAnsi="Times New Roman"/>
          <w:i/>
          <w:iCs/>
          <w:sz w:val="27"/>
          <w:szCs w:val="27"/>
          <w:lang w:val="en-US"/>
        </w:rPr>
        <w:t>Nordwood</w:t>
      </w:r>
      <w:proofErr w:type="spellEnd"/>
      <w:r w:rsidRPr="00C01906">
        <w:rPr>
          <w:rFonts w:ascii="Times New Roman" w:hAnsi="Times New Roman"/>
          <w:i/>
          <w:iCs/>
          <w:sz w:val="27"/>
          <w:szCs w:val="27"/>
          <w:lang w:val="en-US"/>
        </w:rPr>
        <w:t xml:space="preserve"> v. the United Kingdom </w:t>
      </w:r>
      <w:r w:rsidRPr="00C01906">
        <w:rPr>
          <w:rFonts w:ascii="Times New Roman" w:hAnsi="Times New Roman"/>
          <w:sz w:val="27"/>
          <w:szCs w:val="27"/>
          <w:lang w:val="en-US"/>
        </w:rPr>
        <w:t xml:space="preserve"> (a person displayed a poster in the window of his flat with a photograph of the Twin Towers in flame and the words “Islam out of Britain – Protect the British People”), the Court noticed that such a general attack versus a religious group connect the group completely with a serious act of terrorism and is in opposition with the values declared and guaranteed by the </w:t>
      </w:r>
      <w:r w:rsidRPr="00C01906">
        <w:rPr>
          <w:rFonts w:ascii="Times New Roman" w:hAnsi="Times New Roman"/>
          <w:sz w:val="27"/>
          <w:szCs w:val="27"/>
          <w:lang w:val="en-US"/>
        </w:rPr>
        <w:lastRenderedPageBreak/>
        <w:t>Convention, such as social security and non-discrimination and, consequently, the applicant could not use the right for special protection determined by the Article  10 of the Convention.</w:t>
      </w:r>
    </w:p>
    <w:p w:rsidR="00F57BF9" w:rsidRPr="00C01906" w:rsidRDefault="00F57BF9" w:rsidP="00F57BF9">
      <w:pPr>
        <w:spacing w:after="0" w:line="240" w:lineRule="auto"/>
        <w:jc w:val="both"/>
        <w:rPr>
          <w:rFonts w:ascii="Times New Roman" w:hAnsi="Times New Roman"/>
          <w:sz w:val="27"/>
          <w:szCs w:val="27"/>
          <w:lang w:val="en-US"/>
        </w:rPr>
      </w:pPr>
      <w:r w:rsidRPr="00C01906">
        <w:rPr>
          <w:rFonts w:ascii="Times New Roman" w:hAnsi="Times New Roman"/>
          <w:sz w:val="27"/>
          <w:szCs w:val="27"/>
          <w:lang w:val="en-US"/>
        </w:rPr>
        <w:t xml:space="preserve">In the case </w:t>
      </w:r>
      <w:r w:rsidRPr="00C01906">
        <w:rPr>
          <w:rFonts w:ascii="Times New Roman" w:hAnsi="Times New Roman"/>
          <w:i/>
          <w:iCs/>
          <w:sz w:val="27"/>
          <w:szCs w:val="27"/>
          <w:lang w:val="en-US"/>
        </w:rPr>
        <w:t>Lenis v. Greece,</w:t>
      </w:r>
      <w:r w:rsidRPr="00C01906">
        <w:rPr>
          <w:rFonts w:ascii="Times New Roman" w:hAnsi="Times New Roman"/>
          <w:sz w:val="27"/>
          <w:szCs w:val="27"/>
          <w:vertAlign w:val="superscript"/>
          <w:lang w:val="en-US"/>
        </w:rPr>
        <w:footnoteReference w:id="35"/>
      </w:r>
      <w:r w:rsidRPr="00C01906">
        <w:rPr>
          <w:rFonts w:ascii="Times New Roman" w:hAnsi="Times New Roman"/>
          <w:sz w:val="27"/>
          <w:szCs w:val="27"/>
          <w:lang w:val="en-US"/>
        </w:rPr>
        <w:t xml:space="preserve"> the ECtHR underlined that the right of the applicant for the freedom of expression, protected by the Convention, was not violated. Considering the nature and the formulations of statements, the context in which they were published, their possibility to bring harmful consequences and the reasoning of the Greek  courts that had considered the evidences and had considered even the freedom of expression protected by the Article 10 of the Convention, the Court reasoned that in the case that statements had gone too far so that had negated to the LGBT community their human nature and are accompanied even by incitements of violence, then should be considered the Article  17 of the Convention, (prohibition of abuse of rights). </w:t>
      </w:r>
    </w:p>
    <w:p w:rsidR="00F57BF9" w:rsidRPr="00C01906" w:rsidRDefault="00F57BF9" w:rsidP="00F57BF9">
      <w:pPr>
        <w:spacing w:after="0" w:line="240" w:lineRule="auto"/>
        <w:jc w:val="both"/>
        <w:rPr>
          <w:rFonts w:ascii="Times New Roman" w:hAnsi="Times New Roman"/>
          <w:sz w:val="27"/>
          <w:szCs w:val="27"/>
          <w:lang w:val="en-US"/>
        </w:rPr>
      </w:pPr>
      <w:r w:rsidRPr="00C01906">
        <w:rPr>
          <w:rFonts w:ascii="Times New Roman" w:hAnsi="Times New Roman"/>
          <w:sz w:val="27"/>
          <w:szCs w:val="27"/>
          <w:lang w:val="en-US"/>
        </w:rPr>
        <w:t xml:space="preserve">In the case </w:t>
      </w:r>
      <w:proofErr w:type="spellStart"/>
      <w:r w:rsidRPr="00C01906">
        <w:rPr>
          <w:rFonts w:ascii="Times New Roman" w:hAnsi="Times New Roman"/>
          <w:i/>
          <w:iCs/>
          <w:sz w:val="27"/>
          <w:szCs w:val="27"/>
          <w:lang w:val="en-US"/>
        </w:rPr>
        <w:t>Vejdeland</w:t>
      </w:r>
      <w:proofErr w:type="spellEnd"/>
      <w:r w:rsidRPr="00C01906">
        <w:rPr>
          <w:rFonts w:ascii="Times New Roman" w:hAnsi="Times New Roman"/>
          <w:i/>
          <w:iCs/>
          <w:sz w:val="27"/>
          <w:szCs w:val="27"/>
          <w:lang w:val="en-US"/>
        </w:rPr>
        <w:t xml:space="preserve"> v. Sweden,</w:t>
      </w:r>
      <w:r w:rsidRPr="00C01906">
        <w:rPr>
          <w:rFonts w:ascii="Times New Roman" w:hAnsi="Times New Roman"/>
          <w:sz w:val="27"/>
          <w:szCs w:val="27"/>
          <w:vertAlign w:val="superscript"/>
          <w:lang w:val="en-US"/>
        </w:rPr>
        <w:footnoteReference w:id="36"/>
      </w:r>
      <w:r w:rsidRPr="00C01906">
        <w:rPr>
          <w:rFonts w:ascii="Times New Roman" w:hAnsi="Times New Roman"/>
          <w:sz w:val="27"/>
          <w:szCs w:val="27"/>
          <w:lang w:val="en-US"/>
        </w:rPr>
        <w:t xml:space="preserve"> the ECtHR reasoned that such statements were serious and harmful statements even if they had not been a direct call for acts of hatred.   </w:t>
      </w:r>
    </w:p>
    <w:p w:rsidR="00F57BF9" w:rsidRPr="00C01906" w:rsidRDefault="00F57BF9" w:rsidP="00F57BF9">
      <w:pPr>
        <w:spacing w:after="0" w:line="240" w:lineRule="auto"/>
        <w:jc w:val="both"/>
        <w:rPr>
          <w:rFonts w:ascii="Times New Roman" w:hAnsi="Times New Roman"/>
          <w:sz w:val="27"/>
          <w:szCs w:val="27"/>
          <w:lang w:val="en-US"/>
        </w:rPr>
      </w:pPr>
      <w:r w:rsidRPr="00C01906">
        <w:rPr>
          <w:rFonts w:ascii="Times New Roman" w:hAnsi="Times New Roman"/>
          <w:sz w:val="27"/>
          <w:szCs w:val="27"/>
          <w:lang w:val="en-US"/>
        </w:rPr>
        <w:t xml:space="preserve">In the case </w:t>
      </w:r>
      <w:r w:rsidRPr="00C01906">
        <w:rPr>
          <w:rFonts w:ascii="Times New Roman" w:hAnsi="Times New Roman"/>
          <w:i/>
          <w:iCs/>
          <w:sz w:val="27"/>
          <w:szCs w:val="27"/>
          <w:lang w:val="en-US"/>
        </w:rPr>
        <w:t xml:space="preserve">Daniel </w:t>
      </w:r>
      <w:proofErr w:type="spellStart"/>
      <w:r w:rsidRPr="00C01906">
        <w:rPr>
          <w:rFonts w:ascii="Times New Roman" w:hAnsi="Times New Roman"/>
          <w:i/>
          <w:iCs/>
          <w:sz w:val="27"/>
          <w:szCs w:val="27"/>
          <w:lang w:val="en-US"/>
        </w:rPr>
        <w:t>Féret</w:t>
      </w:r>
      <w:proofErr w:type="spellEnd"/>
      <w:r w:rsidRPr="00C01906">
        <w:rPr>
          <w:rFonts w:ascii="Times New Roman" w:hAnsi="Times New Roman"/>
          <w:i/>
          <w:iCs/>
          <w:sz w:val="27"/>
          <w:szCs w:val="27"/>
          <w:lang w:val="en-US"/>
        </w:rPr>
        <w:t xml:space="preserve"> v. Belgium,</w:t>
      </w:r>
      <w:r w:rsidRPr="00C01906">
        <w:rPr>
          <w:rFonts w:ascii="Times New Roman" w:hAnsi="Times New Roman"/>
          <w:sz w:val="27"/>
          <w:szCs w:val="27"/>
          <w:lang w:val="en-US"/>
        </w:rPr>
        <w:t xml:space="preserve"> (the applicant is the head of the </w:t>
      </w:r>
      <w:r w:rsidRPr="00C01906">
        <w:rPr>
          <w:rStyle w:val="sbb9ee52a"/>
          <w:rFonts w:ascii="Times New Roman" w:hAnsi="Times New Roman"/>
          <w:sz w:val="27"/>
          <w:szCs w:val="27"/>
          <w:lang w:val="en-US"/>
        </w:rPr>
        <w:t>“Front National-</w:t>
      </w:r>
      <w:proofErr w:type="spellStart"/>
      <w:r w:rsidRPr="00C01906">
        <w:rPr>
          <w:rStyle w:val="sbb9ee52a"/>
          <w:rFonts w:ascii="Times New Roman" w:hAnsi="Times New Roman"/>
          <w:sz w:val="27"/>
          <w:szCs w:val="27"/>
          <w:lang w:val="en-US"/>
        </w:rPr>
        <w:t>Nationaal</w:t>
      </w:r>
      <w:proofErr w:type="spellEnd"/>
      <w:r w:rsidRPr="00C01906">
        <w:rPr>
          <w:rStyle w:val="sbb9ee52a"/>
          <w:rFonts w:ascii="Times New Roman" w:hAnsi="Times New Roman"/>
          <w:sz w:val="27"/>
          <w:szCs w:val="27"/>
          <w:lang w:val="en-US"/>
        </w:rPr>
        <w:t xml:space="preserve"> Front” political party</w:t>
      </w:r>
      <w:r w:rsidRPr="00C01906">
        <w:rPr>
          <w:rFonts w:ascii="Times New Roman" w:hAnsi="Times New Roman"/>
          <w:sz w:val="27"/>
          <w:szCs w:val="27"/>
          <w:lang w:val="en-US"/>
        </w:rPr>
        <w:t xml:space="preserve"> and during the election campaign, by the side of this party were distributed some leaflets against the Islam in Belgium), the applicant is declared guilty for the incitation to hatred and racial discrimination and the ECtHR noticed that his penalty by local authorities was logical, in the interest of the prevention of the disruption of public order and in the protection of the rights of others, especially of the immigrant community.</w:t>
      </w:r>
    </w:p>
    <w:p w:rsidR="00F57BF9" w:rsidRPr="00C01906" w:rsidRDefault="00F57BF9" w:rsidP="00F57BF9">
      <w:pPr>
        <w:spacing w:after="0" w:line="240" w:lineRule="auto"/>
        <w:jc w:val="both"/>
        <w:rPr>
          <w:rFonts w:ascii="Times New Roman" w:hAnsi="Times New Roman"/>
          <w:sz w:val="27"/>
          <w:szCs w:val="27"/>
          <w:lang w:val="en-US"/>
        </w:rPr>
      </w:pPr>
      <w:r w:rsidRPr="00C01906">
        <w:rPr>
          <w:rFonts w:ascii="Times New Roman" w:hAnsi="Times New Roman"/>
          <w:sz w:val="27"/>
          <w:szCs w:val="27"/>
          <w:lang w:val="en-US"/>
        </w:rPr>
        <w:t xml:space="preserve">In the case </w:t>
      </w:r>
      <w:r w:rsidRPr="00C01906">
        <w:rPr>
          <w:rFonts w:ascii="Times New Roman" w:hAnsi="Times New Roman"/>
          <w:i/>
          <w:iCs/>
          <w:sz w:val="27"/>
          <w:szCs w:val="27"/>
          <w:lang w:val="en-US"/>
        </w:rPr>
        <w:t xml:space="preserve">Leroy v. France, </w:t>
      </w:r>
      <w:r w:rsidRPr="00C01906">
        <w:rPr>
          <w:rFonts w:ascii="Times New Roman" w:hAnsi="Times New Roman"/>
          <w:sz w:val="27"/>
          <w:szCs w:val="27"/>
          <w:lang w:val="en-US"/>
        </w:rPr>
        <w:t>(</w:t>
      </w:r>
      <w:r w:rsidRPr="00C01906">
        <w:rPr>
          <w:rStyle w:val="sbb9ee52a"/>
          <w:rFonts w:ascii="Times New Roman" w:hAnsi="Times New Roman"/>
          <w:sz w:val="27"/>
          <w:szCs w:val="27"/>
          <w:lang w:val="en-US"/>
        </w:rPr>
        <w:t>the applicant, is a cartoonist, submitted to the editorial team of a Basque weekly a drawing representing the attack with a caption which parodied the advertising slogan of a famous brand: “We have all dreamt of it... Hamas did it”</w:t>
      </w:r>
      <w:r w:rsidR="003417B2" w:rsidRPr="00C01906">
        <w:rPr>
          <w:rStyle w:val="sbb9ee52a"/>
          <w:rFonts w:ascii="Times New Roman" w:hAnsi="Times New Roman"/>
          <w:sz w:val="27"/>
          <w:szCs w:val="27"/>
          <w:lang w:val="en-US"/>
        </w:rPr>
        <w:t>.</w:t>
      </w:r>
      <w:r w:rsidRPr="00C01906">
        <w:rPr>
          <w:rFonts w:ascii="Times New Roman" w:hAnsi="Times New Roman"/>
          <w:sz w:val="27"/>
          <w:szCs w:val="27"/>
          <w:lang w:val="en-US"/>
        </w:rPr>
        <w:t xml:space="preserve"> The applicant was convicted by French courts for the support of terrorism and appealed to the ECtHR claiming that he had acted within the framework of the Article 10 of the freedom of expression), the Court considered that, through his work, the applicant had exaggerated with the violent destruction of the American imperialism, by showing moral support for the attacks of 11 September,  2001, had commented by approving the violence against thousands of people, and had disrespected the dignity of victims. Also, the court considered that, although the number of the magazine was small, the publication of this cartoon had caused a certain reaction in opinion, a </w:t>
      </w:r>
      <w:r w:rsidRPr="00C01906">
        <w:rPr>
          <w:rFonts w:ascii="Times New Roman" w:hAnsi="Times New Roman"/>
          <w:sz w:val="27"/>
          <w:szCs w:val="27"/>
          <w:lang w:val="en-US"/>
        </w:rPr>
        <w:lastRenderedPageBreak/>
        <w:t xml:space="preserve">reaction that could cause violence, to have a visible influence in the public order in the place where was distributed. </w:t>
      </w:r>
    </w:p>
    <w:p w:rsidR="00F57BF9" w:rsidRPr="00C01906" w:rsidRDefault="00F57BF9" w:rsidP="00F57BF9">
      <w:pPr>
        <w:spacing w:after="0" w:line="240" w:lineRule="auto"/>
        <w:jc w:val="both"/>
        <w:rPr>
          <w:rFonts w:ascii="Times New Roman" w:hAnsi="Times New Roman"/>
          <w:sz w:val="27"/>
          <w:szCs w:val="27"/>
          <w:lang w:val="en-US"/>
        </w:rPr>
      </w:pPr>
      <w:r w:rsidRPr="00C01906">
        <w:rPr>
          <w:rFonts w:ascii="Times New Roman" w:hAnsi="Times New Roman"/>
          <w:sz w:val="27"/>
          <w:szCs w:val="27"/>
          <w:lang w:val="en-US"/>
        </w:rPr>
        <w:t xml:space="preserve">In the case </w:t>
      </w:r>
      <w:proofErr w:type="spellStart"/>
      <w:r w:rsidRPr="00C01906">
        <w:rPr>
          <w:rFonts w:ascii="Times New Roman" w:hAnsi="Times New Roman"/>
          <w:i/>
          <w:iCs/>
          <w:sz w:val="27"/>
          <w:szCs w:val="27"/>
          <w:lang w:val="en-US"/>
        </w:rPr>
        <w:t>Otegi</w:t>
      </w:r>
      <w:proofErr w:type="spellEnd"/>
      <w:r w:rsidRPr="00C01906">
        <w:rPr>
          <w:rFonts w:ascii="Times New Roman" w:hAnsi="Times New Roman"/>
          <w:i/>
          <w:iCs/>
          <w:sz w:val="27"/>
          <w:szCs w:val="27"/>
          <w:lang w:val="en-US"/>
        </w:rPr>
        <w:t xml:space="preserve"> Mondragon v. Spain,</w:t>
      </w:r>
      <w:r w:rsidRPr="00C01906">
        <w:rPr>
          <w:rFonts w:ascii="Times New Roman" w:hAnsi="Times New Roman"/>
          <w:sz w:val="27"/>
          <w:szCs w:val="27"/>
          <w:vertAlign w:val="superscript"/>
          <w:lang w:val="en-US"/>
        </w:rPr>
        <w:footnoteReference w:id="37"/>
      </w:r>
      <w:r w:rsidRPr="00C01906">
        <w:rPr>
          <w:rFonts w:ascii="Times New Roman" w:hAnsi="Times New Roman"/>
          <w:sz w:val="27"/>
          <w:szCs w:val="27"/>
          <w:lang w:val="en-US"/>
        </w:rPr>
        <w:t xml:space="preserve">  the court considered that there were violations of the Article 10, considering that, the penalty of the applicant has not been proportionate to the protection of reputation guaranteed by the Spanish constitution. The language used could be considered as a provoking language, but had not the intention to incite violence and did not arrive to that level so that to be considered hate language. Moreover, those were statements done in a press conference, what implied that the applicant was not able to reformulate or to delete them before becoming public. </w:t>
      </w:r>
    </w:p>
    <w:p w:rsidR="00F57BF9" w:rsidRPr="00C01906" w:rsidRDefault="00F57BF9" w:rsidP="00F57BF9">
      <w:pPr>
        <w:pStyle w:val="s5f48796f"/>
        <w:shd w:val="clear" w:color="auto" w:fill="FFFFFF"/>
        <w:spacing w:before="240" w:beforeAutospacing="0" w:after="0" w:afterAutospacing="0"/>
        <w:jc w:val="both"/>
        <w:rPr>
          <w:sz w:val="27"/>
          <w:szCs w:val="27"/>
        </w:rPr>
      </w:pPr>
      <w:r w:rsidRPr="00C01906">
        <w:rPr>
          <w:sz w:val="27"/>
          <w:szCs w:val="27"/>
        </w:rPr>
        <w:t xml:space="preserve">In the case </w:t>
      </w:r>
      <w:r w:rsidRPr="00C01906">
        <w:rPr>
          <w:i/>
          <w:iCs/>
          <w:sz w:val="27"/>
          <w:szCs w:val="27"/>
        </w:rPr>
        <w:t xml:space="preserve">Stern </w:t>
      </w:r>
      <w:proofErr w:type="spellStart"/>
      <w:r w:rsidRPr="00C01906">
        <w:rPr>
          <w:i/>
          <w:iCs/>
          <w:sz w:val="27"/>
          <w:szCs w:val="27"/>
        </w:rPr>
        <w:t>Taulats</w:t>
      </w:r>
      <w:proofErr w:type="spellEnd"/>
      <w:r w:rsidRPr="00C01906">
        <w:rPr>
          <w:i/>
          <w:iCs/>
          <w:sz w:val="27"/>
          <w:szCs w:val="27"/>
        </w:rPr>
        <w:t xml:space="preserve"> and </w:t>
      </w:r>
      <w:proofErr w:type="spellStart"/>
      <w:r w:rsidRPr="00C01906">
        <w:rPr>
          <w:i/>
          <w:iCs/>
          <w:sz w:val="27"/>
          <w:szCs w:val="27"/>
        </w:rPr>
        <w:t>Roura</w:t>
      </w:r>
      <w:proofErr w:type="spellEnd"/>
      <w:r w:rsidRPr="00C01906">
        <w:rPr>
          <w:i/>
          <w:iCs/>
          <w:sz w:val="27"/>
          <w:szCs w:val="27"/>
        </w:rPr>
        <w:t xml:space="preserve"> </w:t>
      </w:r>
      <w:proofErr w:type="spellStart"/>
      <w:r w:rsidRPr="00C01906">
        <w:rPr>
          <w:i/>
          <w:iCs/>
          <w:sz w:val="27"/>
          <w:szCs w:val="27"/>
        </w:rPr>
        <w:t>Capellera</w:t>
      </w:r>
      <w:proofErr w:type="spellEnd"/>
      <w:r w:rsidRPr="00C01906">
        <w:rPr>
          <w:i/>
          <w:iCs/>
          <w:sz w:val="27"/>
          <w:szCs w:val="27"/>
        </w:rPr>
        <w:t xml:space="preserve"> v. Spain, </w:t>
      </w:r>
      <w:r w:rsidRPr="00C01906">
        <w:rPr>
          <w:sz w:val="27"/>
          <w:szCs w:val="27"/>
        </w:rPr>
        <w:t>(</w:t>
      </w:r>
      <w:r w:rsidRPr="00C01906">
        <w:rPr>
          <w:rStyle w:val="sbb9ee52a"/>
          <w:sz w:val="27"/>
          <w:szCs w:val="27"/>
        </w:rPr>
        <w:t xml:space="preserve">while the King was on an official visit to </w:t>
      </w:r>
      <w:proofErr w:type="spellStart"/>
      <w:r w:rsidRPr="00C01906">
        <w:rPr>
          <w:rStyle w:val="sbb9ee52a"/>
          <w:sz w:val="27"/>
          <w:szCs w:val="27"/>
        </w:rPr>
        <w:t>Girona</w:t>
      </w:r>
      <w:proofErr w:type="spellEnd"/>
      <w:r w:rsidRPr="00C01906">
        <w:rPr>
          <w:rStyle w:val="sbb9ee52a"/>
          <w:sz w:val="27"/>
          <w:szCs w:val="27"/>
        </w:rPr>
        <w:t>, which was followed by an anti-monarchist and separatist demonstration, a rally took place on a square in the city where the applicants set fire to a large photograph of the royal couple which they had turned upside down.</w:t>
      </w:r>
      <w:r w:rsidRPr="00C01906">
        <w:rPr>
          <w:sz w:val="27"/>
          <w:szCs w:val="27"/>
        </w:rPr>
        <w:t xml:space="preserve">) The court considered that there </w:t>
      </w:r>
      <w:r w:rsidR="00B20BEA" w:rsidRPr="00C01906">
        <w:rPr>
          <w:sz w:val="27"/>
          <w:szCs w:val="27"/>
        </w:rPr>
        <w:t>have been violations</w:t>
      </w:r>
      <w:r w:rsidRPr="00C01906">
        <w:rPr>
          <w:sz w:val="27"/>
          <w:szCs w:val="27"/>
        </w:rPr>
        <w:t xml:space="preserve"> of the Article 10, reasoning that the actions of applicants were part of a political critic and not personal versus the institution, monarchy and the Spanish state. Photo burning may be considered a provocation that intended to create mediatic attention and did not go beyond the allowed use of provocations to transmit a critical message within the freedom of expression. This event could not be considered either as an inciting of violence, or as hate language. The court declared that the prison penalty of the applicants was not in proportion with the followed legitimate purpose, (the protection of the reputation and of the rights of others) and nor “necessary in a democratic society.”</w:t>
      </w:r>
    </w:p>
    <w:p w:rsidR="00F57BF9" w:rsidRPr="00C01906" w:rsidRDefault="00F57BF9" w:rsidP="00F57BF9">
      <w:pPr>
        <w:spacing w:after="0" w:line="240" w:lineRule="auto"/>
        <w:jc w:val="both"/>
        <w:rPr>
          <w:rFonts w:ascii="Times New Roman" w:hAnsi="Times New Roman"/>
          <w:sz w:val="27"/>
          <w:szCs w:val="27"/>
          <w:lang w:val="en-US"/>
        </w:rPr>
      </w:pPr>
      <w:r w:rsidRPr="00C01906">
        <w:rPr>
          <w:rFonts w:ascii="Times New Roman" w:hAnsi="Times New Roman"/>
          <w:sz w:val="27"/>
          <w:szCs w:val="27"/>
          <w:lang w:val="en-US"/>
        </w:rPr>
        <w:t xml:space="preserve">A discussion with interest is the fact whether are considered criminal offenses, the actions of litigant parties who, because of displeasure they have versus judicial judgment, make comments where they ask to be taken measures, make calls for hatred and different forms of the aspect of public incitement, such actions towards the system of justice that may be considered as a distribution of racist and xenophobic materials through the incitement of conflicts and hatred. So, in a judicial case, a French gendarme, in the pursuit of the author of the crime, opened fire and killed him. At the end of the case, the gendarme was considered as innocent. The lawyer of the father of the victim, Mr. </w:t>
      </w:r>
      <w:proofErr w:type="spellStart"/>
      <w:r w:rsidRPr="00C01906">
        <w:rPr>
          <w:rFonts w:ascii="Times New Roman" w:hAnsi="Times New Roman"/>
          <w:sz w:val="27"/>
          <w:szCs w:val="27"/>
          <w:lang w:val="en-US"/>
        </w:rPr>
        <w:t>Ottan</w:t>
      </w:r>
      <w:proofErr w:type="spellEnd"/>
      <w:r w:rsidRPr="00C01906">
        <w:rPr>
          <w:rFonts w:ascii="Times New Roman" w:hAnsi="Times New Roman"/>
          <w:sz w:val="27"/>
          <w:szCs w:val="27"/>
          <w:lang w:val="en-US"/>
        </w:rPr>
        <w:t xml:space="preserve">, had a speech for journalists and emphasized that the jury and the trial body were all white, while he was in color, implying that their decision, was expected because of racism. Prosecution began the proceeding for the distribution of racist and xenophobic propaganda for the system of justice and the defender was </w:t>
      </w:r>
      <w:r w:rsidRPr="00C01906">
        <w:rPr>
          <w:rFonts w:ascii="Times New Roman" w:hAnsi="Times New Roman"/>
          <w:sz w:val="27"/>
          <w:szCs w:val="27"/>
          <w:lang w:val="en-US"/>
        </w:rPr>
        <w:lastRenderedPageBreak/>
        <w:t>found guilty for the accuse, being convicted with “reproach” (the easiest penalty foreseen by the French Criminal Code). The case went up to the Strasbourg Court (</w:t>
      </w:r>
      <w:proofErr w:type="spellStart"/>
      <w:r w:rsidRPr="00C01906">
        <w:rPr>
          <w:rFonts w:ascii="Times New Roman" w:hAnsi="Times New Roman"/>
          <w:i/>
          <w:iCs/>
          <w:sz w:val="27"/>
          <w:szCs w:val="27"/>
          <w:lang w:val="en-US"/>
        </w:rPr>
        <w:t>Ottan</w:t>
      </w:r>
      <w:proofErr w:type="spellEnd"/>
      <w:r w:rsidRPr="00C01906">
        <w:rPr>
          <w:rFonts w:ascii="Times New Roman" w:hAnsi="Times New Roman"/>
          <w:i/>
          <w:iCs/>
          <w:sz w:val="27"/>
          <w:szCs w:val="27"/>
          <w:lang w:val="en-US"/>
        </w:rPr>
        <w:t xml:space="preserve"> v. France</w:t>
      </w:r>
      <w:r w:rsidRPr="00C01906">
        <w:rPr>
          <w:rFonts w:ascii="Times New Roman" w:hAnsi="Times New Roman"/>
          <w:sz w:val="27"/>
          <w:szCs w:val="27"/>
          <w:lang w:val="en-US"/>
        </w:rPr>
        <w:t xml:space="preserve">), which found violation of the Article 10 of the Convention, by reasoning, that the statements of the lawyer were part of a debate of general character that was related to the function of criminal justice in the mediatic context of this case. These statements did not have connection with the accuses that were made, but were referred to the impartiality and the representation of members of the jury (representatives of the people in the trial body of the Court of Assisi), as well as were considered a general statement in relation to the organization of criminal justice. Although shocking, these observations of the lawyer, as part of the defense of the client, were a trial on values, based sufficiently on facts.  </w:t>
      </w:r>
    </w:p>
    <w:p w:rsidR="00F57BF9" w:rsidRPr="00C01906" w:rsidRDefault="00F57BF9" w:rsidP="00F57BF9">
      <w:pPr>
        <w:rPr>
          <w:rFonts w:ascii="Times New Roman" w:hAnsi="Times New Roman"/>
          <w:sz w:val="27"/>
          <w:szCs w:val="27"/>
          <w:lang w:val="en-US"/>
        </w:rPr>
      </w:pPr>
    </w:p>
    <w:p w:rsidR="00F57BF9" w:rsidRPr="00C01906" w:rsidRDefault="00F57BF9" w:rsidP="00F57BF9">
      <w:pPr>
        <w:spacing w:line="240" w:lineRule="auto"/>
        <w:jc w:val="center"/>
        <w:rPr>
          <w:rFonts w:ascii="Times New Roman" w:hAnsi="Times New Roman"/>
          <w:i/>
          <w:iCs/>
          <w:sz w:val="27"/>
          <w:szCs w:val="27"/>
          <w:lang w:val="en-US"/>
        </w:rPr>
      </w:pPr>
      <w:r w:rsidRPr="00C01906">
        <w:rPr>
          <w:rFonts w:ascii="Times New Roman" w:hAnsi="Times New Roman"/>
          <w:i/>
          <w:iCs/>
          <w:sz w:val="27"/>
          <w:szCs w:val="27"/>
          <w:lang w:val="en-US"/>
        </w:rPr>
        <w:t>Facilitated in the preparation of the summary of the material:</w:t>
      </w:r>
    </w:p>
    <w:p w:rsidR="00F57BF9" w:rsidRPr="008D1245" w:rsidRDefault="00F57BF9" w:rsidP="00F57BF9">
      <w:pPr>
        <w:spacing w:line="240" w:lineRule="auto"/>
        <w:jc w:val="center"/>
        <w:rPr>
          <w:rFonts w:ascii="Times New Roman" w:hAnsi="Times New Roman"/>
          <w:i/>
          <w:iCs/>
          <w:sz w:val="27"/>
          <w:szCs w:val="27"/>
          <w:lang w:val="en-US"/>
        </w:rPr>
      </w:pPr>
      <w:proofErr w:type="spellStart"/>
      <w:r w:rsidRPr="00C01906">
        <w:rPr>
          <w:rFonts w:ascii="Times New Roman" w:hAnsi="Times New Roman"/>
          <w:i/>
          <w:iCs/>
          <w:sz w:val="27"/>
          <w:szCs w:val="27"/>
          <w:lang w:val="en-US"/>
        </w:rPr>
        <w:t>Enri</w:t>
      </w:r>
      <w:proofErr w:type="spellEnd"/>
      <w:r w:rsidRPr="00C01906">
        <w:rPr>
          <w:rFonts w:ascii="Times New Roman" w:hAnsi="Times New Roman"/>
          <w:i/>
          <w:iCs/>
          <w:sz w:val="27"/>
          <w:szCs w:val="27"/>
          <w:lang w:val="en-US"/>
        </w:rPr>
        <w:t xml:space="preserve"> </w:t>
      </w:r>
      <w:proofErr w:type="spellStart"/>
      <w:r w:rsidRPr="00C01906">
        <w:rPr>
          <w:rFonts w:ascii="Times New Roman" w:hAnsi="Times New Roman"/>
          <w:i/>
          <w:iCs/>
          <w:sz w:val="27"/>
          <w:szCs w:val="27"/>
          <w:lang w:val="en-US"/>
        </w:rPr>
        <w:t>Rista</w:t>
      </w:r>
      <w:proofErr w:type="spellEnd"/>
      <w:r w:rsidRPr="00C01906">
        <w:rPr>
          <w:rFonts w:ascii="Times New Roman" w:hAnsi="Times New Roman"/>
          <w:i/>
          <w:iCs/>
          <w:sz w:val="27"/>
          <w:szCs w:val="27"/>
          <w:lang w:val="en-US"/>
        </w:rPr>
        <w:t xml:space="preserve"> (candidate for magistrate, profile judge), </w:t>
      </w:r>
      <w:proofErr w:type="spellStart"/>
      <w:r w:rsidRPr="00C01906">
        <w:rPr>
          <w:rFonts w:ascii="Times New Roman" w:hAnsi="Times New Roman"/>
          <w:i/>
          <w:iCs/>
          <w:sz w:val="27"/>
          <w:szCs w:val="27"/>
          <w:lang w:val="en-US"/>
        </w:rPr>
        <w:t>Mirjon</w:t>
      </w:r>
      <w:proofErr w:type="spellEnd"/>
      <w:r w:rsidRPr="00C01906">
        <w:rPr>
          <w:rFonts w:ascii="Times New Roman" w:hAnsi="Times New Roman"/>
          <w:i/>
          <w:iCs/>
          <w:sz w:val="27"/>
          <w:szCs w:val="27"/>
          <w:lang w:val="en-US"/>
        </w:rPr>
        <w:t xml:space="preserve"> </w:t>
      </w:r>
      <w:proofErr w:type="spellStart"/>
      <w:r w:rsidRPr="00C01906">
        <w:rPr>
          <w:rFonts w:ascii="Times New Roman" w:hAnsi="Times New Roman"/>
          <w:i/>
          <w:iCs/>
          <w:sz w:val="27"/>
          <w:szCs w:val="27"/>
          <w:lang w:val="en-US"/>
        </w:rPr>
        <w:t>Brahimllari</w:t>
      </w:r>
      <w:proofErr w:type="spellEnd"/>
      <w:r w:rsidRPr="00C01906">
        <w:rPr>
          <w:rFonts w:ascii="Times New Roman" w:hAnsi="Times New Roman"/>
          <w:i/>
          <w:iCs/>
          <w:sz w:val="27"/>
          <w:szCs w:val="27"/>
          <w:lang w:val="en-US"/>
        </w:rPr>
        <w:t xml:space="preserve"> (candidate for magistrate, profile prosecutor)</w:t>
      </w:r>
    </w:p>
    <w:p w:rsidR="00F57BF9" w:rsidRPr="008D1245" w:rsidRDefault="00F57BF9" w:rsidP="00F57BF9">
      <w:pPr>
        <w:rPr>
          <w:sz w:val="27"/>
          <w:szCs w:val="27"/>
          <w:lang w:val="en-US"/>
        </w:rPr>
      </w:pPr>
    </w:p>
    <w:p w:rsidR="00F57BF9" w:rsidRPr="008D1245" w:rsidRDefault="00F57BF9" w:rsidP="00F57BF9">
      <w:pPr>
        <w:rPr>
          <w:sz w:val="27"/>
          <w:szCs w:val="27"/>
          <w:lang w:val="en-US"/>
        </w:rPr>
      </w:pPr>
    </w:p>
    <w:p w:rsidR="00F13E34" w:rsidRPr="008D1245" w:rsidRDefault="00F13E34" w:rsidP="00F57BF9">
      <w:pPr>
        <w:rPr>
          <w:sz w:val="27"/>
          <w:szCs w:val="27"/>
        </w:rPr>
      </w:pPr>
    </w:p>
    <w:sectPr w:rsidR="00F13E34" w:rsidRPr="008D1245" w:rsidSect="00F13E34">
      <w:footerReference w:type="default" r:id="rId8"/>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67E04" w:rsidRDefault="00967E04" w:rsidP="00674492">
      <w:pPr>
        <w:spacing w:after="0" w:line="240" w:lineRule="auto"/>
      </w:pPr>
      <w:r>
        <w:separator/>
      </w:r>
    </w:p>
  </w:endnote>
  <w:endnote w:type="continuationSeparator" w:id="0">
    <w:p w:rsidR="00967E04" w:rsidRDefault="00967E04" w:rsidP="0067449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Open Sans">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E34" w:rsidRPr="00171AF7" w:rsidRDefault="00FD330C">
    <w:pPr>
      <w:pStyle w:val="Footer"/>
      <w:jc w:val="center"/>
      <w:rPr>
        <w:rFonts w:ascii="Times New Roman" w:hAnsi="Times New Roman"/>
      </w:rPr>
    </w:pPr>
    <w:r w:rsidRPr="00171AF7">
      <w:rPr>
        <w:rFonts w:ascii="Times New Roman" w:hAnsi="Times New Roman"/>
      </w:rPr>
      <w:fldChar w:fldCharType="begin"/>
    </w:r>
    <w:r w:rsidR="00F13E34" w:rsidRPr="00171AF7">
      <w:rPr>
        <w:rFonts w:ascii="Times New Roman" w:hAnsi="Times New Roman"/>
      </w:rPr>
      <w:instrText xml:space="preserve"> PAGE   \* MERGEFORMAT </w:instrText>
    </w:r>
    <w:r w:rsidRPr="00171AF7">
      <w:rPr>
        <w:rFonts w:ascii="Times New Roman" w:hAnsi="Times New Roman"/>
      </w:rPr>
      <w:fldChar w:fldCharType="separate"/>
    </w:r>
    <w:r w:rsidR="00B86A67">
      <w:rPr>
        <w:rFonts w:ascii="Times New Roman" w:hAnsi="Times New Roman"/>
        <w:noProof/>
      </w:rPr>
      <w:t>19</w:t>
    </w:r>
    <w:r w:rsidRPr="00171AF7">
      <w:rPr>
        <w:rFonts w:ascii="Times New Roman" w:hAnsi="Times New Roman"/>
        <w:noProof/>
      </w:rPr>
      <w:fldChar w:fldCharType="end"/>
    </w:r>
  </w:p>
  <w:p w:rsidR="00F13E34" w:rsidRDefault="00F13E3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67E04" w:rsidRDefault="00967E04" w:rsidP="00674492">
      <w:pPr>
        <w:spacing w:after="0" w:line="240" w:lineRule="auto"/>
      </w:pPr>
      <w:r>
        <w:separator/>
      </w:r>
    </w:p>
  </w:footnote>
  <w:footnote w:type="continuationSeparator" w:id="0">
    <w:p w:rsidR="00967E04" w:rsidRDefault="00967E04" w:rsidP="00674492">
      <w:pPr>
        <w:spacing w:after="0" w:line="240" w:lineRule="auto"/>
      </w:pPr>
      <w:r>
        <w:continuationSeparator/>
      </w:r>
    </w:p>
  </w:footnote>
  <w:footnote w:id="1">
    <w:p w:rsidR="00F57BF9" w:rsidRPr="00C01906" w:rsidRDefault="00F57BF9" w:rsidP="00F57BF9">
      <w:pPr>
        <w:pStyle w:val="FootnoteText"/>
        <w:jc w:val="both"/>
        <w:rPr>
          <w:rFonts w:ascii="Times New Roman" w:hAnsi="Times New Roman"/>
          <w:lang w:val="en-US"/>
        </w:rPr>
      </w:pPr>
      <w:r w:rsidRPr="00C01906">
        <w:rPr>
          <w:rStyle w:val="FootnoteReference"/>
          <w:rFonts w:ascii="Times New Roman" w:hAnsi="Times New Roman"/>
          <w:lang w:val="en-US"/>
        </w:rPr>
        <w:footnoteRef/>
      </w:r>
      <w:r w:rsidRPr="00C01906">
        <w:rPr>
          <w:rFonts w:ascii="Times New Roman" w:hAnsi="Times New Roman"/>
          <w:lang w:val="en-US"/>
        </w:rPr>
        <w:t xml:space="preserve"> </w:t>
      </w:r>
      <w:proofErr w:type="gramStart"/>
      <w:r w:rsidRPr="00C01906">
        <w:rPr>
          <w:rFonts w:ascii="Times New Roman" w:hAnsi="Times New Roman"/>
          <w:lang w:val="en-US"/>
        </w:rPr>
        <w:t>Topic, panel, number of participants, elaborated issues.</w:t>
      </w:r>
      <w:proofErr w:type="gramEnd"/>
      <w:r w:rsidRPr="00C01906">
        <w:rPr>
          <w:rFonts w:ascii="Times New Roman" w:hAnsi="Times New Roman"/>
          <w:lang w:val="en-US"/>
        </w:rPr>
        <w:t xml:space="preserve"> </w:t>
      </w:r>
    </w:p>
  </w:footnote>
  <w:footnote w:id="2">
    <w:p w:rsidR="00F57BF9" w:rsidRPr="00C01906" w:rsidRDefault="00F57BF9" w:rsidP="00F57BF9">
      <w:pPr>
        <w:pStyle w:val="FootnoteText"/>
        <w:ind w:left="180" w:hanging="180"/>
        <w:jc w:val="both"/>
        <w:rPr>
          <w:rFonts w:ascii="Times New Roman" w:hAnsi="Times New Roman"/>
          <w:lang w:val="en-US"/>
        </w:rPr>
      </w:pPr>
      <w:r w:rsidRPr="00C01906">
        <w:rPr>
          <w:rStyle w:val="FootnoteReference"/>
          <w:rFonts w:ascii="Times New Roman" w:hAnsi="Times New Roman"/>
          <w:lang w:val="en-US"/>
        </w:rPr>
        <w:footnoteRef/>
      </w:r>
      <w:r w:rsidRPr="00C01906">
        <w:rPr>
          <w:rFonts w:ascii="Times New Roman" w:hAnsi="Times New Roman"/>
          <w:lang w:val="en-US"/>
        </w:rPr>
        <w:t xml:space="preserve"> </w:t>
      </w:r>
      <w:proofErr w:type="spellStart"/>
      <w:r w:rsidRPr="00C01906">
        <w:rPr>
          <w:rFonts w:ascii="Times New Roman" w:hAnsi="Times New Roman"/>
          <w:lang w:val="en-US"/>
        </w:rPr>
        <w:t>Ylli</w:t>
      </w:r>
      <w:proofErr w:type="spellEnd"/>
      <w:r w:rsidRPr="00C01906">
        <w:rPr>
          <w:rFonts w:ascii="Times New Roman" w:hAnsi="Times New Roman"/>
          <w:lang w:val="en-US"/>
        </w:rPr>
        <w:t xml:space="preserve"> </w:t>
      </w:r>
      <w:proofErr w:type="spellStart"/>
      <w:r w:rsidRPr="00C01906">
        <w:rPr>
          <w:rFonts w:ascii="Times New Roman" w:hAnsi="Times New Roman"/>
          <w:lang w:val="en-US"/>
        </w:rPr>
        <w:t>Pjetërnikaj</w:t>
      </w:r>
      <w:proofErr w:type="spellEnd"/>
      <w:r w:rsidRPr="00C01906">
        <w:rPr>
          <w:rFonts w:ascii="Times New Roman" w:hAnsi="Times New Roman"/>
          <w:lang w:val="en-US"/>
        </w:rPr>
        <w:t>, legal Advisor at the High Prosecutorial Council (</w:t>
      </w:r>
      <w:r w:rsidRPr="00C01906">
        <w:rPr>
          <w:rFonts w:ascii="Times New Roman" w:hAnsi="Times New Roman"/>
          <w:i/>
          <w:iCs/>
          <w:lang w:val="en-US"/>
        </w:rPr>
        <w:t>in act).</w:t>
      </w:r>
      <w:r w:rsidRPr="00C01906">
        <w:rPr>
          <w:rFonts w:ascii="Times New Roman" w:hAnsi="Times New Roman"/>
          <w:lang w:val="en-US"/>
        </w:rPr>
        <w:t> </w:t>
      </w:r>
      <w:proofErr w:type="gramStart"/>
      <w:r w:rsidRPr="00C01906">
        <w:rPr>
          <w:rFonts w:ascii="Times New Roman" w:hAnsi="Times New Roman"/>
          <w:lang w:val="en-US"/>
        </w:rPr>
        <w:t>Prosecutor in the Prosecution Office ay the First Instance Court of General Jurisdiction, Tiranë.</w:t>
      </w:r>
      <w:proofErr w:type="gramEnd"/>
    </w:p>
  </w:footnote>
  <w:footnote w:id="3">
    <w:p w:rsidR="00F57BF9" w:rsidRPr="00C01906" w:rsidRDefault="00F57BF9" w:rsidP="00F57BF9">
      <w:pPr>
        <w:pStyle w:val="FootnoteText"/>
        <w:ind w:left="180" w:hanging="180"/>
        <w:jc w:val="both"/>
        <w:rPr>
          <w:rFonts w:ascii="Times New Roman" w:hAnsi="Times New Roman"/>
          <w:lang w:val="en-US"/>
        </w:rPr>
      </w:pPr>
      <w:r w:rsidRPr="00C01906">
        <w:rPr>
          <w:rStyle w:val="FootnoteReference"/>
          <w:rFonts w:ascii="Times New Roman" w:hAnsi="Times New Roman"/>
          <w:lang w:val="en-US"/>
        </w:rPr>
        <w:footnoteRef/>
      </w:r>
      <w:r w:rsidRPr="00C01906">
        <w:rPr>
          <w:rFonts w:ascii="Times New Roman" w:hAnsi="Times New Roman"/>
          <w:lang w:val="en-US"/>
        </w:rPr>
        <w:t xml:space="preserve"> </w:t>
      </w:r>
      <w:proofErr w:type="spellStart"/>
      <w:r w:rsidRPr="00C01906">
        <w:rPr>
          <w:rFonts w:ascii="Times New Roman" w:hAnsi="Times New Roman"/>
          <w:bCs/>
          <w:lang w:val="en-US"/>
        </w:rPr>
        <w:t>Adnan</w:t>
      </w:r>
      <w:proofErr w:type="spellEnd"/>
      <w:r w:rsidRPr="00C01906">
        <w:rPr>
          <w:rFonts w:ascii="Times New Roman" w:hAnsi="Times New Roman"/>
          <w:bCs/>
          <w:lang w:val="en-US"/>
        </w:rPr>
        <w:t xml:space="preserve"> </w:t>
      </w:r>
      <w:proofErr w:type="spellStart"/>
      <w:r w:rsidRPr="00C01906">
        <w:rPr>
          <w:rFonts w:ascii="Times New Roman" w:hAnsi="Times New Roman"/>
          <w:bCs/>
          <w:lang w:val="en-US"/>
        </w:rPr>
        <w:t>Hoxha</w:t>
      </w:r>
      <w:proofErr w:type="spellEnd"/>
      <w:r w:rsidRPr="00C01906">
        <w:rPr>
          <w:rFonts w:ascii="Times New Roman" w:hAnsi="Times New Roman"/>
          <w:bCs/>
          <w:lang w:val="en-US"/>
        </w:rPr>
        <w:t>, Prosecutor in the Prosecution of the First Instance Court of General Jurisdiction, Shkoder.</w:t>
      </w:r>
    </w:p>
  </w:footnote>
  <w:footnote w:id="4">
    <w:p w:rsidR="00F57BF9" w:rsidRPr="00C01906" w:rsidRDefault="00F57BF9" w:rsidP="00F57BF9">
      <w:pPr>
        <w:spacing w:after="0" w:line="240" w:lineRule="auto"/>
        <w:jc w:val="both"/>
        <w:rPr>
          <w:rFonts w:ascii="Times New Roman" w:hAnsi="Times New Roman"/>
          <w:bCs/>
          <w:sz w:val="20"/>
          <w:szCs w:val="20"/>
          <w:lang w:val="en-US"/>
        </w:rPr>
      </w:pPr>
      <w:r w:rsidRPr="00C01906">
        <w:rPr>
          <w:rStyle w:val="FootnoteReference"/>
          <w:rFonts w:ascii="Times New Roman" w:hAnsi="Times New Roman"/>
          <w:sz w:val="20"/>
          <w:szCs w:val="20"/>
          <w:lang w:val="en-US"/>
        </w:rPr>
        <w:footnoteRef/>
      </w:r>
      <w:r w:rsidRPr="00C01906">
        <w:rPr>
          <w:rFonts w:ascii="Times New Roman" w:hAnsi="Times New Roman"/>
          <w:sz w:val="20"/>
          <w:szCs w:val="20"/>
          <w:lang w:val="en-US"/>
        </w:rPr>
        <w:t xml:space="preserve"> This Protocol is the result of the joint plan approved in the Second Summit of Strasbourg as a counter response versus cyber violence and new technological developments and is the base of the acts of forcing nature on whose base all the other states have done their transpositions and harmonization. This Protocol holds specific provisions regarding the criminalization of the acts with racist or xenophobic nature but on the other hand holds even procedural provisions. </w:t>
      </w:r>
      <w:proofErr w:type="gramStart"/>
      <w:r w:rsidRPr="00C01906">
        <w:rPr>
          <w:rFonts w:ascii="Times New Roman" w:hAnsi="Times New Roman"/>
          <w:sz w:val="20"/>
          <w:szCs w:val="20"/>
          <w:lang w:val="en-US"/>
        </w:rPr>
        <w:t>The second additional Protocol of the Convention on cybercrime for the enlarged development and the discovery of electronic evidences, (Strasbourg, 12 May, 2022), that is ratified on May, 2022, but has not come into force yet.</w:t>
      </w:r>
      <w:proofErr w:type="gramEnd"/>
      <w:r w:rsidRPr="00C01906">
        <w:rPr>
          <w:rFonts w:ascii="Times New Roman" w:hAnsi="Times New Roman"/>
          <w:sz w:val="20"/>
          <w:szCs w:val="20"/>
          <w:lang w:val="en-US"/>
        </w:rPr>
        <w:t xml:space="preserve"> This Protocol is an important instrument that provides a large cooperation of member states in the discovery, acquisition and administration of electronic evidences</w:t>
      </w:r>
      <w:r w:rsidRPr="00C01906">
        <w:rPr>
          <w:rFonts w:ascii="Times New Roman" w:hAnsi="Times New Roman"/>
          <w:bCs/>
          <w:sz w:val="20"/>
          <w:szCs w:val="20"/>
          <w:lang w:val="en-US"/>
        </w:rPr>
        <w:t>.</w:t>
      </w:r>
    </w:p>
    <w:p w:rsidR="00F57BF9" w:rsidRPr="00C01906" w:rsidRDefault="00F57BF9" w:rsidP="00F57BF9">
      <w:pPr>
        <w:pStyle w:val="FootnoteText"/>
        <w:jc w:val="both"/>
        <w:rPr>
          <w:rFonts w:ascii="Times New Roman" w:hAnsi="Times New Roman"/>
          <w:lang w:val="en-US"/>
        </w:rPr>
      </w:pPr>
    </w:p>
  </w:footnote>
  <w:footnote w:id="5">
    <w:p w:rsidR="00F57BF9" w:rsidRPr="00C01906" w:rsidRDefault="00F57BF9" w:rsidP="00F57BF9">
      <w:pPr>
        <w:pStyle w:val="FootnoteText"/>
        <w:jc w:val="both"/>
        <w:rPr>
          <w:rFonts w:ascii="Times New Roman" w:hAnsi="Times New Roman"/>
          <w:lang w:val="en-US"/>
        </w:rPr>
      </w:pPr>
      <w:r w:rsidRPr="00C01906">
        <w:rPr>
          <w:rStyle w:val="FootnoteReference"/>
          <w:rFonts w:ascii="Times New Roman" w:hAnsi="Times New Roman"/>
          <w:lang w:val="en-US"/>
        </w:rPr>
        <w:footnoteRef/>
      </w:r>
      <w:r w:rsidRPr="00C01906">
        <w:rPr>
          <w:rFonts w:ascii="Times New Roman" w:hAnsi="Times New Roman"/>
          <w:lang w:val="en-US"/>
        </w:rPr>
        <w:t xml:space="preserve"> </w:t>
      </w:r>
      <w:proofErr w:type="spellStart"/>
      <w:r w:rsidRPr="00C01906">
        <w:rPr>
          <w:rFonts w:ascii="Times New Roman" w:hAnsi="Times New Roman"/>
          <w:lang w:val="en-US"/>
        </w:rPr>
        <w:t>Ylli</w:t>
      </w:r>
      <w:proofErr w:type="spellEnd"/>
      <w:r w:rsidRPr="00C01906">
        <w:rPr>
          <w:rFonts w:ascii="Times New Roman" w:hAnsi="Times New Roman"/>
          <w:lang w:val="en-US"/>
        </w:rPr>
        <w:t xml:space="preserve"> </w:t>
      </w:r>
      <w:proofErr w:type="spellStart"/>
      <w:r w:rsidRPr="00C01906">
        <w:rPr>
          <w:rFonts w:ascii="Times New Roman" w:hAnsi="Times New Roman"/>
          <w:lang w:val="en-US"/>
        </w:rPr>
        <w:t>Pjetërnikaj</w:t>
      </w:r>
      <w:proofErr w:type="spellEnd"/>
      <w:r w:rsidRPr="00C01906">
        <w:rPr>
          <w:rFonts w:ascii="Times New Roman" w:hAnsi="Times New Roman"/>
          <w:lang w:val="en-US"/>
        </w:rPr>
        <w:t xml:space="preserve">, Legal advisor at the High Prosecutorial Council, (acting). </w:t>
      </w:r>
      <w:proofErr w:type="gramStart"/>
      <w:r w:rsidRPr="00C01906">
        <w:rPr>
          <w:rFonts w:ascii="Times New Roman" w:hAnsi="Times New Roman"/>
          <w:lang w:val="en-US"/>
        </w:rPr>
        <w:t>Prosecutor in Prosecution Office to the First Instance Court of the General Jurisdiction</w:t>
      </w:r>
      <w:r w:rsidR="000D55A1" w:rsidRPr="00C01906">
        <w:rPr>
          <w:rFonts w:ascii="Times New Roman" w:hAnsi="Times New Roman"/>
          <w:lang w:val="en-US"/>
        </w:rPr>
        <w:t>, Tiranë</w:t>
      </w:r>
      <w:r w:rsidRPr="00C01906">
        <w:rPr>
          <w:rFonts w:ascii="Times New Roman" w:hAnsi="Times New Roman"/>
          <w:lang w:val="en-US"/>
        </w:rPr>
        <w:t>.</w:t>
      </w:r>
      <w:proofErr w:type="gramEnd"/>
    </w:p>
  </w:footnote>
  <w:footnote w:id="6">
    <w:p w:rsidR="00F57BF9" w:rsidRPr="00C01906" w:rsidRDefault="00F57BF9" w:rsidP="00F57BF9">
      <w:pPr>
        <w:pStyle w:val="FootnoteText"/>
        <w:jc w:val="both"/>
        <w:rPr>
          <w:rFonts w:ascii="Times New Roman" w:hAnsi="Times New Roman"/>
          <w:lang w:val="en-US"/>
        </w:rPr>
      </w:pPr>
      <w:r w:rsidRPr="00C01906">
        <w:rPr>
          <w:rStyle w:val="FootnoteReference"/>
          <w:rFonts w:ascii="Times New Roman" w:hAnsi="Times New Roman"/>
          <w:lang w:val="en-US"/>
        </w:rPr>
        <w:footnoteRef/>
      </w:r>
      <w:r w:rsidRPr="00C01906">
        <w:rPr>
          <w:rFonts w:ascii="Times New Roman" w:hAnsi="Times New Roman"/>
          <w:lang w:val="en-US"/>
        </w:rPr>
        <w:t xml:space="preserve"> </w:t>
      </w:r>
      <w:proofErr w:type="spellStart"/>
      <w:r w:rsidRPr="00C01906">
        <w:rPr>
          <w:rFonts w:ascii="Times New Roman" w:hAnsi="Times New Roman"/>
          <w:lang w:val="en-US"/>
        </w:rPr>
        <w:t>Ylli</w:t>
      </w:r>
      <w:proofErr w:type="spellEnd"/>
      <w:r w:rsidRPr="00C01906">
        <w:rPr>
          <w:rFonts w:ascii="Times New Roman" w:hAnsi="Times New Roman"/>
          <w:lang w:val="en-US"/>
        </w:rPr>
        <w:t xml:space="preserve"> </w:t>
      </w:r>
      <w:proofErr w:type="spellStart"/>
      <w:r w:rsidRPr="00C01906">
        <w:rPr>
          <w:rFonts w:ascii="Times New Roman" w:hAnsi="Times New Roman"/>
          <w:lang w:val="en-US"/>
        </w:rPr>
        <w:t>Pjetërnikaj</w:t>
      </w:r>
      <w:proofErr w:type="spellEnd"/>
      <w:r w:rsidRPr="00C01906">
        <w:rPr>
          <w:rFonts w:ascii="Times New Roman" w:hAnsi="Times New Roman"/>
          <w:lang w:val="en-US"/>
        </w:rPr>
        <w:t xml:space="preserve">, Legal advisor at the High Prosecutorial Council, (acting). </w:t>
      </w:r>
      <w:proofErr w:type="gramStart"/>
      <w:r w:rsidRPr="00C01906">
        <w:rPr>
          <w:rFonts w:ascii="Times New Roman" w:hAnsi="Times New Roman"/>
          <w:lang w:val="en-US"/>
        </w:rPr>
        <w:t>Prosecutor in Prosecution Office to the First Instance Court of the General Jurisdiction</w:t>
      </w:r>
      <w:r w:rsidR="000D55A1" w:rsidRPr="00C01906">
        <w:rPr>
          <w:rFonts w:ascii="Times New Roman" w:hAnsi="Times New Roman"/>
          <w:lang w:val="en-US"/>
        </w:rPr>
        <w:t>, Tiranë</w:t>
      </w:r>
      <w:r w:rsidRPr="00C01906">
        <w:rPr>
          <w:rFonts w:ascii="Times New Roman" w:hAnsi="Times New Roman"/>
          <w:lang w:val="en-US"/>
        </w:rPr>
        <w:t>.</w:t>
      </w:r>
      <w:proofErr w:type="gramEnd"/>
    </w:p>
  </w:footnote>
  <w:footnote w:id="7">
    <w:p w:rsidR="00F57BF9" w:rsidRPr="00C01906" w:rsidRDefault="00F57BF9" w:rsidP="00F57BF9">
      <w:pPr>
        <w:pStyle w:val="FootnoteText"/>
        <w:jc w:val="both"/>
        <w:rPr>
          <w:rFonts w:ascii="Times New Roman" w:hAnsi="Times New Roman"/>
          <w:lang w:val="en-US"/>
        </w:rPr>
      </w:pPr>
      <w:r w:rsidRPr="00C01906">
        <w:rPr>
          <w:rStyle w:val="FootnoteReference"/>
          <w:rFonts w:ascii="Times New Roman" w:hAnsi="Times New Roman"/>
          <w:lang w:val="en-US"/>
        </w:rPr>
        <w:footnoteRef/>
      </w:r>
      <w:r w:rsidRPr="00C01906">
        <w:rPr>
          <w:rFonts w:ascii="Times New Roman" w:hAnsi="Times New Roman"/>
          <w:lang w:val="en-US"/>
        </w:rPr>
        <w:t xml:space="preserve"> Article 74/a: </w:t>
      </w:r>
      <w:bookmarkStart w:id="3" w:name="_Hlk157099504"/>
      <w:r w:rsidRPr="00C01906">
        <w:rPr>
          <w:rFonts w:ascii="Times New Roman" w:hAnsi="Times New Roman"/>
          <w:lang w:val="en-US"/>
        </w:rPr>
        <w:t>“</w:t>
      </w:r>
      <w:r w:rsidRPr="00C01906">
        <w:rPr>
          <w:rFonts w:ascii="Times New Roman" w:hAnsi="Times New Roman"/>
          <w:i/>
          <w:lang w:val="en-US"/>
        </w:rPr>
        <w:t>Computer distribution of materials pro genocide or crimes against humanity.</w:t>
      </w:r>
      <w:bookmarkEnd w:id="3"/>
      <w:r w:rsidRPr="00C01906">
        <w:rPr>
          <w:rFonts w:ascii="Times New Roman" w:hAnsi="Times New Roman"/>
          <w:i/>
          <w:lang w:val="en-US"/>
        </w:rPr>
        <w:t xml:space="preserve">” The providing in public or the intentional sharing in public, through computer systems, of materials, that negate, minimize, significantly, approve or justify acts, that cause genocide or crimes against humanity, are convicted to prison three up to six years.” </w:t>
      </w:r>
    </w:p>
  </w:footnote>
  <w:footnote w:id="8">
    <w:p w:rsidR="00F57BF9" w:rsidRPr="00C01906" w:rsidRDefault="00F57BF9" w:rsidP="00F57BF9">
      <w:pPr>
        <w:pStyle w:val="FootnoteText"/>
        <w:jc w:val="both"/>
        <w:rPr>
          <w:rFonts w:ascii="Times New Roman" w:hAnsi="Times New Roman"/>
          <w:lang w:val="en-US"/>
        </w:rPr>
      </w:pPr>
      <w:r w:rsidRPr="00C01906">
        <w:rPr>
          <w:rStyle w:val="FootnoteReference"/>
          <w:rFonts w:ascii="Times New Roman" w:hAnsi="Times New Roman"/>
          <w:lang w:val="en-US"/>
        </w:rPr>
        <w:footnoteRef/>
      </w:r>
      <w:r w:rsidRPr="00C01906">
        <w:rPr>
          <w:rFonts w:ascii="Times New Roman" w:hAnsi="Times New Roman"/>
          <w:lang w:val="en-US"/>
        </w:rPr>
        <w:t xml:space="preserve"> Italy, Luxembourg, France have made their predictions in complete harmony with the Convention of Budapest. </w:t>
      </w:r>
      <w:proofErr w:type="gramStart"/>
      <w:r w:rsidRPr="00C01906">
        <w:rPr>
          <w:rFonts w:ascii="Times New Roman" w:hAnsi="Times New Roman"/>
          <w:lang w:val="en-US"/>
        </w:rPr>
        <w:t>While, many other states, such as Finland, Netherlands, Great Britain, consider the language of hatred in general lines.</w:t>
      </w:r>
      <w:proofErr w:type="gramEnd"/>
      <w:r w:rsidRPr="00C01906">
        <w:rPr>
          <w:rFonts w:ascii="Times New Roman" w:hAnsi="Times New Roman"/>
          <w:lang w:val="en-US"/>
        </w:rPr>
        <w:t xml:space="preserve"> </w:t>
      </w:r>
    </w:p>
  </w:footnote>
  <w:footnote w:id="9">
    <w:p w:rsidR="00F57BF9" w:rsidRPr="00C01906" w:rsidRDefault="00F57BF9" w:rsidP="00F57BF9">
      <w:pPr>
        <w:pStyle w:val="FootnoteText"/>
        <w:jc w:val="both"/>
        <w:rPr>
          <w:rFonts w:ascii="Times New Roman" w:hAnsi="Times New Roman"/>
          <w:lang w:val="en-US"/>
        </w:rPr>
      </w:pPr>
      <w:r w:rsidRPr="00C01906">
        <w:rPr>
          <w:rStyle w:val="FootnoteReference"/>
          <w:rFonts w:ascii="Times New Roman" w:hAnsi="Times New Roman"/>
          <w:lang w:val="en-US"/>
        </w:rPr>
        <w:footnoteRef/>
      </w:r>
      <w:r w:rsidRPr="00C01906">
        <w:rPr>
          <w:rFonts w:ascii="Times New Roman" w:hAnsi="Times New Roman"/>
          <w:lang w:val="en-US"/>
        </w:rPr>
        <w:t xml:space="preserve"> Some other states, such as Slovakia, refer to the other notion, to that of nationalism and Nazi Germany. </w:t>
      </w:r>
    </w:p>
  </w:footnote>
  <w:footnote w:id="10">
    <w:p w:rsidR="00F57BF9" w:rsidRPr="00C01906" w:rsidRDefault="00F57BF9" w:rsidP="00F57BF9">
      <w:pPr>
        <w:pStyle w:val="FootnoteText"/>
        <w:jc w:val="both"/>
        <w:rPr>
          <w:rFonts w:ascii="Times New Roman" w:hAnsi="Times New Roman"/>
          <w:lang w:val="en-US"/>
        </w:rPr>
      </w:pPr>
      <w:r w:rsidRPr="00C01906">
        <w:rPr>
          <w:rStyle w:val="FootnoteReference"/>
          <w:rFonts w:ascii="Times New Roman" w:hAnsi="Times New Roman"/>
          <w:lang w:val="en-US"/>
        </w:rPr>
        <w:footnoteRef/>
      </w:r>
      <w:r w:rsidRPr="00C01906">
        <w:rPr>
          <w:rFonts w:ascii="Times New Roman" w:hAnsi="Times New Roman"/>
          <w:lang w:val="en-US"/>
        </w:rPr>
        <w:t xml:space="preserve"> In our criminal legislation there have not been such anticipations.  </w:t>
      </w:r>
      <w:proofErr w:type="gramStart"/>
      <w:r w:rsidRPr="00C01906">
        <w:rPr>
          <w:rFonts w:ascii="Times New Roman" w:hAnsi="Times New Roman"/>
          <w:lang w:val="en-US"/>
        </w:rPr>
        <w:t>Such an obligation for the anticipation of the reason and the incitement for the use of the language of hate foreseen even by the framework decision.</w:t>
      </w:r>
      <w:proofErr w:type="gramEnd"/>
    </w:p>
  </w:footnote>
  <w:footnote w:id="11">
    <w:p w:rsidR="00F57BF9" w:rsidRPr="00C01906" w:rsidRDefault="00F57BF9" w:rsidP="00F57BF9">
      <w:pPr>
        <w:pStyle w:val="FootnoteText"/>
        <w:jc w:val="both"/>
        <w:rPr>
          <w:rFonts w:ascii="Times New Roman" w:hAnsi="Times New Roman"/>
          <w:lang w:val="en-US"/>
        </w:rPr>
      </w:pPr>
      <w:r w:rsidRPr="00C01906">
        <w:rPr>
          <w:rStyle w:val="FootnoteReference"/>
          <w:rFonts w:ascii="Times New Roman" w:hAnsi="Times New Roman"/>
          <w:lang w:val="en-US"/>
        </w:rPr>
        <w:footnoteRef/>
      </w:r>
      <w:r w:rsidRPr="00C01906">
        <w:rPr>
          <w:rFonts w:ascii="Times New Roman" w:hAnsi="Times New Roman"/>
          <w:lang w:val="en-US"/>
        </w:rPr>
        <w:t xml:space="preserve"> The case law supposed is that when in the center of the city there is a bookstore, where are sold books that reflect images that negate holocaust or negate other crimes against humanity, supposed in Yugoslavia, in Serbia or in Ruanda.  </w:t>
      </w:r>
    </w:p>
  </w:footnote>
  <w:footnote w:id="12">
    <w:p w:rsidR="00F57BF9" w:rsidRPr="00C01906" w:rsidRDefault="00F57BF9" w:rsidP="00F57BF9">
      <w:pPr>
        <w:pStyle w:val="FootnoteText"/>
        <w:jc w:val="both"/>
        <w:rPr>
          <w:rFonts w:ascii="Times New Roman" w:hAnsi="Times New Roman"/>
          <w:lang w:val="en-US"/>
        </w:rPr>
      </w:pPr>
      <w:r w:rsidRPr="00C01906">
        <w:rPr>
          <w:rStyle w:val="FootnoteReference"/>
          <w:rFonts w:ascii="Times New Roman" w:hAnsi="Times New Roman"/>
          <w:lang w:val="en-US"/>
        </w:rPr>
        <w:footnoteRef/>
      </w:r>
      <w:r w:rsidRPr="00C01906">
        <w:rPr>
          <w:rFonts w:ascii="Times New Roman" w:hAnsi="Times New Roman"/>
          <w:lang w:val="en-US"/>
        </w:rPr>
        <w:t xml:space="preserve"> </w:t>
      </w:r>
      <w:proofErr w:type="spellStart"/>
      <w:r w:rsidRPr="00C01906">
        <w:rPr>
          <w:rFonts w:ascii="Times New Roman" w:hAnsi="Times New Roman"/>
          <w:lang w:val="en-US"/>
        </w:rPr>
        <w:t>Ylli</w:t>
      </w:r>
      <w:proofErr w:type="spellEnd"/>
      <w:r w:rsidRPr="00C01906">
        <w:rPr>
          <w:rFonts w:ascii="Times New Roman" w:hAnsi="Times New Roman"/>
          <w:lang w:val="en-US"/>
        </w:rPr>
        <w:t xml:space="preserve"> </w:t>
      </w:r>
      <w:proofErr w:type="spellStart"/>
      <w:r w:rsidRPr="00C01906">
        <w:rPr>
          <w:rFonts w:ascii="Times New Roman" w:hAnsi="Times New Roman"/>
          <w:lang w:val="en-US"/>
        </w:rPr>
        <w:t>Pjetërnikaj</w:t>
      </w:r>
      <w:proofErr w:type="spellEnd"/>
      <w:r w:rsidRPr="00C01906">
        <w:rPr>
          <w:rFonts w:ascii="Times New Roman" w:hAnsi="Times New Roman"/>
          <w:lang w:val="en-US"/>
        </w:rPr>
        <w:t xml:space="preserve">, Legal advisor at the High Prosecutorial Council, (acting). </w:t>
      </w:r>
      <w:proofErr w:type="gramStart"/>
      <w:r w:rsidRPr="00C01906">
        <w:rPr>
          <w:rFonts w:ascii="Times New Roman" w:hAnsi="Times New Roman"/>
          <w:lang w:val="en-US"/>
        </w:rPr>
        <w:t>Prosecutor in Prosecution Office to the First Instance Court of the General Jurisdiction, Tiranë.</w:t>
      </w:r>
      <w:proofErr w:type="gramEnd"/>
    </w:p>
  </w:footnote>
  <w:footnote w:id="13">
    <w:p w:rsidR="00F57BF9" w:rsidRPr="00C01906" w:rsidRDefault="00F57BF9" w:rsidP="00F57BF9">
      <w:pPr>
        <w:pStyle w:val="FootnoteText"/>
        <w:jc w:val="both"/>
        <w:rPr>
          <w:rFonts w:ascii="Times New Roman" w:hAnsi="Times New Roman"/>
          <w:lang w:val="en-US"/>
        </w:rPr>
      </w:pPr>
      <w:r w:rsidRPr="00C01906">
        <w:rPr>
          <w:rStyle w:val="FootnoteReference"/>
          <w:rFonts w:ascii="Times New Roman" w:hAnsi="Times New Roman"/>
          <w:lang w:val="en-US"/>
        </w:rPr>
        <w:footnoteRef/>
      </w:r>
      <w:r w:rsidRPr="00C01906">
        <w:rPr>
          <w:rFonts w:ascii="Times New Roman" w:hAnsi="Times New Roman"/>
          <w:lang w:val="en-US"/>
        </w:rPr>
        <w:t xml:space="preserve"> </w:t>
      </w:r>
      <w:proofErr w:type="spellStart"/>
      <w:r w:rsidRPr="00C01906">
        <w:rPr>
          <w:rFonts w:ascii="Times New Roman" w:hAnsi="Times New Roman"/>
          <w:lang w:val="en-US"/>
        </w:rPr>
        <w:t>Ylli</w:t>
      </w:r>
      <w:proofErr w:type="spellEnd"/>
      <w:r w:rsidRPr="00C01906">
        <w:rPr>
          <w:rFonts w:ascii="Times New Roman" w:hAnsi="Times New Roman"/>
          <w:lang w:val="en-US"/>
        </w:rPr>
        <w:t xml:space="preserve"> </w:t>
      </w:r>
      <w:proofErr w:type="spellStart"/>
      <w:r w:rsidRPr="00C01906">
        <w:rPr>
          <w:rFonts w:ascii="Times New Roman" w:hAnsi="Times New Roman"/>
          <w:lang w:val="en-US"/>
        </w:rPr>
        <w:t>Pjetërnikaj</w:t>
      </w:r>
      <w:proofErr w:type="spellEnd"/>
      <w:r w:rsidRPr="00C01906">
        <w:rPr>
          <w:rFonts w:ascii="Times New Roman" w:hAnsi="Times New Roman"/>
          <w:lang w:val="en-US"/>
        </w:rPr>
        <w:t xml:space="preserve">, Legal advisor at the High Prosecutorial Council, (acting). </w:t>
      </w:r>
      <w:proofErr w:type="gramStart"/>
      <w:r w:rsidRPr="00C01906">
        <w:rPr>
          <w:rFonts w:ascii="Times New Roman" w:hAnsi="Times New Roman"/>
          <w:lang w:val="en-US"/>
        </w:rPr>
        <w:t>Prosecutor in Prosecution Office to the First Instance Court of the General Jurisdiction</w:t>
      </w:r>
      <w:r w:rsidR="000D55A1" w:rsidRPr="00C01906">
        <w:rPr>
          <w:rFonts w:ascii="Times New Roman" w:hAnsi="Times New Roman"/>
          <w:lang w:val="en-US"/>
        </w:rPr>
        <w:t>, Tiranë</w:t>
      </w:r>
      <w:r w:rsidRPr="00C01906">
        <w:rPr>
          <w:rFonts w:ascii="Times New Roman" w:hAnsi="Times New Roman"/>
          <w:lang w:val="en-US"/>
        </w:rPr>
        <w:t>.</w:t>
      </w:r>
      <w:proofErr w:type="gramEnd"/>
    </w:p>
  </w:footnote>
  <w:footnote w:id="14">
    <w:p w:rsidR="00F57BF9" w:rsidRPr="00C01906" w:rsidRDefault="00F57BF9" w:rsidP="00F57BF9">
      <w:pPr>
        <w:pStyle w:val="FootnoteText"/>
        <w:jc w:val="both"/>
        <w:rPr>
          <w:rFonts w:ascii="Times New Roman" w:hAnsi="Times New Roman"/>
          <w:lang w:val="en-US"/>
        </w:rPr>
      </w:pPr>
      <w:r w:rsidRPr="00C01906">
        <w:rPr>
          <w:rStyle w:val="FootnoteReference"/>
          <w:rFonts w:ascii="Times New Roman" w:hAnsi="Times New Roman"/>
          <w:lang w:val="en-US"/>
        </w:rPr>
        <w:footnoteRef/>
      </w:r>
      <w:r w:rsidRPr="00C01906">
        <w:rPr>
          <w:rFonts w:ascii="Times New Roman" w:hAnsi="Times New Roman"/>
          <w:lang w:val="en-US"/>
        </w:rPr>
        <w:t xml:space="preserve"> It should be emphasized that after the Second World War there is a true cultural explosion on holocaust. There was a strict reaction not only judicial that exceeded the typical criminal facts of the case because already was required a non-collective guilt, but a collective answer versus this phenomenon that exceeded the German guilt.  </w:t>
      </w:r>
    </w:p>
  </w:footnote>
  <w:footnote w:id="15">
    <w:p w:rsidR="00F57BF9" w:rsidRPr="00C01906" w:rsidRDefault="00F57BF9" w:rsidP="00F57BF9">
      <w:pPr>
        <w:pStyle w:val="FootnoteText"/>
        <w:jc w:val="both"/>
        <w:rPr>
          <w:rFonts w:ascii="Times New Roman" w:hAnsi="Times New Roman"/>
          <w:lang w:val="en-US"/>
        </w:rPr>
      </w:pPr>
      <w:r w:rsidRPr="00C01906">
        <w:rPr>
          <w:rStyle w:val="FootnoteReference"/>
          <w:rFonts w:ascii="Times New Roman" w:hAnsi="Times New Roman"/>
          <w:lang w:val="en-US"/>
        </w:rPr>
        <w:footnoteRef/>
      </w:r>
      <w:r w:rsidRPr="00C01906">
        <w:rPr>
          <w:rFonts w:ascii="Times New Roman" w:hAnsi="Times New Roman"/>
          <w:lang w:val="en-US"/>
        </w:rPr>
        <w:t xml:space="preserve"> In this aspect we mention a criminal proceeding recorded in the Prosecution at the First Instance Court of Tiranë in 2016, based on a denunciation because in the facebook of a citizen (</w:t>
      </w:r>
      <w:r w:rsidRPr="00C01906">
        <w:rPr>
          <w:rFonts w:ascii="Times New Roman" w:hAnsi="Times New Roman"/>
          <w:bCs/>
          <w:iCs/>
          <w:lang w:val="en-US"/>
        </w:rPr>
        <w:t>K.M),</w:t>
      </w:r>
      <w:r w:rsidRPr="00C01906">
        <w:rPr>
          <w:rFonts w:ascii="Times New Roman" w:hAnsi="Times New Roman"/>
          <w:lang w:val="en-US"/>
        </w:rPr>
        <w:t xml:space="preserve"> that considered </w:t>
      </w:r>
      <w:proofErr w:type="spellStart"/>
      <w:r w:rsidRPr="00C01906">
        <w:rPr>
          <w:rFonts w:ascii="Times New Roman" w:hAnsi="Times New Roman"/>
          <w:lang w:val="en-US"/>
        </w:rPr>
        <w:t>thimself</w:t>
      </w:r>
      <w:proofErr w:type="spellEnd"/>
      <w:r w:rsidRPr="00C01906">
        <w:rPr>
          <w:rFonts w:ascii="Times New Roman" w:hAnsi="Times New Roman"/>
          <w:lang w:val="en-US"/>
        </w:rPr>
        <w:t xml:space="preserve"> </w:t>
      </w:r>
      <w:proofErr w:type="gramStart"/>
      <w:r w:rsidRPr="00C01906">
        <w:rPr>
          <w:rFonts w:ascii="Times New Roman" w:hAnsi="Times New Roman"/>
          <w:lang w:val="en-US"/>
        </w:rPr>
        <w:t>as  Harry</w:t>
      </w:r>
      <w:proofErr w:type="gramEnd"/>
      <w:r w:rsidRPr="00C01906">
        <w:rPr>
          <w:rFonts w:ascii="Times New Roman" w:hAnsi="Times New Roman"/>
          <w:lang w:val="en-US"/>
        </w:rPr>
        <w:t xml:space="preserve"> S. Truman, president of the United States of America was published a writing.  We are in the background of the year 2015 when in Paris, in France, were occurring terrorist acts. In this writing, this person reflected his beliefs and his knowledge by saying that, “</w:t>
      </w:r>
      <w:r w:rsidRPr="00C01906">
        <w:rPr>
          <w:rFonts w:ascii="Times New Roman" w:hAnsi="Times New Roman"/>
          <w:bCs/>
          <w:i/>
          <w:iCs/>
          <w:lang w:val="en-US"/>
        </w:rPr>
        <w:t xml:space="preserve">Je </w:t>
      </w:r>
      <w:proofErr w:type="spellStart"/>
      <w:r w:rsidRPr="00C01906">
        <w:rPr>
          <w:rFonts w:ascii="Times New Roman" w:hAnsi="Times New Roman"/>
          <w:bCs/>
          <w:i/>
          <w:iCs/>
          <w:lang w:val="en-US"/>
        </w:rPr>
        <w:t>etais</w:t>
      </w:r>
      <w:proofErr w:type="spellEnd"/>
      <w:r w:rsidRPr="00C01906">
        <w:rPr>
          <w:rFonts w:ascii="Times New Roman" w:hAnsi="Times New Roman"/>
          <w:bCs/>
          <w:i/>
          <w:iCs/>
          <w:lang w:val="en-US"/>
        </w:rPr>
        <w:t xml:space="preserve"> (I was) Charlie </w:t>
      </w:r>
      <w:proofErr w:type="spellStart"/>
      <w:r w:rsidRPr="00C01906">
        <w:rPr>
          <w:rFonts w:ascii="Times New Roman" w:hAnsi="Times New Roman"/>
          <w:bCs/>
          <w:i/>
          <w:iCs/>
          <w:lang w:val="en-US"/>
        </w:rPr>
        <w:t>Hebdo</w:t>
      </w:r>
      <w:proofErr w:type="spellEnd"/>
      <w:r w:rsidRPr="00C01906">
        <w:rPr>
          <w:rFonts w:ascii="Times New Roman" w:hAnsi="Times New Roman"/>
          <w:bCs/>
          <w:i/>
          <w:iCs/>
          <w:lang w:val="en-US"/>
        </w:rPr>
        <w:t>, now I’m Harry S. Truman!”</w:t>
      </w:r>
      <w:r w:rsidRPr="00C01906">
        <w:rPr>
          <w:rFonts w:ascii="Times New Roman" w:hAnsi="Times New Roman"/>
          <w:bCs/>
          <w:iCs/>
          <w:lang w:val="en-US"/>
        </w:rPr>
        <w:t xml:space="preserve"> </w:t>
      </w:r>
      <w:r w:rsidRPr="00C01906">
        <w:rPr>
          <w:rFonts w:ascii="Times New Roman" w:hAnsi="Times New Roman"/>
          <w:bCs/>
          <w:i/>
          <w:iCs/>
          <w:lang w:val="en-US"/>
        </w:rPr>
        <w:t xml:space="preserve">This let be considered as an answer even for those who feel indignant by my idea to destroy Islam and attack Mecca and Medina with atomic bombs. Mecca and Medina together have three million inhabitants. If once were killed 300, 000 Japanese in Hiroshima and Nagasaki to eradicate the origins of Japanese militarism, it is no great tragedy to kill 3 million Arabs to eradicate the origins of Islamic terrorism. </w:t>
      </w:r>
      <w:proofErr w:type="gramStart"/>
      <w:r w:rsidRPr="00C01906">
        <w:rPr>
          <w:rFonts w:ascii="Times New Roman" w:hAnsi="Times New Roman"/>
          <w:bCs/>
          <w:i/>
          <w:iCs/>
          <w:lang w:val="en-US"/>
        </w:rPr>
        <w:t>NATO needs a Truman to think so, i.e., strategically.</w:t>
      </w:r>
      <w:proofErr w:type="gramEnd"/>
      <w:r w:rsidRPr="00C01906">
        <w:rPr>
          <w:rFonts w:ascii="Times New Roman" w:hAnsi="Times New Roman"/>
          <w:bCs/>
          <w:i/>
          <w:iCs/>
          <w:lang w:val="en-US"/>
        </w:rPr>
        <w:t xml:space="preserve"> For this reason, I’m Harry S. Truman. /K.M” </w:t>
      </w:r>
      <w:r w:rsidRPr="00C01906">
        <w:rPr>
          <w:rFonts w:ascii="Times New Roman" w:hAnsi="Times New Roman"/>
          <w:bCs/>
          <w:iCs/>
          <w:lang w:val="en-US"/>
        </w:rPr>
        <w:t xml:space="preserve">The citizen K.M, has accepted that has written in his address in the social network   </w:t>
      </w:r>
      <w:r w:rsidRPr="00C01906">
        <w:rPr>
          <w:rFonts w:ascii="Times New Roman" w:hAnsi="Times New Roman"/>
          <w:bCs/>
          <w:i/>
          <w:iCs/>
          <w:lang w:val="en-US"/>
        </w:rPr>
        <w:t>Facebook</w:t>
      </w:r>
      <w:r w:rsidRPr="00C01906">
        <w:rPr>
          <w:rFonts w:ascii="Times New Roman" w:hAnsi="Times New Roman"/>
          <w:bCs/>
          <w:iCs/>
          <w:lang w:val="en-US"/>
        </w:rPr>
        <w:t xml:space="preserve"> and according to him, the post has had study purposes and is a quote of the president Truman, to see the reaction of the Albanian community. </w:t>
      </w:r>
    </w:p>
  </w:footnote>
  <w:footnote w:id="16">
    <w:p w:rsidR="00F57BF9" w:rsidRPr="00C01906" w:rsidRDefault="00F57BF9" w:rsidP="00F57BF9">
      <w:pPr>
        <w:pStyle w:val="FootnoteText"/>
        <w:jc w:val="both"/>
        <w:rPr>
          <w:rFonts w:ascii="Times New Roman" w:hAnsi="Times New Roman"/>
          <w:lang w:val="en-US"/>
        </w:rPr>
      </w:pPr>
      <w:r w:rsidRPr="00C01906">
        <w:rPr>
          <w:rStyle w:val="FootnoteReference"/>
          <w:rFonts w:ascii="Times New Roman" w:hAnsi="Times New Roman"/>
          <w:lang w:val="en-US"/>
        </w:rPr>
        <w:footnoteRef/>
      </w:r>
      <w:r w:rsidRPr="00C01906">
        <w:rPr>
          <w:rFonts w:ascii="Times New Roman" w:hAnsi="Times New Roman"/>
          <w:lang w:val="en-US"/>
        </w:rPr>
        <w:t xml:space="preserve"> </w:t>
      </w:r>
      <w:proofErr w:type="spellStart"/>
      <w:r w:rsidRPr="00C01906">
        <w:rPr>
          <w:rFonts w:ascii="Times New Roman" w:hAnsi="Times New Roman"/>
          <w:lang w:val="en-US"/>
        </w:rPr>
        <w:t>Ylli</w:t>
      </w:r>
      <w:proofErr w:type="spellEnd"/>
      <w:r w:rsidRPr="00C01906">
        <w:rPr>
          <w:rFonts w:ascii="Times New Roman" w:hAnsi="Times New Roman"/>
          <w:lang w:val="en-US"/>
        </w:rPr>
        <w:t xml:space="preserve"> </w:t>
      </w:r>
      <w:proofErr w:type="spellStart"/>
      <w:r w:rsidRPr="00C01906">
        <w:rPr>
          <w:rFonts w:ascii="Times New Roman" w:hAnsi="Times New Roman"/>
          <w:lang w:val="en-US"/>
        </w:rPr>
        <w:t>Pjetërnikaj</w:t>
      </w:r>
      <w:proofErr w:type="spellEnd"/>
      <w:r w:rsidRPr="00C01906">
        <w:rPr>
          <w:rFonts w:ascii="Times New Roman" w:hAnsi="Times New Roman"/>
          <w:lang w:val="en-US"/>
        </w:rPr>
        <w:t xml:space="preserve">, Legal advisor at the High Prosecutorial Council, (acting). </w:t>
      </w:r>
      <w:proofErr w:type="gramStart"/>
      <w:r w:rsidRPr="00C01906">
        <w:rPr>
          <w:rFonts w:ascii="Times New Roman" w:hAnsi="Times New Roman"/>
          <w:lang w:val="en-US"/>
        </w:rPr>
        <w:t>Prosecutor in Prosecution Office to the First Instance Court of the General Jurisdiction, Tiranë.</w:t>
      </w:r>
      <w:proofErr w:type="gramEnd"/>
    </w:p>
  </w:footnote>
  <w:footnote w:id="17">
    <w:p w:rsidR="00F57BF9" w:rsidRPr="00C01906" w:rsidRDefault="00F57BF9" w:rsidP="00F57BF9">
      <w:pPr>
        <w:pStyle w:val="FootnoteText"/>
        <w:jc w:val="both"/>
        <w:rPr>
          <w:rFonts w:ascii="Times New Roman" w:hAnsi="Times New Roman"/>
          <w:lang w:val="en-US"/>
        </w:rPr>
      </w:pPr>
      <w:r w:rsidRPr="00C01906">
        <w:rPr>
          <w:rStyle w:val="FootnoteReference"/>
          <w:rFonts w:ascii="Times New Roman" w:hAnsi="Times New Roman"/>
          <w:lang w:val="en-US"/>
        </w:rPr>
        <w:footnoteRef/>
      </w:r>
      <w:r w:rsidRPr="00C01906">
        <w:rPr>
          <w:rFonts w:ascii="Times New Roman" w:hAnsi="Times New Roman"/>
          <w:lang w:val="en-US"/>
        </w:rPr>
        <w:t xml:space="preserve"> The </w:t>
      </w:r>
      <w:r w:rsidR="007556DB" w:rsidRPr="00C01906">
        <w:rPr>
          <w:rFonts w:ascii="Times New Roman" w:hAnsi="Times New Roman"/>
          <w:lang w:val="en-US"/>
        </w:rPr>
        <w:t xml:space="preserve">case </w:t>
      </w:r>
      <w:r w:rsidR="007556DB" w:rsidRPr="00C01906">
        <w:rPr>
          <w:rFonts w:ascii="Times New Roman" w:hAnsi="Times New Roman"/>
          <w:i/>
          <w:lang w:val="en-US"/>
        </w:rPr>
        <w:t>Jones</w:t>
      </w:r>
      <w:r w:rsidRPr="00C01906">
        <w:rPr>
          <w:rFonts w:ascii="Times New Roman" w:hAnsi="Times New Roman"/>
          <w:i/>
          <w:lang w:val="en-US"/>
        </w:rPr>
        <w:t xml:space="preserve"> v. </w:t>
      </w:r>
      <w:proofErr w:type="spellStart"/>
      <w:r w:rsidRPr="00C01906">
        <w:rPr>
          <w:rFonts w:ascii="Times New Roman" w:hAnsi="Times New Roman"/>
          <w:i/>
          <w:lang w:val="en-US"/>
        </w:rPr>
        <w:t>Toben</w:t>
      </w:r>
      <w:proofErr w:type="spellEnd"/>
      <w:r w:rsidRPr="00C01906">
        <w:rPr>
          <w:rFonts w:ascii="Times New Roman" w:hAnsi="Times New Roman"/>
          <w:lang w:val="en-US"/>
        </w:rPr>
        <w:t xml:space="preserve"> </w:t>
      </w:r>
      <w:hyperlink r:id="rId1" w:tooltip="View Case" w:history="1">
        <w:r w:rsidRPr="00C01906">
          <w:rPr>
            <w:rStyle w:val="Hyperlink"/>
            <w:rFonts w:ascii="Times New Roman" w:hAnsi="Times New Roman"/>
            <w:bCs/>
            <w:color w:val="auto"/>
            <w:lang w:val="en-US"/>
          </w:rPr>
          <w:t>[2002] FCA 1150</w:t>
        </w:r>
      </w:hyperlink>
      <w:r w:rsidRPr="00C01906">
        <w:rPr>
          <w:rFonts w:ascii="Times New Roman" w:hAnsi="Times New Roman"/>
          <w:lang w:val="en-US"/>
        </w:rPr>
        <w:t>.</w:t>
      </w:r>
    </w:p>
  </w:footnote>
  <w:footnote w:id="18">
    <w:p w:rsidR="00F57BF9" w:rsidRPr="00C01906" w:rsidRDefault="00F57BF9" w:rsidP="00F57BF9">
      <w:pPr>
        <w:pStyle w:val="FootnoteText"/>
        <w:jc w:val="both"/>
        <w:rPr>
          <w:rFonts w:ascii="Times New Roman" w:hAnsi="Times New Roman"/>
          <w:lang w:val="en-US"/>
        </w:rPr>
      </w:pPr>
      <w:r w:rsidRPr="00C01906">
        <w:rPr>
          <w:rStyle w:val="FootnoteReference"/>
          <w:rFonts w:ascii="Times New Roman" w:hAnsi="Times New Roman"/>
          <w:lang w:val="en-US"/>
        </w:rPr>
        <w:footnoteRef/>
      </w:r>
      <w:r w:rsidRPr="00C01906">
        <w:rPr>
          <w:rFonts w:ascii="Times New Roman" w:hAnsi="Times New Roman"/>
          <w:lang w:val="en-US"/>
        </w:rPr>
        <w:t xml:space="preserve"> The </w:t>
      </w:r>
      <w:r w:rsidR="007556DB" w:rsidRPr="00C01906">
        <w:rPr>
          <w:rFonts w:ascii="Times New Roman" w:hAnsi="Times New Roman"/>
          <w:lang w:val="en-US"/>
        </w:rPr>
        <w:t xml:space="preserve">case </w:t>
      </w:r>
      <w:r w:rsidR="007556DB" w:rsidRPr="00C01906">
        <w:rPr>
          <w:rFonts w:ascii="Times New Roman" w:hAnsi="Times New Roman"/>
          <w:i/>
          <w:lang w:val="en-US"/>
        </w:rPr>
        <w:t>Zundel</w:t>
      </w:r>
      <w:r w:rsidRPr="00C01906">
        <w:rPr>
          <w:rFonts w:ascii="Times New Roman" w:hAnsi="Times New Roman"/>
          <w:lang w:val="en-US"/>
        </w:rPr>
        <w:t xml:space="preserve">, (1992) 2 SCR 731, 1992 </w:t>
      </w:r>
      <w:proofErr w:type="spellStart"/>
      <w:r w:rsidRPr="00C01906">
        <w:rPr>
          <w:rFonts w:ascii="Times New Roman" w:hAnsi="Times New Roman"/>
          <w:lang w:val="en-US"/>
        </w:rPr>
        <w:t>CanLII</w:t>
      </w:r>
      <w:proofErr w:type="spellEnd"/>
      <w:r w:rsidRPr="00C01906">
        <w:rPr>
          <w:rFonts w:ascii="Times New Roman" w:hAnsi="Times New Roman"/>
          <w:lang w:val="en-US"/>
        </w:rPr>
        <w:t xml:space="preserve"> 75 (SCC). </w:t>
      </w:r>
    </w:p>
  </w:footnote>
  <w:footnote w:id="19">
    <w:p w:rsidR="00F57BF9" w:rsidRPr="00C01906" w:rsidRDefault="00F57BF9" w:rsidP="00F57BF9">
      <w:pPr>
        <w:pStyle w:val="FootnoteText"/>
        <w:jc w:val="both"/>
        <w:rPr>
          <w:rFonts w:ascii="Times New Roman" w:hAnsi="Times New Roman"/>
          <w:i/>
          <w:iCs/>
          <w:lang w:val="en-US"/>
        </w:rPr>
      </w:pPr>
      <w:r w:rsidRPr="00C01906">
        <w:rPr>
          <w:rStyle w:val="FootnoteReference"/>
          <w:rFonts w:ascii="Times New Roman" w:hAnsi="Times New Roman"/>
          <w:lang w:val="en-US"/>
        </w:rPr>
        <w:footnoteRef/>
      </w:r>
      <w:r w:rsidRPr="00C01906">
        <w:rPr>
          <w:rFonts w:ascii="Times New Roman" w:hAnsi="Times New Roman"/>
          <w:lang w:val="en-US"/>
        </w:rPr>
        <w:t xml:space="preserve"> </w:t>
      </w:r>
      <w:r w:rsidRPr="00C01906">
        <w:rPr>
          <w:rFonts w:ascii="Times New Roman" w:hAnsi="Times New Roman"/>
          <w:i/>
          <w:lang w:val="en-US"/>
        </w:rPr>
        <w:t>The decision of the Cassation Court of Italy no.</w:t>
      </w:r>
      <w:r w:rsidRPr="00C01906">
        <w:rPr>
          <w:rFonts w:ascii="Times New Roman" w:hAnsi="Times New Roman"/>
          <w:i/>
          <w:iCs/>
          <w:lang w:val="en-US"/>
        </w:rPr>
        <w:t xml:space="preserve"> 3808/22, section I, date 3 February, 2022. Negation is a form of the language of hate and if it has to do with Holocaust should not be considered as an expression of the free opinion, but as a form of discrimination. The fact that the acts of negation are done in the Memorial Day demonstrates the existence of the psychological element and of the malice. Consequently, the aggravating circumstance of the denial of Holocaust is applicable in a state that corresponds completely with the jurisprudence of the European Court of Human Rights, that, in some cases, has explained that the negation of Holocaust does not fall under the protection provided by the Convention for the freedom of expression.</w:t>
      </w:r>
    </w:p>
  </w:footnote>
  <w:footnote w:id="20">
    <w:p w:rsidR="00F57BF9" w:rsidRPr="00C01906" w:rsidRDefault="00F57BF9" w:rsidP="00F57BF9">
      <w:pPr>
        <w:pStyle w:val="FootnoteText"/>
        <w:jc w:val="both"/>
        <w:rPr>
          <w:rFonts w:ascii="Times New Roman" w:hAnsi="Times New Roman"/>
          <w:lang w:val="en-US"/>
        </w:rPr>
      </w:pPr>
      <w:r w:rsidRPr="00C01906">
        <w:rPr>
          <w:rStyle w:val="FootnoteReference"/>
          <w:rFonts w:ascii="Times New Roman" w:hAnsi="Times New Roman"/>
          <w:lang w:val="en-US"/>
        </w:rPr>
        <w:footnoteRef/>
      </w:r>
      <w:r w:rsidRPr="00C01906">
        <w:rPr>
          <w:rFonts w:ascii="Times New Roman" w:hAnsi="Times New Roman"/>
          <w:lang w:val="en-US"/>
        </w:rPr>
        <w:t xml:space="preserve"> The approach held by Mr. </w:t>
      </w:r>
      <w:proofErr w:type="spellStart"/>
      <w:r w:rsidRPr="00C01906">
        <w:rPr>
          <w:rFonts w:ascii="Times New Roman" w:hAnsi="Times New Roman"/>
          <w:lang w:val="en-US"/>
        </w:rPr>
        <w:t>Ndriçim</w:t>
      </w:r>
      <w:proofErr w:type="spellEnd"/>
      <w:r w:rsidRPr="00C01906">
        <w:rPr>
          <w:rFonts w:ascii="Times New Roman" w:hAnsi="Times New Roman"/>
          <w:lang w:val="en-US"/>
        </w:rPr>
        <w:t xml:space="preserve"> </w:t>
      </w:r>
      <w:proofErr w:type="spellStart"/>
      <w:r w:rsidRPr="00C01906">
        <w:rPr>
          <w:rFonts w:ascii="Times New Roman" w:hAnsi="Times New Roman"/>
          <w:lang w:val="en-US"/>
        </w:rPr>
        <w:t>Halilaj</w:t>
      </w:r>
      <w:proofErr w:type="spellEnd"/>
      <w:r w:rsidRPr="00C01906">
        <w:rPr>
          <w:rFonts w:ascii="Times New Roman" w:hAnsi="Times New Roman"/>
          <w:lang w:val="en-US"/>
        </w:rPr>
        <w:t>, Prosecutor in the First Instance Prosecution of General Jurisdiction</w:t>
      </w:r>
      <w:r w:rsidR="00163BAA" w:rsidRPr="00C01906">
        <w:rPr>
          <w:rFonts w:ascii="Times New Roman" w:hAnsi="Times New Roman"/>
          <w:lang w:val="en-US"/>
        </w:rPr>
        <w:t>, Shkodër</w:t>
      </w:r>
      <w:r w:rsidRPr="00C01906">
        <w:rPr>
          <w:rFonts w:ascii="Times New Roman" w:hAnsi="Times New Roman"/>
          <w:lang w:val="en-US"/>
        </w:rPr>
        <w:t>.</w:t>
      </w:r>
    </w:p>
  </w:footnote>
  <w:footnote w:id="21">
    <w:p w:rsidR="00F57BF9" w:rsidRPr="00C01906" w:rsidRDefault="00F57BF9" w:rsidP="00F57BF9">
      <w:pPr>
        <w:pStyle w:val="FootnoteText"/>
        <w:jc w:val="both"/>
        <w:rPr>
          <w:rFonts w:ascii="Times New Roman" w:hAnsi="Times New Roman"/>
          <w:lang w:val="en-US"/>
        </w:rPr>
      </w:pPr>
      <w:r w:rsidRPr="00C01906">
        <w:rPr>
          <w:rStyle w:val="FootnoteReference"/>
          <w:rFonts w:ascii="Times New Roman" w:hAnsi="Times New Roman"/>
          <w:lang w:val="en-US"/>
        </w:rPr>
        <w:footnoteRef/>
      </w:r>
      <w:r w:rsidRPr="00C01906">
        <w:rPr>
          <w:rFonts w:ascii="Times New Roman" w:hAnsi="Times New Roman"/>
          <w:lang w:val="en-US"/>
        </w:rPr>
        <w:t xml:space="preserve"> Article 265 of the Criminal Code, </w:t>
      </w:r>
      <w:r w:rsidRPr="00C01906">
        <w:rPr>
          <w:rFonts w:ascii="Times New Roman" w:hAnsi="Times New Roman"/>
          <w:i/>
          <w:lang w:val="en-US"/>
        </w:rPr>
        <w:t>incitement to hatred or divergences, “the incitement to hatred and to divergences because of race, ethnicity, religion or sexual orientation, as well as preparation, distribution or preservation with the purpose of the distribution of writings with such a content is done through every instrument or form is punished …</w:t>
      </w:r>
      <w:proofErr w:type="gramStart"/>
      <w:r w:rsidRPr="00C01906">
        <w:rPr>
          <w:rFonts w:ascii="Times New Roman" w:hAnsi="Times New Roman"/>
          <w:i/>
          <w:lang w:val="en-US"/>
        </w:rPr>
        <w:t>”.</w:t>
      </w:r>
      <w:proofErr w:type="gramEnd"/>
    </w:p>
  </w:footnote>
  <w:footnote w:id="22">
    <w:p w:rsidR="00F57BF9" w:rsidRPr="00C01906" w:rsidRDefault="00F57BF9" w:rsidP="00F57BF9">
      <w:pPr>
        <w:pStyle w:val="FootnoteText"/>
        <w:jc w:val="both"/>
        <w:rPr>
          <w:rFonts w:ascii="Times New Roman" w:hAnsi="Times New Roman"/>
          <w:lang w:val="en-US"/>
        </w:rPr>
      </w:pPr>
      <w:r w:rsidRPr="00C01906">
        <w:rPr>
          <w:rStyle w:val="FootnoteReference"/>
          <w:rFonts w:ascii="Times New Roman" w:hAnsi="Times New Roman"/>
          <w:lang w:val="en-US"/>
        </w:rPr>
        <w:footnoteRef/>
      </w:r>
      <w:r w:rsidRPr="00C01906">
        <w:rPr>
          <w:rFonts w:ascii="Times New Roman" w:hAnsi="Times New Roman"/>
          <w:lang w:val="en-US"/>
        </w:rPr>
        <w:t xml:space="preserve"> The approach held by Mr. </w:t>
      </w:r>
      <w:proofErr w:type="spellStart"/>
      <w:r w:rsidRPr="00C01906">
        <w:rPr>
          <w:rFonts w:ascii="Times New Roman" w:hAnsi="Times New Roman"/>
          <w:lang w:val="en-US"/>
        </w:rPr>
        <w:t>Genti</w:t>
      </w:r>
      <w:proofErr w:type="spellEnd"/>
      <w:r w:rsidRPr="00C01906">
        <w:rPr>
          <w:rFonts w:ascii="Times New Roman" w:hAnsi="Times New Roman"/>
          <w:lang w:val="en-US"/>
        </w:rPr>
        <w:t xml:space="preserve"> </w:t>
      </w:r>
      <w:proofErr w:type="spellStart"/>
      <w:r w:rsidRPr="00C01906">
        <w:rPr>
          <w:rFonts w:ascii="Times New Roman" w:hAnsi="Times New Roman"/>
          <w:lang w:val="en-US"/>
        </w:rPr>
        <w:t>Dokollari</w:t>
      </w:r>
      <w:proofErr w:type="spellEnd"/>
      <w:r w:rsidRPr="00C01906">
        <w:rPr>
          <w:rFonts w:ascii="Times New Roman" w:hAnsi="Times New Roman"/>
          <w:lang w:val="en-US"/>
        </w:rPr>
        <w:t xml:space="preserve">, judge in the Court of Appeal of the General Jurisdiction; Mrs. </w:t>
      </w:r>
      <w:proofErr w:type="spellStart"/>
      <w:r w:rsidRPr="00C01906">
        <w:rPr>
          <w:rFonts w:ascii="Times New Roman" w:hAnsi="Times New Roman"/>
          <w:lang w:val="en-US"/>
        </w:rPr>
        <w:t>Besmira</w:t>
      </w:r>
      <w:proofErr w:type="spellEnd"/>
      <w:r w:rsidRPr="00C01906">
        <w:rPr>
          <w:rFonts w:ascii="Times New Roman" w:hAnsi="Times New Roman"/>
          <w:lang w:val="en-US"/>
        </w:rPr>
        <w:t xml:space="preserve"> </w:t>
      </w:r>
      <w:proofErr w:type="spellStart"/>
      <w:r w:rsidRPr="00C01906">
        <w:rPr>
          <w:rFonts w:ascii="Times New Roman" w:hAnsi="Times New Roman"/>
          <w:lang w:val="en-US"/>
        </w:rPr>
        <w:t>Vishe</w:t>
      </w:r>
      <w:proofErr w:type="spellEnd"/>
      <w:r w:rsidRPr="00C01906">
        <w:rPr>
          <w:rFonts w:ascii="Times New Roman" w:hAnsi="Times New Roman"/>
          <w:lang w:val="en-US"/>
        </w:rPr>
        <w:t xml:space="preserve">, prosecutor in the Prosecution at the First Instance Court of the General Jurisdiction </w:t>
      </w:r>
      <w:proofErr w:type="spellStart"/>
      <w:r w:rsidRPr="00C01906">
        <w:rPr>
          <w:rFonts w:ascii="Times New Roman" w:hAnsi="Times New Roman"/>
          <w:lang w:val="en-US"/>
        </w:rPr>
        <w:t>Shkodër</w:t>
      </w:r>
      <w:proofErr w:type="spellEnd"/>
      <w:r w:rsidRPr="00C01906">
        <w:rPr>
          <w:rFonts w:ascii="Times New Roman" w:hAnsi="Times New Roman"/>
          <w:lang w:val="en-US"/>
        </w:rPr>
        <w:t xml:space="preserve"> and Mr. </w:t>
      </w:r>
      <w:proofErr w:type="spellStart"/>
      <w:r w:rsidRPr="00C01906">
        <w:rPr>
          <w:rFonts w:ascii="Times New Roman" w:hAnsi="Times New Roman"/>
          <w:lang w:val="en-US"/>
        </w:rPr>
        <w:t>Ylli</w:t>
      </w:r>
      <w:proofErr w:type="spellEnd"/>
      <w:r w:rsidRPr="00C01906">
        <w:rPr>
          <w:rFonts w:ascii="Times New Roman" w:hAnsi="Times New Roman"/>
          <w:lang w:val="en-US"/>
        </w:rPr>
        <w:t xml:space="preserve"> </w:t>
      </w:r>
      <w:proofErr w:type="spellStart"/>
      <w:r w:rsidRPr="00C01906">
        <w:rPr>
          <w:rFonts w:ascii="Times New Roman" w:hAnsi="Times New Roman"/>
          <w:lang w:val="en-US"/>
        </w:rPr>
        <w:t>Pjetërnikaj</w:t>
      </w:r>
      <w:proofErr w:type="spellEnd"/>
      <w:r w:rsidRPr="00C01906">
        <w:rPr>
          <w:rFonts w:ascii="Times New Roman" w:hAnsi="Times New Roman"/>
          <w:lang w:val="en-US"/>
        </w:rPr>
        <w:t>, Legal advisor at the High Prosecutorial Council, (acting). Prosecutor in Prosecution Office to the First Instance Court of the General Jurisdiction, Tiranë.</w:t>
      </w:r>
    </w:p>
  </w:footnote>
  <w:footnote w:id="23">
    <w:p w:rsidR="00F57BF9" w:rsidRPr="00C01906" w:rsidRDefault="00F57BF9" w:rsidP="00F57BF9">
      <w:pPr>
        <w:spacing w:after="0" w:line="240" w:lineRule="auto"/>
        <w:jc w:val="both"/>
        <w:rPr>
          <w:rFonts w:ascii="Times New Roman" w:hAnsi="Times New Roman"/>
          <w:sz w:val="20"/>
          <w:szCs w:val="20"/>
          <w:lang w:val="en-US"/>
        </w:rPr>
      </w:pPr>
      <w:r w:rsidRPr="00C01906">
        <w:rPr>
          <w:rStyle w:val="FootnoteReference"/>
          <w:rFonts w:ascii="Times New Roman" w:hAnsi="Times New Roman"/>
          <w:sz w:val="20"/>
          <w:szCs w:val="20"/>
          <w:lang w:val="en-US"/>
        </w:rPr>
        <w:footnoteRef/>
      </w:r>
      <w:r w:rsidRPr="00C01906">
        <w:rPr>
          <w:rFonts w:ascii="Times New Roman" w:hAnsi="Times New Roman"/>
          <w:sz w:val="20"/>
          <w:szCs w:val="20"/>
          <w:lang w:val="en-US"/>
        </w:rPr>
        <w:t xml:space="preserve"> The case in Rwanda in 2010. A.M and M.K are two journalists.  A.M is also an editor. In the year 2010 in their </w:t>
      </w:r>
      <w:r w:rsidR="00163BAA" w:rsidRPr="00C01906">
        <w:rPr>
          <w:rFonts w:ascii="Times New Roman" w:hAnsi="Times New Roman"/>
          <w:sz w:val="20"/>
          <w:szCs w:val="20"/>
          <w:lang w:val="en-US"/>
        </w:rPr>
        <w:t>weekly magazine</w:t>
      </w:r>
      <w:r w:rsidRPr="00C01906">
        <w:rPr>
          <w:rFonts w:ascii="Times New Roman" w:hAnsi="Times New Roman"/>
          <w:sz w:val="20"/>
          <w:szCs w:val="20"/>
          <w:lang w:val="en-US"/>
        </w:rPr>
        <w:t xml:space="preserve"> published </w:t>
      </w:r>
      <w:r w:rsidR="00B20BEA" w:rsidRPr="00C01906">
        <w:rPr>
          <w:rFonts w:ascii="Times New Roman" w:hAnsi="Times New Roman"/>
          <w:sz w:val="20"/>
          <w:szCs w:val="20"/>
          <w:lang w:val="en-US"/>
        </w:rPr>
        <w:t>in 100</w:t>
      </w:r>
      <w:r w:rsidRPr="00C01906">
        <w:rPr>
          <w:rFonts w:ascii="Times New Roman" w:hAnsi="Times New Roman"/>
          <w:sz w:val="20"/>
          <w:szCs w:val="20"/>
          <w:lang w:val="en-US"/>
        </w:rPr>
        <w:t xml:space="preserve">-150 copies, they criticized constantly agricultural policies, against corruption and other </w:t>
      </w:r>
      <w:r w:rsidR="00B20BEA" w:rsidRPr="00C01906">
        <w:rPr>
          <w:rFonts w:ascii="Times New Roman" w:hAnsi="Times New Roman"/>
          <w:sz w:val="20"/>
          <w:szCs w:val="20"/>
          <w:lang w:val="en-US"/>
        </w:rPr>
        <w:t>government policies</w:t>
      </w:r>
      <w:r w:rsidRPr="00C01906">
        <w:rPr>
          <w:rFonts w:ascii="Times New Roman" w:hAnsi="Times New Roman"/>
          <w:sz w:val="20"/>
          <w:szCs w:val="20"/>
          <w:lang w:val="en-US"/>
        </w:rPr>
        <w:t xml:space="preserve">. In 2010, A.M apart from distributing </w:t>
      </w:r>
      <w:r w:rsidR="00163BAA" w:rsidRPr="00C01906">
        <w:rPr>
          <w:rFonts w:ascii="Times New Roman" w:hAnsi="Times New Roman"/>
          <w:sz w:val="20"/>
          <w:szCs w:val="20"/>
          <w:lang w:val="en-US"/>
        </w:rPr>
        <w:t>materials</w:t>
      </w:r>
      <w:r w:rsidRPr="00C01906">
        <w:rPr>
          <w:rFonts w:ascii="Times New Roman" w:hAnsi="Times New Roman"/>
          <w:sz w:val="20"/>
          <w:szCs w:val="20"/>
          <w:lang w:val="en-US"/>
        </w:rPr>
        <w:t xml:space="preserve"> was in support, so declared that in Rwanda was committed </w:t>
      </w:r>
      <w:r w:rsidR="00163BAA" w:rsidRPr="00C01906">
        <w:rPr>
          <w:rFonts w:ascii="Times New Roman" w:hAnsi="Times New Roman"/>
          <w:sz w:val="20"/>
          <w:szCs w:val="20"/>
          <w:lang w:val="en-US"/>
        </w:rPr>
        <w:t>genocide against</w:t>
      </w:r>
      <w:r w:rsidRPr="00C01906">
        <w:rPr>
          <w:rFonts w:ascii="Times New Roman" w:hAnsi="Times New Roman"/>
          <w:sz w:val="20"/>
          <w:szCs w:val="20"/>
          <w:lang w:val="en-US"/>
        </w:rPr>
        <w:t xml:space="preserve"> the Tutsi tribe.  But in this article, she elaborated mostly the problem, by </w:t>
      </w:r>
      <w:proofErr w:type="spellStart"/>
      <w:r w:rsidRPr="00C01906">
        <w:rPr>
          <w:rFonts w:ascii="Times New Roman" w:hAnsi="Times New Roman"/>
          <w:sz w:val="20"/>
          <w:szCs w:val="20"/>
          <w:lang w:val="en-US"/>
        </w:rPr>
        <w:t>emphaising</w:t>
      </w:r>
      <w:proofErr w:type="spellEnd"/>
      <w:r w:rsidRPr="00C01906">
        <w:rPr>
          <w:rFonts w:ascii="Times New Roman" w:hAnsi="Times New Roman"/>
          <w:sz w:val="20"/>
          <w:szCs w:val="20"/>
          <w:lang w:val="en-US"/>
        </w:rPr>
        <w:t xml:space="preserve"> that divergences between the Hutu tribe and the Tutsi tribe came since the times of colonial powers, so tried to make the distinction that in spite of ethnical divergences between the tribes with each – other, after the removal of colonial powers governments supported times after times a tribe and then the other tribe by creating a kind of rationalism between them. A rationalism that created hate and this hate which was beyond ethnicity made them kill each – other with knives. Exactly simply for this sentence </w:t>
      </w:r>
      <w:r w:rsidRPr="00C01906">
        <w:rPr>
          <w:rFonts w:ascii="Times New Roman" w:hAnsi="Times New Roman"/>
          <w:i/>
          <w:sz w:val="20"/>
          <w:szCs w:val="20"/>
          <w:lang w:val="en-US"/>
        </w:rPr>
        <w:t xml:space="preserve">by killing each – other, </w:t>
      </w:r>
      <w:r w:rsidRPr="00C01906">
        <w:rPr>
          <w:rFonts w:ascii="Times New Roman" w:hAnsi="Times New Roman"/>
          <w:sz w:val="20"/>
          <w:szCs w:val="20"/>
          <w:lang w:val="en-US"/>
        </w:rPr>
        <w:t>the prosecution of</w:t>
      </w:r>
      <w:r w:rsidRPr="00C01906">
        <w:rPr>
          <w:rFonts w:ascii="Times New Roman" w:hAnsi="Times New Roman"/>
          <w:i/>
          <w:sz w:val="20"/>
          <w:szCs w:val="20"/>
          <w:lang w:val="en-US"/>
        </w:rPr>
        <w:t xml:space="preserve"> </w:t>
      </w:r>
      <w:r w:rsidRPr="00C01906">
        <w:rPr>
          <w:rFonts w:ascii="Times New Roman" w:hAnsi="Times New Roman"/>
          <w:sz w:val="20"/>
          <w:szCs w:val="20"/>
          <w:lang w:val="en-US"/>
        </w:rPr>
        <w:t>Rwanda made a criminal proceeding to minimize genocide. She was imprisoned for ten days in Rwanda, the procedure was not respected and the case went to the High Court of Rwanda. Mrs. A.M being even a journalist claimed that prosecution had not elaborated the case in all its focus and in its entire context. She had the purpose to discover the roots of this conflict, and did not intend to negate or to minimize genocide. The idea that is emphasized here is that prosecution insisted that the fact that says that “killed each – other’ implies civil war and not genocide. To the civil war is implied the minimization of genocide. The court of Rwanda since lacked cases of the negation of genocide in Rwanda at this time elaborated the concept minimization of genocide and considered as each behavior that intends to minimize the consequences or the effects of war and to deform the facts.</w:t>
      </w:r>
      <w:r w:rsidRPr="00C01906">
        <w:rPr>
          <w:rStyle w:val="FootnoteReference"/>
          <w:rFonts w:ascii="Times New Roman" w:hAnsi="Times New Roman"/>
          <w:sz w:val="20"/>
          <w:szCs w:val="20"/>
          <w:lang w:val="en-US"/>
        </w:rPr>
        <w:footnoteRef/>
      </w:r>
      <w:r w:rsidRPr="00C01906">
        <w:rPr>
          <w:rFonts w:ascii="Times New Roman" w:hAnsi="Times New Roman"/>
          <w:sz w:val="20"/>
          <w:szCs w:val="20"/>
          <w:lang w:val="en-US"/>
        </w:rPr>
        <w:t xml:space="preserve"> However, the High Court of Rwanda noticed that the lady’s intention was not to negate and minimize and this is the reason why according to the legislation of Rwanda, should exist for </w:t>
      </w:r>
      <w:r w:rsidR="00163BAA" w:rsidRPr="00C01906">
        <w:rPr>
          <w:rFonts w:ascii="Times New Roman" w:hAnsi="Times New Roman"/>
          <w:sz w:val="20"/>
          <w:szCs w:val="20"/>
          <w:lang w:val="en-US"/>
        </w:rPr>
        <w:t>sure a</w:t>
      </w:r>
      <w:r w:rsidRPr="00C01906">
        <w:rPr>
          <w:rFonts w:ascii="Times New Roman" w:hAnsi="Times New Roman"/>
          <w:sz w:val="20"/>
          <w:szCs w:val="20"/>
          <w:lang w:val="en-US"/>
        </w:rPr>
        <w:t xml:space="preserve"> relation between the purpose of making this statement to minimize not simply the fact that should be interpreted in such a way so that to considered her innocent. However, the African Commission for Human Rights in </w:t>
      </w:r>
      <w:r w:rsidR="00163BAA" w:rsidRPr="00C01906">
        <w:rPr>
          <w:rFonts w:ascii="Times New Roman" w:hAnsi="Times New Roman"/>
          <w:sz w:val="20"/>
          <w:szCs w:val="20"/>
          <w:lang w:val="en-US"/>
        </w:rPr>
        <w:t>2019</w:t>
      </w:r>
      <w:r w:rsidRPr="00C01906">
        <w:rPr>
          <w:rFonts w:ascii="Times New Roman" w:hAnsi="Times New Roman"/>
          <w:sz w:val="20"/>
          <w:szCs w:val="20"/>
          <w:lang w:val="en-US"/>
        </w:rPr>
        <w:t xml:space="preserve"> had some problems of the respect of fundamental rights and freedoms in Rwanda making the relevant recommendations. </w:t>
      </w:r>
    </w:p>
  </w:footnote>
  <w:footnote w:id="24">
    <w:p w:rsidR="00F57BF9" w:rsidRPr="00C01906" w:rsidRDefault="00F57BF9" w:rsidP="00F57BF9">
      <w:pPr>
        <w:pStyle w:val="FootnoteText"/>
        <w:jc w:val="both"/>
        <w:rPr>
          <w:rFonts w:ascii="Times New Roman" w:hAnsi="Times New Roman"/>
          <w:lang w:val="en-US"/>
        </w:rPr>
      </w:pPr>
      <w:r w:rsidRPr="00C01906">
        <w:rPr>
          <w:rStyle w:val="FootnoteReference"/>
          <w:rFonts w:ascii="Times New Roman" w:hAnsi="Times New Roman"/>
          <w:lang w:val="en-US"/>
        </w:rPr>
        <w:footnoteRef/>
      </w:r>
      <w:r w:rsidRPr="00C01906">
        <w:rPr>
          <w:rFonts w:ascii="Times New Roman" w:hAnsi="Times New Roman"/>
          <w:lang w:val="en-US"/>
        </w:rPr>
        <w:t xml:space="preserve"> Article 119/a: “</w:t>
      </w:r>
      <w:r w:rsidRPr="00C01906">
        <w:rPr>
          <w:rFonts w:ascii="Times New Roman" w:hAnsi="Times New Roman"/>
          <w:i/>
          <w:lang w:val="en-US"/>
        </w:rPr>
        <w:t xml:space="preserve">The availability in public or the intentional distribution in public, through computer systems, of materials with racist or xenophobic content is a criminal controversy and is convicted with fine or imprisonment up to two years.” </w:t>
      </w:r>
    </w:p>
  </w:footnote>
  <w:footnote w:id="25">
    <w:p w:rsidR="00F57BF9" w:rsidRPr="00C01906" w:rsidRDefault="00F57BF9" w:rsidP="00F57BF9">
      <w:pPr>
        <w:pStyle w:val="FootnoteText"/>
        <w:jc w:val="both"/>
        <w:rPr>
          <w:rFonts w:ascii="Times New Roman" w:hAnsi="Times New Roman"/>
          <w:lang w:val="en-US"/>
        </w:rPr>
      </w:pPr>
      <w:r w:rsidRPr="00C01906">
        <w:rPr>
          <w:rStyle w:val="FootnoteReference"/>
          <w:rFonts w:ascii="Times New Roman" w:hAnsi="Times New Roman"/>
          <w:lang w:val="en-US"/>
        </w:rPr>
        <w:footnoteRef/>
      </w:r>
      <w:r w:rsidRPr="00C01906">
        <w:rPr>
          <w:rFonts w:ascii="Times New Roman" w:hAnsi="Times New Roman"/>
          <w:lang w:val="en-US"/>
        </w:rPr>
        <w:t xml:space="preserve"> </w:t>
      </w:r>
      <w:proofErr w:type="spellStart"/>
      <w:r w:rsidRPr="00C01906">
        <w:rPr>
          <w:rFonts w:ascii="Times New Roman" w:hAnsi="Times New Roman"/>
          <w:lang w:val="en-US"/>
        </w:rPr>
        <w:t>Refering</w:t>
      </w:r>
      <w:proofErr w:type="spellEnd"/>
      <w:r w:rsidRPr="00C01906">
        <w:rPr>
          <w:rFonts w:ascii="Times New Roman" w:hAnsi="Times New Roman"/>
          <w:lang w:val="en-US"/>
        </w:rPr>
        <w:t xml:space="preserve"> to the Framework Decision of the European Union. </w:t>
      </w:r>
    </w:p>
  </w:footnote>
  <w:footnote w:id="26">
    <w:p w:rsidR="00F57BF9" w:rsidRPr="00C01906" w:rsidRDefault="00F57BF9" w:rsidP="00F57BF9">
      <w:pPr>
        <w:pStyle w:val="FootnoteText"/>
        <w:jc w:val="both"/>
        <w:rPr>
          <w:rFonts w:ascii="Times New Roman" w:hAnsi="Times New Roman"/>
          <w:lang w:val="en-US"/>
        </w:rPr>
      </w:pPr>
      <w:r w:rsidRPr="00C01906">
        <w:rPr>
          <w:rStyle w:val="FootnoteReference"/>
          <w:rFonts w:ascii="Times New Roman" w:hAnsi="Times New Roman"/>
          <w:lang w:val="en-US"/>
        </w:rPr>
        <w:footnoteRef/>
      </w:r>
      <w:r w:rsidRPr="00C01906">
        <w:rPr>
          <w:rFonts w:ascii="Times New Roman" w:hAnsi="Times New Roman"/>
          <w:lang w:val="en-US"/>
        </w:rPr>
        <w:t xml:space="preserve"> Race has connotation of an occurrence, social structure, and social phenomenon. This is the reason why has been difficult that in the absence of a consolidated empirical study to be established the category of the race, but actually the race is used to determine the differences seen between groups where are included changes of physical or social  categories, such as the skin color, ethnicity or national origin.</w:t>
      </w:r>
    </w:p>
  </w:footnote>
  <w:footnote w:id="27">
    <w:p w:rsidR="00F57BF9" w:rsidRPr="00C01906" w:rsidRDefault="00F57BF9" w:rsidP="00F57BF9">
      <w:pPr>
        <w:pStyle w:val="FootnoteText"/>
        <w:jc w:val="both"/>
        <w:rPr>
          <w:rFonts w:ascii="Times New Roman" w:hAnsi="Times New Roman"/>
          <w:lang w:val="en-US"/>
        </w:rPr>
      </w:pPr>
      <w:r w:rsidRPr="00C01906">
        <w:rPr>
          <w:rStyle w:val="FootnoteReference"/>
          <w:rFonts w:ascii="Times New Roman" w:hAnsi="Times New Roman"/>
          <w:lang w:val="en-US"/>
        </w:rPr>
        <w:footnoteRef/>
      </w:r>
      <w:r w:rsidRPr="00C01906">
        <w:rPr>
          <w:rFonts w:ascii="Times New Roman" w:hAnsi="Times New Roman"/>
          <w:lang w:val="en-US"/>
        </w:rPr>
        <w:t xml:space="preserve"> Xenophobic material should be capable to achieve its purpose through three forms:  favoring, i.e., the support or defense, distribution (propaganda) and the capacity for incitement.</w:t>
      </w:r>
    </w:p>
  </w:footnote>
  <w:footnote w:id="28">
    <w:p w:rsidR="00F57BF9" w:rsidRPr="00C01906" w:rsidRDefault="00F57BF9" w:rsidP="00F57BF9">
      <w:pPr>
        <w:pStyle w:val="FootnoteText"/>
        <w:jc w:val="both"/>
        <w:rPr>
          <w:rFonts w:ascii="Times New Roman" w:hAnsi="Times New Roman"/>
          <w:lang w:val="en-US"/>
        </w:rPr>
      </w:pPr>
      <w:r w:rsidRPr="00C01906">
        <w:rPr>
          <w:rStyle w:val="FootnoteReference"/>
          <w:rFonts w:ascii="Times New Roman" w:hAnsi="Times New Roman"/>
          <w:lang w:val="en-US"/>
        </w:rPr>
        <w:footnoteRef/>
      </w:r>
      <w:r w:rsidRPr="00C01906">
        <w:rPr>
          <w:rFonts w:ascii="Times New Roman" w:hAnsi="Times New Roman"/>
          <w:lang w:val="en-US"/>
        </w:rPr>
        <w:t xml:space="preserve"> Recommendation on the war against hate crime number 16, of the year   2022, makes almost the same definition as the Convention, so what is racist and xenophobic material is considered even hate speech.  </w:t>
      </w:r>
    </w:p>
  </w:footnote>
  <w:footnote w:id="29">
    <w:p w:rsidR="00F57BF9" w:rsidRPr="00C01906" w:rsidRDefault="00F57BF9" w:rsidP="00F57BF9">
      <w:pPr>
        <w:spacing w:after="0" w:line="240" w:lineRule="auto"/>
        <w:jc w:val="both"/>
        <w:rPr>
          <w:rFonts w:ascii="Times New Roman" w:hAnsi="Times New Roman"/>
          <w:sz w:val="20"/>
          <w:szCs w:val="20"/>
          <w:lang w:val="en-US"/>
        </w:rPr>
      </w:pPr>
      <w:r w:rsidRPr="00C01906">
        <w:rPr>
          <w:rStyle w:val="FootnoteReference"/>
          <w:rFonts w:ascii="Times New Roman" w:hAnsi="Times New Roman"/>
          <w:sz w:val="20"/>
          <w:szCs w:val="20"/>
          <w:lang w:val="en-US"/>
        </w:rPr>
        <w:footnoteRef/>
      </w:r>
      <w:r w:rsidRPr="00C01906">
        <w:rPr>
          <w:rFonts w:ascii="Times New Roman" w:hAnsi="Times New Roman"/>
          <w:sz w:val="20"/>
          <w:szCs w:val="20"/>
          <w:lang w:val="en-US"/>
        </w:rPr>
        <w:t xml:space="preserve"> ECtHR in the case </w:t>
      </w:r>
      <w:proofErr w:type="spellStart"/>
      <w:r w:rsidRPr="00C01906">
        <w:rPr>
          <w:rFonts w:ascii="Times New Roman" w:hAnsi="Times New Roman"/>
          <w:i/>
          <w:sz w:val="20"/>
          <w:szCs w:val="20"/>
          <w:lang w:val="en-US"/>
        </w:rPr>
        <w:t>Secic</w:t>
      </w:r>
      <w:proofErr w:type="spellEnd"/>
      <w:r w:rsidRPr="00C01906">
        <w:rPr>
          <w:rFonts w:ascii="Times New Roman" w:hAnsi="Times New Roman"/>
          <w:i/>
          <w:iCs/>
          <w:sz w:val="20"/>
          <w:szCs w:val="20"/>
          <w:lang w:val="en-US"/>
        </w:rPr>
        <w:t xml:space="preserve"> v.  Croatia, </w:t>
      </w:r>
      <w:r w:rsidRPr="00C01906">
        <w:rPr>
          <w:rFonts w:ascii="Times New Roman" w:hAnsi="Times New Roman"/>
          <w:iCs/>
          <w:sz w:val="20"/>
          <w:szCs w:val="20"/>
          <w:lang w:val="en-US"/>
        </w:rPr>
        <w:t xml:space="preserve">draws the attention of  Croat authorities that they have as additional duty to undertake all the necessary steps to discover the possible racial reasons as well as to determine that ethnic hate or the trial has had role in the concrete case.   </w:t>
      </w:r>
      <w:r w:rsidRPr="00C01906">
        <w:rPr>
          <w:rFonts w:ascii="Times New Roman" w:hAnsi="Times New Roman"/>
          <w:sz w:val="20"/>
          <w:szCs w:val="20"/>
          <w:lang w:val="en-US"/>
        </w:rPr>
        <w:t xml:space="preserve"> </w:t>
      </w:r>
    </w:p>
  </w:footnote>
  <w:footnote w:id="30">
    <w:p w:rsidR="00F57BF9" w:rsidRPr="00C01906" w:rsidRDefault="00F57BF9" w:rsidP="00F57BF9">
      <w:pPr>
        <w:pStyle w:val="FootnoteText"/>
        <w:jc w:val="both"/>
        <w:rPr>
          <w:rFonts w:ascii="Times New Roman" w:hAnsi="Times New Roman"/>
          <w:lang w:val="en-US"/>
        </w:rPr>
      </w:pPr>
      <w:r w:rsidRPr="00C01906">
        <w:rPr>
          <w:rStyle w:val="FootnoteReference"/>
          <w:rFonts w:ascii="Times New Roman" w:hAnsi="Times New Roman"/>
          <w:lang w:val="en-US"/>
        </w:rPr>
        <w:footnoteRef/>
      </w:r>
      <w:r w:rsidRPr="00C01906">
        <w:rPr>
          <w:rFonts w:ascii="Times New Roman" w:hAnsi="Times New Roman"/>
          <w:lang w:val="en-US"/>
        </w:rPr>
        <w:t xml:space="preserve"> ECtHR in the case  </w:t>
      </w:r>
      <w:proofErr w:type="spellStart"/>
      <w:r w:rsidRPr="00C01906">
        <w:rPr>
          <w:rFonts w:ascii="Times New Roman" w:hAnsi="Times New Roman"/>
          <w:i/>
          <w:iCs/>
          <w:lang w:val="en-US"/>
        </w:rPr>
        <w:t>V.Angelov</w:t>
      </w:r>
      <w:proofErr w:type="spellEnd"/>
      <w:r w:rsidRPr="00C01906">
        <w:rPr>
          <w:rFonts w:ascii="Times New Roman" w:hAnsi="Times New Roman"/>
          <w:i/>
          <w:iCs/>
          <w:lang w:val="en-US"/>
        </w:rPr>
        <w:t xml:space="preserve">  v. Bulgaria,</w:t>
      </w:r>
      <w:r w:rsidRPr="00C01906">
        <w:rPr>
          <w:rFonts w:ascii="Times New Roman" w:hAnsi="Times New Roman"/>
          <w:lang w:val="en-US"/>
        </w:rPr>
        <w:t xml:space="preserve"> (two people were dead after being beaten and stabbed by a group of teenagers and attackers had accepted in prosecution that the choosing of the target of the attack had been for some people that belonged to the rome community) noticed that there has been violation of the Convention after because Bulgarian authorities did not investigate regarding this part, but had proceeded and convicted the defendants for a general criminal offense, serious injury resulting in death. </w:t>
      </w:r>
    </w:p>
  </w:footnote>
  <w:footnote w:id="31">
    <w:p w:rsidR="00F57BF9" w:rsidRPr="00C01906" w:rsidRDefault="00F57BF9" w:rsidP="00F57BF9">
      <w:pPr>
        <w:pStyle w:val="FootnoteText"/>
        <w:jc w:val="both"/>
        <w:rPr>
          <w:rFonts w:ascii="Times New Roman" w:hAnsi="Times New Roman"/>
          <w:lang w:val="en-US"/>
        </w:rPr>
      </w:pPr>
      <w:r w:rsidRPr="00C01906">
        <w:rPr>
          <w:rStyle w:val="FootnoteReference"/>
          <w:rFonts w:ascii="Times New Roman" w:hAnsi="Times New Roman"/>
          <w:lang w:val="en-US"/>
        </w:rPr>
        <w:footnoteRef/>
      </w:r>
      <w:r w:rsidRPr="00C01906">
        <w:rPr>
          <w:rFonts w:ascii="Times New Roman" w:hAnsi="Times New Roman"/>
          <w:lang w:val="en-US"/>
        </w:rPr>
        <w:t xml:space="preserve"> </w:t>
      </w:r>
      <w:proofErr w:type="gramStart"/>
      <w:r w:rsidRPr="00C01906">
        <w:rPr>
          <w:rFonts w:ascii="Times New Roman" w:hAnsi="Times New Roman"/>
          <w:lang w:val="en-US"/>
        </w:rPr>
        <w:t>Article  1</w:t>
      </w:r>
      <w:proofErr w:type="gramEnd"/>
      <w:r w:rsidRPr="00C01906">
        <w:rPr>
          <w:rFonts w:ascii="Times New Roman" w:hAnsi="Times New Roman"/>
          <w:lang w:val="en-US"/>
        </w:rPr>
        <w:t xml:space="preserve"> of Framework Decision  2008/913/JHA foresees that, “….</w:t>
      </w:r>
      <w:r w:rsidRPr="00C01906">
        <w:rPr>
          <w:rFonts w:ascii="Times New Roman" w:hAnsi="Times New Roman"/>
          <w:i/>
          <w:iCs/>
          <w:lang w:val="en-US"/>
        </w:rPr>
        <w:t xml:space="preserve">1. </w:t>
      </w:r>
      <w:r w:rsidRPr="00C01906">
        <w:rPr>
          <w:rFonts w:ascii="Times New Roman" w:eastAsia="Times New Roman" w:hAnsi="Times New Roman"/>
          <w:i/>
        </w:rPr>
        <w:t>Each Member State shall take the measures necessary to ensure that the following intentional conduct is punishable</w:t>
      </w:r>
      <w:r w:rsidRPr="00C01906">
        <w:rPr>
          <w:rFonts w:ascii="Times New Roman" w:hAnsi="Times New Roman"/>
          <w:i/>
          <w:iCs/>
          <w:lang w:val="en-US"/>
        </w:rPr>
        <w:t>:</w:t>
      </w:r>
      <w:r w:rsidRPr="00C01906">
        <w:rPr>
          <w:rFonts w:ascii="Times New Roman" w:hAnsi="Times New Roman"/>
          <w:lang w:val="en-US"/>
        </w:rPr>
        <w:t xml:space="preserve"> </w:t>
      </w:r>
      <w:r w:rsidRPr="00C01906">
        <w:rPr>
          <w:rFonts w:ascii="Times New Roman" w:hAnsi="Times New Roman"/>
          <w:i/>
          <w:iCs/>
          <w:lang w:val="en-US"/>
        </w:rPr>
        <w:t xml:space="preserve">(a) </w:t>
      </w:r>
      <w:r w:rsidRPr="00C01906">
        <w:rPr>
          <w:rFonts w:ascii="Times New Roman" w:eastAsia="Times New Roman" w:hAnsi="Times New Roman"/>
          <w:i/>
        </w:rPr>
        <w:t>publicly inciting to violence or hatred directed against a group of persons or a member of such a group defined by reference to race, colour, religion, descent or national or ethnic origin</w:t>
      </w:r>
      <w:r w:rsidRPr="00C01906">
        <w:rPr>
          <w:rFonts w:ascii="Times New Roman" w:hAnsi="Times New Roman"/>
          <w:i/>
          <w:iCs/>
          <w:lang w:val="en-US"/>
        </w:rPr>
        <w:t>;</w:t>
      </w:r>
      <w:r w:rsidRPr="00C01906">
        <w:rPr>
          <w:rFonts w:ascii="Times New Roman" w:hAnsi="Times New Roman"/>
          <w:lang w:val="en-US"/>
        </w:rPr>
        <w:t xml:space="preserve"> </w:t>
      </w:r>
      <w:r w:rsidRPr="00C01906">
        <w:rPr>
          <w:rFonts w:ascii="Times New Roman" w:hAnsi="Times New Roman"/>
          <w:i/>
          <w:iCs/>
          <w:lang w:val="en-US"/>
        </w:rPr>
        <w:t xml:space="preserve">(b) </w:t>
      </w:r>
      <w:r w:rsidRPr="00C01906">
        <w:rPr>
          <w:rFonts w:ascii="Times New Roman" w:eastAsia="Times New Roman" w:hAnsi="Times New Roman"/>
          <w:i/>
        </w:rPr>
        <w:t>the commission of an act referred to in point (a) by public dissemination or distribution of tracts, pictures or other material</w:t>
      </w:r>
      <w:r w:rsidRPr="00C01906">
        <w:rPr>
          <w:rFonts w:ascii="Times New Roman" w:hAnsi="Times New Roman"/>
          <w:lang w:val="en-US"/>
        </w:rPr>
        <w:t>;…”.</w:t>
      </w:r>
    </w:p>
  </w:footnote>
  <w:footnote w:id="32">
    <w:p w:rsidR="00F57BF9" w:rsidRPr="00C01906" w:rsidRDefault="00F57BF9" w:rsidP="00F57BF9">
      <w:pPr>
        <w:pStyle w:val="FootnoteText"/>
        <w:jc w:val="both"/>
        <w:rPr>
          <w:rFonts w:ascii="Times New Roman" w:hAnsi="Times New Roman"/>
          <w:lang w:val="en-US"/>
        </w:rPr>
      </w:pPr>
      <w:r w:rsidRPr="00C01906">
        <w:rPr>
          <w:rStyle w:val="FootnoteReference"/>
          <w:rFonts w:ascii="Times New Roman" w:hAnsi="Times New Roman"/>
          <w:lang w:val="en-US"/>
        </w:rPr>
        <w:footnoteRef/>
      </w:r>
      <w:r w:rsidRPr="00C01906">
        <w:rPr>
          <w:rFonts w:ascii="Times New Roman" w:hAnsi="Times New Roman"/>
          <w:lang w:val="en-US"/>
        </w:rPr>
        <w:t xml:space="preserve"> </w:t>
      </w:r>
      <w:proofErr w:type="gramStart"/>
      <w:r w:rsidRPr="00C01906">
        <w:rPr>
          <w:rFonts w:ascii="Times New Roman" w:hAnsi="Times New Roman"/>
          <w:lang w:val="en-US"/>
        </w:rPr>
        <w:t xml:space="preserve">Discussion of the expert, </w:t>
      </w:r>
      <w:proofErr w:type="spellStart"/>
      <w:r w:rsidRPr="00C01906">
        <w:rPr>
          <w:rFonts w:ascii="Times New Roman" w:hAnsi="Times New Roman"/>
          <w:lang w:val="en-US"/>
        </w:rPr>
        <w:t>Ylli</w:t>
      </w:r>
      <w:proofErr w:type="spellEnd"/>
      <w:r w:rsidRPr="00C01906">
        <w:rPr>
          <w:rFonts w:ascii="Times New Roman" w:hAnsi="Times New Roman"/>
          <w:lang w:val="en-US"/>
        </w:rPr>
        <w:t xml:space="preserve"> </w:t>
      </w:r>
      <w:proofErr w:type="spellStart"/>
      <w:r w:rsidRPr="00C01906">
        <w:rPr>
          <w:rFonts w:ascii="Times New Roman" w:hAnsi="Times New Roman"/>
          <w:lang w:val="en-US"/>
        </w:rPr>
        <w:t>Pjetërnikaj</w:t>
      </w:r>
      <w:proofErr w:type="spellEnd"/>
      <w:r w:rsidRPr="00C01906">
        <w:rPr>
          <w:rFonts w:ascii="Times New Roman" w:hAnsi="Times New Roman"/>
          <w:lang w:val="en-US"/>
        </w:rPr>
        <w:t>, Legal advisor at the High Prosecutorial Council, (acting).</w:t>
      </w:r>
      <w:proofErr w:type="gramEnd"/>
      <w:r w:rsidRPr="00C01906">
        <w:rPr>
          <w:rFonts w:ascii="Times New Roman" w:hAnsi="Times New Roman"/>
          <w:lang w:val="en-US"/>
        </w:rPr>
        <w:t xml:space="preserve"> </w:t>
      </w:r>
      <w:proofErr w:type="gramStart"/>
      <w:r w:rsidRPr="00C01906">
        <w:rPr>
          <w:rFonts w:ascii="Times New Roman" w:hAnsi="Times New Roman"/>
          <w:lang w:val="en-US"/>
        </w:rPr>
        <w:t>Prosecutor in Prosecution Office to the First Instance Court of the General Jurisdiction</w:t>
      </w:r>
      <w:r w:rsidR="00163BAA" w:rsidRPr="00C01906">
        <w:rPr>
          <w:rFonts w:ascii="Times New Roman" w:hAnsi="Times New Roman"/>
          <w:lang w:val="en-US"/>
        </w:rPr>
        <w:t>, Tiranë</w:t>
      </w:r>
      <w:r w:rsidRPr="00C01906">
        <w:rPr>
          <w:rFonts w:ascii="Times New Roman" w:hAnsi="Times New Roman"/>
          <w:lang w:val="en-US"/>
        </w:rPr>
        <w:t>.</w:t>
      </w:r>
      <w:proofErr w:type="gramEnd"/>
    </w:p>
  </w:footnote>
  <w:footnote w:id="33">
    <w:p w:rsidR="00F57BF9" w:rsidRPr="00C01906" w:rsidRDefault="00F57BF9" w:rsidP="00F57BF9">
      <w:pPr>
        <w:pStyle w:val="FootnoteText"/>
        <w:jc w:val="both"/>
        <w:rPr>
          <w:rFonts w:ascii="Times New Roman" w:hAnsi="Times New Roman"/>
          <w:lang w:val="en-US"/>
        </w:rPr>
      </w:pPr>
      <w:r w:rsidRPr="00C01906">
        <w:rPr>
          <w:rStyle w:val="FootnoteReference"/>
          <w:rFonts w:ascii="Times New Roman" w:hAnsi="Times New Roman"/>
          <w:lang w:val="en-US"/>
        </w:rPr>
        <w:footnoteRef/>
      </w:r>
      <w:r w:rsidRPr="00C01906">
        <w:rPr>
          <w:rFonts w:ascii="Times New Roman" w:hAnsi="Times New Roman"/>
          <w:lang w:val="en-US"/>
        </w:rPr>
        <w:t xml:space="preserve"> The Article 604 of the Italian Criminal Code, in difference from our criminal legislation has foreseen the commitment of the acts of discrimination nature. The Cassation Court has declared that the non-accomplishment of an obligation derived by law, unjustifiably constitutes what is called discrimination</w:t>
      </w:r>
      <w:r w:rsidR="00163BAA" w:rsidRPr="00C01906">
        <w:rPr>
          <w:rFonts w:ascii="Times New Roman" w:hAnsi="Times New Roman"/>
          <w:lang w:val="en-US"/>
        </w:rPr>
        <w:t>, (</w:t>
      </w:r>
      <w:r w:rsidRPr="00C01906">
        <w:rPr>
          <w:rFonts w:ascii="Times New Roman" w:hAnsi="Times New Roman"/>
          <w:i/>
          <w:iCs/>
          <w:lang w:val="en-US"/>
        </w:rPr>
        <w:t>for example, the non-offering of the service by the public official because the beneficiary of the service is of the rome community, LGBT</w:t>
      </w:r>
      <w:r w:rsidR="00B20BEA" w:rsidRPr="00C01906">
        <w:rPr>
          <w:rFonts w:ascii="Times New Roman" w:hAnsi="Times New Roman"/>
          <w:i/>
          <w:iCs/>
          <w:lang w:val="en-US"/>
        </w:rPr>
        <w:t>, etc</w:t>
      </w:r>
      <w:r w:rsidRPr="00C01906">
        <w:rPr>
          <w:rFonts w:ascii="Times New Roman" w:hAnsi="Times New Roman"/>
          <w:i/>
          <w:iCs/>
          <w:lang w:val="en-US"/>
        </w:rPr>
        <w:t>.).</w:t>
      </w:r>
    </w:p>
  </w:footnote>
  <w:footnote w:id="34">
    <w:p w:rsidR="00F57BF9" w:rsidRPr="00C01906" w:rsidRDefault="00F57BF9" w:rsidP="00F57BF9">
      <w:pPr>
        <w:spacing w:after="0" w:line="240" w:lineRule="auto"/>
        <w:jc w:val="both"/>
        <w:rPr>
          <w:rFonts w:ascii="Times New Roman" w:hAnsi="Times New Roman"/>
          <w:i/>
          <w:sz w:val="20"/>
          <w:szCs w:val="20"/>
          <w:u w:val="single"/>
          <w:lang w:val="en-US"/>
        </w:rPr>
      </w:pPr>
      <w:r w:rsidRPr="00C01906">
        <w:rPr>
          <w:rStyle w:val="FootnoteReference"/>
          <w:rFonts w:ascii="Times New Roman" w:hAnsi="Times New Roman"/>
          <w:sz w:val="20"/>
          <w:szCs w:val="20"/>
          <w:lang w:val="en-US"/>
        </w:rPr>
        <w:footnoteRef/>
      </w:r>
      <w:r w:rsidRPr="00C01906">
        <w:rPr>
          <w:rFonts w:ascii="Times New Roman" w:hAnsi="Times New Roman"/>
          <w:sz w:val="20"/>
          <w:szCs w:val="20"/>
          <w:lang w:val="en-US"/>
        </w:rPr>
        <w:t xml:space="preserve"> Article 17 of the ECtHR, </w:t>
      </w:r>
      <w:r w:rsidRPr="00C01906">
        <w:rPr>
          <w:rFonts w:ascii="Times New Roman" w:hAnsi="Times New Roman"/>
          <w:i/>
          <w:sz w:val="20"/>
          <w:szCs w:val="20"/>
          <w:lang w:val="en-US"/>
        </w:rPr>
        <w:t>Prohibition of abuse of rights</w:t>
      </w:r>
      <w:r w:rsidRPr="00C01906">
        <w:rPr>
          <w:rFonts w:ascii="Times New Roman" w:hAnsi="Times New Roman"/>
          <w:sz w:val="20"/>
          <w:szCs w:val="20"/>
          <w:lang w:val="en-US"/>
        </w:rPr>
        <w:t xml:space="preserve">, </w:t>
      </w:r>
      <w:r w:rsidRPr="00C01906">
        <w:rPr>
          <w:rFonts w:ascii="Times New Roman" w:hAnsi="Times New Roman"/>
          <w:i/>
          <w:sz w:val="20"/>
          <w:szCs w:val="20"/>
          <w:lang w:val="en-US"/>
        </w:rPr>
        <w:t>“</w:t>
      </w:r>
      <w:r w:rsidRPr="00C01906">
        <w:rPr>
          <w:rFonts w:ascii="Times New Roman" w:hAnsi="Times New Roman"/>
          <w:i/>
        </w:rPr>
        <w:t>Nothing in this Convention may be interpreted as implying for any State, group or person any right to engage in any activity or perform any act aimed at the destruction of any of the rights and freedoms set forth herein or at their limitation to a greater extent than is provided for in the Convention</w:t>
      </w:r>
      <w:r w:rsidRPr="00C01906">
        <w:rPr>
          <w:rFonts w:ascii="Times New Roman" w:hAnsi="Times New Roman"/>
          <w:i/>
          <w:iCs/>
          <w:sz w:val="20"/>
          <w:szCs w:val="20"/>
          <w:lang w:val="en-US"/>
        </w:rPr>
        <w:t>.”</w:t>
      </w:r>
    </w:p>
  </w:footnote>
  <w:footnote w:id="35">
    <w:p w:rsidR="00F57BF9" w:rsidRPr="00C01906" w:rsidRDefault="00F57BF9" w:rsidP="00F57BF9">
      <w:pPr>
        <w:pStyle w:val="FootnoteText"/>
        <w:jc w:val="both"/>
        <w:rPr>
          <w:rFonts w:ascii="Times New Roman" w:hAnsi="Times New Roman"/>
          <w:lang w:val="en-US"/>
        </w:rPr>
      </w:pPr>
      <w:r w:rsidRPr="00C01906">
        <w:rPr>
          <w:rStyle w:val="FootnoteReference"/>
          <w:rFonts w:ascii="Times New Roman" w:hAnsi="Times New Roman"/>
          <w:lang w:val="en-US"/>
        </w:rPr>
        <w:footnoteRef/>
      </w:r>
      <w:r w:rsidRPr="00C01906">
        <w:rPr>
          <w:rFonts w:ascii="Times New Roman" w:hAnsi="Times New Roman"/>
          <w:lang w:val="en-US"/>
        </w:rPr>
        <w:t xml:space="preserve"> Metropolitan of the Greek Orthodox Church for </w:t>
      </w:r>
      <w:proofErr w:type="spellStart"/>
      <w:r w:rsidRPr="00C01906">
        <w:rPr>
          <w:rFonts w:ascii="Times New Roman" w:hAnsi="Times New Roman"/>
          <w:lang w:val="en-US"/>
        </w:rPr>
        <w:t>Kalavryta</w:t>
      </w:r>
      <w:proofErr w:type="spellEnd"/>
      <w:r w:rsidRPr="00C01906">
        <w:rPr>
          <w:rFonts w:ascii="Times New Roman" w:hAnsi="Times New Roman"/>
          <w:lang w:val="en-US"/>
        </w:rPr>
        <w:t xml:space="preserve"> </w:t>
      </w:r>
      <w:r w:rsidR="00B86A67" w:rsidRPr="00C01906">
        <w:rPr>
          <w:rFonts w:ascii="Times New Roman" w:hAnsi="Times New Roman"/>
          <w:lang w:val="en-US"/>
        </w:rPr>
        <w:t>and Aigialei</w:t>
      </w:r>
      <w:r w:rsidRPr="00C01906">
        <w:rPr>
          <w:rFonts w:ascii="Times New Roman" w:hAnsi="Times New Roman"/>
          <w:lang w:val="en-US"/>
        </w:rPr>
        <w:t xml:space="preserve"> had published a homophobic article in his personal blog, in the time when the Greek parliament examined the legislation proposed for same sex marriages and was punished by the Greek court for incitement to hate and discrimination.  </w:t>
      </w:r>
    </w:p>
  </w:footnote>
  <w:footnote w:id="36">
    <w:p w:rsidR="00F57BF9" w:rsidRPr="00C01906" w:rsidRDefault="00F57BF9" w:rsidP="00F57BF9">
      <w:pPr>
        <w:pStyle w:val="FootnoteText"/>
        <w:jc w:val="both"/>
        <w:rPr>
          <w:rFonts w:ascii="Times New Roman" w:hAnsi="Times New Roman"/>
          <w:lang w:val="en-US"/>
        </w:rPr>
      </w:pPr>
      <w:r w:rsidRPr="00C01906">
        <w:rPr>
          <w:rStyle w:val="FootnoteReference"/>
          <w:rFonts w:ascii="Times New Roman" w:hAnsi="Times New Roman"/>
          <w:lang w:val="en-US"/>
        </w:rPr>
        <w:footnoteRef/>
      </w:r>
      <w:r w:rsidRPr="00C01906">
        <w:rPr>
          <w:rFonts w:ascii="Times New Roman" w:hAnsi="Times New Roman"/>
          <w:lang w:val="en-US"/>
        </w:rPr>
        <w:t xml:space="preserve"> The applicant was declared guilty by the Swedish court for the distribution of leaflets in a high school, that were considered as humiliating for homosexuals, where  were written such declarations, as: have deviant sexual tendencies, have body deficiencies; are responsible for the  distribution of sexually transmitted illnesses. The applicant claimed that his purpose has not been to cause humiliation, but to encourage the debate for the lack of the objectiveness in the Swedish education system. </w:t>
      </w:r>
    </w:p>
  </w:footnote>
  <w:footnote w:id="37">
    <w:p w:rsidR="00F57BF9" w:rsidRPr="008D1245" w:rsidRDefault="00F57BF9" w:rsidP="00F57BF9">
      <w:pPr>
        <w:pStyle w:val="FootnoteText"/>
        <w:jc w:val="both"/>
        <w:rPr>
          <w:rFonts w:ascii="Times New Roman" w:hAnsi="Times New Roman"/>
          <w:lang w:val="en-US"/>
        </w:rPr>
      </w:pPr>
      <w:r w:rsidRPr="00C01906">
        <w:rPr>
          <w:rStyle w:val="FootnoteReference"/>
          <w:rFonts w:ascii="Times New Roman" w:hAnsi="Times New Roman"/>
          <w:lang w:val="en-US"/>
        </w:rPr>
        <w:footnoteRef/>
      </w:r>
      <w:r w:rsidRPr="00C01906">
        <w:rPr>
          <w:rFonts w:ascii="Times New Roman" w:hAnsi="Times New Roman"/>
          <w:lang w:val="en-US"/>
        </w:rPr>
        <w:t>The applicant is speaker of a parliamentary group of the left hand of the Basque separatists, who in a press conference against the mistreatment of detainees during a police operation, called the King of Spain as ‘the supreme head of Spanish armed forces,’ implying that he is a person who commands the torturers, the defendant of torture and supports the monarchic regime through torture and violence.  The applicant was punished by the Spanish courts for insulting the king, going to the ECtHR pretending to be within the framework of the freedom of expression protected by the Article 10 of the Convention.</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850435"/>
    <w:multiLevelType w:val="hybridMultilevel"/>
    <w:tmpl w:val="0532C2FA"/>
    <w:lvl w:ilvl="0" w:tplc="0409000F">
      <w:start w:val="1"/>
      <w:numFmt w:val="decimal"/>
      <w:lvlText w:val="%1."/>
      <w:lvlJc w:val="left"/>
      <w:pPr>
        <w:ind w:left="3600" w:hanging="360"/>
      </w:pPr>
    </w:lvl>
    <w:lvl w:ilvl="1" w:tplc="04090019">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
    <w:nsid w:val="162A7E70"/>
    <w:multiLevelType w:val="hybridMultilevel"/>
    <w:tmpl w:val="DBF6E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32332BC"/>
    <w:multiLevelType w:val="hybridMultilevel"/>
    <w:tmpl w:val="B0FAD7E4"/>
    <w:lvl w:ilvl="0" w:tplc="E62EFFC4">
      <w:start w:val="1"/>
      <w:numFmt w:val="bullet"/>
      <w:lvlText w:val="-"/>
      <w:lvlJc w:val="left"/>
      <w:pPr>
        <w:ind w:left="720" w:hanging="360"/>
      </w:pPr>
      <w:rPr>
        <w:rFonts w:ascii="Bookman Old Style" w:eastAsia="MS Mincho" w:hAnsi="Bookman Old Style" w:cs="Times New Roman"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8D40035"/>
    <w:multiLevelType w:val="hybridMultilevel"/>
    <w:tmpl w:val="1EAE5B70"/>
    <w:lvl w:ilvl="0" w:tplc="5296D6A0">
      <w:start w:val="1"/>
      <w:numFmt w:val="bullet"/>
      <w:lvlText w:val=""/>
      <w:lvlJc w:val="left"/>
      <w:pPr>
        <w:tabs>
          <w:tab w:val="num" w:pos="720"/>
        </w:tabs>
        <w:ind w:left="720" w:hanging="360"/>
      </w:pPr>
      <w:rPr>
        <w:rFonts w:ascii="Wingdings 3" w:hAnsi="Wingdings 3" w:hint="default"/>
      </w:rPr>
    </w:lvl>
    <w:lvl w:ilvl="1" w:tplc="7AEC4D3E" w:tentative="1">
      <w:start w:val="1"/>
      <w:numFmt w:val="bullet"/>
      <w:lvlText w:val=""/>
      <w:lvlJc w:val="left"/>
      <w:pPr>
        <w:tabs>
          <w:tab w:val="num" w:pos="1440"/>
        </w:tabs>
        <w:ind w:left="1440" w:hanging="360"/>
      </w:pPr>
      <w:rPr>
        <w:rFonts w:ascii="Wingdings 3" w:hAnsi="Wingdings 3" w:hint="default"/>
      </w:rPr>
    </w:lvl>
    <w:lvl w:ilvl="2" w:tplc="CD083F06" w:tentative="1">
      <w:start w:val="1"/>
      <w:numFmt w:val="bullet"/>
      <w:lvlText w:val=""/>
      <w:lvlJc w:val="left"/>
      <w:pPr>
        <w:tabs>
          <w:tab w:val="num" w:pos="2160"/>
        </w:tabs>
        <w:ind w:left="2160" w:hanging="360"/>
      </w:pPr>
      <w:rPr>
        <w:rFonts w:ascii="Wingdings 3" w:hAnsi="Wingdings 3" w:hint="default"/>
      </w:rPr>
    </w:lvl>
    <w:lvl w:ilvl="3" w:tplc="58FE5CA4" w:tentative="1">
      <w:start w:val="1"/>
      <w:numFmt w:val="bullet"/>
      <w:lvlText w:val=""/>
      <w:lvlJc w:val="left"/>
      <w:pPr>
        <w:tabs>
          <w:tab w:val="num" w:pos="2880"/>
        </w:tabs>
        <w:ind w:left="2880" w:hanging="360"/>
      </w:pPr>
      <w:rPr>
        <w:rFonts w:ascii="Wingdings 3" w:hAnsi="Wingdings 3" w:hint="default"/>
      </w:rPr>
    </w:lvl>
    <w:lvl w:ilvl="4" w:tplc="586A3CC4" w:tentative="1">
      <w:start w:val="1"/>
      <w:numFmt w:val="bullet"/>
      <w:lvlText w:val=""/>
      <w:lvlJc w:val="left"/>
      <w:pPr>
        <w:tabs>
          <w:tab w:val="num" w:pos="3600"/>
        </w:tabs>
        <w:ind w:left="3600" w:hanging="360"/>
      </w:pPr>
      <w:rPr>
        <w:rFonts w:ascii="Wingdings 3" w:hAnsi="Wingdings 3" w:hint="default"/>
      </w:rPr>
    </w:lvl>
    <w:lvl w:ilvl="5" w:tplc="987C5364" w:tentative="1">
      <w:start w:val="1"/>
      <w:numFmt w:val="bullet"/>
      <w:lvlText w:val=""/>
      <w:lvlJc w:val="left"/>
      <w:pPr>
        <w:tabs>
          <w:tab w:val="num" w:pos="4320"/>
        </w:tabs>
        <w:ind w:left="4320" w:hanging="360"/>
      </w:pPr>
      <w:rPr>
        <w:rFonts w:ascii="Wingdings 3" w:hAnsi="Wingdings 3" w:hint="default"/>
      </w:rPr>
    </w:lvl>
    <w:lvl w:ilvl="6" w:tplc="9142332C" w:tentative="1">
      <w:start w:val="1"/>
      <w:numFmt w:val="bullet"/>
      <w:lvlText w:val=""/>
      <w:lvlJc w:val="left"/>
      <w:pPr>
        <w:tabs>
          <w:tab w:val="num" w:pos="5040"/>
        </w:tabs>
        <w:ind w:left="5040" w:hanging="360"/>
      </w:pPr>
      <w:rPr>
        <w:rFonts w:ascii="Wingdings 3" w:hAnsi="Wingdings 3" w:hint="default"/>
      </w:rPr>
    </w:lvl>
    <w:lvl w:ilvl="7" w:tplc="82A0C79A" w:tentative="1">
      <w:start w:val="1"/>
      <w:numFmt w:val="bullet"/>
      <w:lvlText w:val=""/>
      <w:lvlJc w:val="left"/>
      <w:pPr>
        <w:tabs>
          <w:tab w:val="num" w:pos="5760"/>
        </w:tabs>
        <w:ind w:left="5760" w:hanging="360"/>
      </w:pPr>
      <w:rPr>
        <w:rFonts w:ascii="Wingdings 3" w:hAnsi="Wingdings 3" w:hint="default"/>
      </w:rPr>
    </w:lvl>
    <w:lvl w:ilvl="8" w:tplc="D33AF71C" w:tentative="1">
      <w:start w:val="1"/>
      <w:numFmt w:val="bullet"/>
      <w:lvlText w:val=""/>
      <w:lvlJc w:val="left"/>
      <w:pPr>
        <w:tabs>
          <w:tab w:val="num" w:pos="6480"/>
        </w:tabs>
        <w:ind w:left="6480" w:hanging="360"/>
      </w:pPr>
      <w:rPr>
        <w:rFonts w:ascii="Wingdings 3" w:hAnsi="Wingdings 3" w:hint="default"/>
      </w:rPr>
    </w:lvl>
  </w:abstractNum>
  <w:abstractNum w:abstractNumId="4">
    <w:nsid w:val="2B4D5B75"/>
    <w:multiLevelType w:val="hybridMultilevel"/>
    <w:tmpl w:val="A156D576"/>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362A37E0"/>
    <w:multiLevelType w:val="hybridMultilevel"/>
    <w:tmpl w:val="9592B13E"/>
    <w:lvl w:ilvl="0" w:tplc="4D08AC4A">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6EE7EEB"/>
    <w:multiLevelType w:val="multilevel"/>
    <w:tmpl w:val="9F12E904"/>
    <w:lvl w:ilvl="0">
      <w:start w:val="1"/>
      <w:numFmt w:val="decimal"/>
      <w:lvlText w:val="%1."/>
      <w:lvlJc w:val="left"/>
      <w:pPr>
        <w:tabs>
          <w:tab w:val="num" w:pos="1080"/>
        </w:tabs>
        <w:ind w:left="1080" w:hanging="360"/>
      </w:pPr>
      <w:rPr>
        <w:rFonts w:hint="default"/>
        <w:sz w:val="20"/>
      </w:rPr>
    </w:lvl>
    <w:lvl w:ilvl="1">
      <w:start w:val="1"/>
      <w:numFmt w:val="decimal"/>
      <w:lvlText w:val="%2)"/>
      <w:lvlJc w:val="left"/>
      <w:pPr>
        <w:ind w:left="1800" w:hanging="360"/>
      </w:pPr>
      <w:rPr>
        <w:rFonts w:hint="default"/>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7">
    <w:nsid w:val="3ED22D26"/>
    <w:multiLevelType w:val="hybridMultilevel"/>
    <w:tmpl w:val="849E15AC"/>
    <w:lvl w:ilvl="0" w:tplc="4D08AC4A">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BF67268"/>
    <w:multiLevelType w:val="hybridMultilevel"/>
    <w:tmpl w:val="7EF4C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6000BA9"/>
    <w:multiLevelType w:val="hybridMultilevel"/>
    <w:tmpl w:val="6930F4A8"/>
    <w:lvl w:ilvl="0" w:tplc="26120B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309613B"/>
    <w:multiLevelType w:val="hybridMultilevel"/>
    <w:tmpl w:val="36BEA7B4"/>
    <w:lvl w:ilvl="0" w:tplc="041C000B">
      <w:start w:val="1"/>
      <w:numFmt w:val="bullet"/>
      <w:lvlText w:val=""/>
      <w:lvlJc w:val="left"/>
      <w:pPr>
        <w:ind w:left="1080" w:hanging="360"/>
      </w:pPr>
      <w:rPr>
        <w:rFonts w:ascii="Wingdings" w:hAnsi="Wingdings" w:hint="default"/>
      </w:rPr>
    </w:lvl>
    <w:lvl w:ilvl="1" w:tplc="041C0003">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11">
    <w:nsid w:val="78150CC6"/>
    <w:multiLevelType w:val="multilevel"/>
    <w:tmpl w:val="E1FE9356"/>
    <w:lvl w:ilvl="0">
      <w:start w:val="1"/>
      <w:numFmt w:val="bullet"/>
      <w:lvlText w:val=""/>
      <w:lvlJc w:val="left"/>
      <w:pPr>
        <w:tabs>
          <w:tab w:val="num" w:pos="1080"/>
        </w:tabs>
        <w:ind w:left="1080" w:hanging="360"/>
      </w:pPr>
      <w:rPr>
        <w:rFonts w:ascii="Symbol" w:hAnsi="Symbol" w:hint="default"/>
        <w:sz w:val="20"/>
      </w:rPr>
    </w:lvl>
    <w:lvl w:ilvl="1">
      <w:start w:val="1"/>
      <w:numFmt w:val="decimal"/>
      <w:lvlText w:val="%2)"/>
      <w:lvlJc w:val="left"/>
      <w:pPr>
        <w:ind w:left="1800" w:hanging="360"/>
      </w:pPr>
      <w:rPr>
        <w:rFonts w:hint="default"/>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num w:numId="1">
    <w:abstractNumId w:val="11"/>
  </w:num>
  <w:num w:numId="2">
    <w:abstractNumId w:val="0"/>
  </w:num>
  <w:num w:numId="3">
    <w:abstractNumId w:val="4"/>
  </w:num>
  <w:num w:numId="4">
    <w:abstractNumId w:val="5"/>
  </w:num>
  <w:num w:numId="5">
    <w:abstractNumId w:val="7"/>
  </w:num>
  <w:num w:numId="6">
    <w:abstractNumId w:val="8"/>
  </w:num>
  <w:num w:numId="7">
    <w:abstractNumId w:val="6"/>
  </w:num>
  <w:num w:numId="8">
    <w:abstractNumId w:val="9"/>
  </w:num>
  <w:num w:numId="9">
    <w:abstractNumId w:val="3"/>
  </w:num>
  <w:num w:numId="10">
    <w:abstractNumId w:val="10"/>
  </w:num>
  <w:num w:numId="11">
    <w:abstractNumId w:val="2"/>
  </w:num>
  <w:num w:numId="1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proofState w:spelling="clean" w:grammar="clean"/>
  <w:defaultTabStop w:val="720"/>
  <w:characterSpacingControl w:val="doNotCompress"/>
  <w:footnotePr>
    <w:footnote w:id="-1"/>
    <w:footnote w:id="0"/>
  </w:footnotePr>
  <w:endnotePr>
    <w:endnote w:id="-1"/>
    <w:endnote w:id="0"/>
  </w:endnotePr>
  <w:compat/>
  <w:rsids>
    <w:rsidRoot w:val="00674492"/>
    <w:rsid w:val="00000819"/>
    <w:rsid w:val="00005DC6"/>
    <w:rsid w:val="0001063B"/>
    <w:rsid w:val="00011FDA"/>
    <w:rsid w:val="000145A8"/>
    <w:rsid w:val="00016C76"/>
    <w:rsid w:val="000268E5"/>
    <w:rsid w:val="00032FF8"/>
    <w:rsid w:val="00042E53"/>
    <w:rsid w:val="000457A3"/>
    <w:rsid w:val="000506D6"/>
    <w:rsid w:val="00051B06"/>
    <w:rsid w:val="0005243A"/>
    <w:rsid w:val="00054624"/>
    <w:rsid w:val="00056478"/>
    <w:rsid w:val="00062C66"/>
    <w:rsid w:val="00067B67"/>
    <w:rsid w:val="0007270D"/>
    <w:rsid w:val="00075B13"/>
    <w:rsid w:val="00075D0C"/>
    <w:rsid w:val="00077BDA"/>
    <w:rsid w:val="0008393E"/>
    <w:rsid w:val="00093243"/>
    <w:rsid w:val="000957DD"/>
    <w:rsid w:val="000A24C1"/>
    <w:rsid w:val="000A5575"/>
    <w:rsid w:val="000A620C"/>
    <w:rsid w:val="000A670A"/>
    <w:rsid w:val="000A6CEF"/>
    <w:rsid w:val="000B0263"/>
    <w:rsid w:val="000B032F"/>
    <w:rsid w:val="000B79FA"/>
    <w:rsid w:val="000B7F34"/>
    <w:rsid w:val="000C057E"/>
    <w:rsid w:val="000C3E81"/>
    <w:rsid w:val="000C4B15"/>
    <w:rsid w:val="000C5796"/>
    <w:rsid w:val="000C6A9B"/>
    <w:rsid w:val="000D13D7"/>
    <w:rsid w:val="000D55A1"/>
    <w:rsid w:val="000D6077"/>
    <w:rsid w:val="000D79A3"/>
    <w:rsid w:val="000E0314"/>
    <w:rsid w:val="000E08FD"/>
    <w:rsid w:val="000E4F00"/>
    <w:rsid w:val="000E68F4"/>
    <w:rsid w:val="000E6DAE"/>
    <w:rsid w:val="000E6FD2"/>
    <w:rsid w:val="000F20A3"/>
    <w:rsid w:val="000F5604"/>
    <w:rsid w:val="00103EEE"/>
    <w:rsid w:val="00106E9E"/>
    <w:rsid w:val="00110415"/>
    <w:rsid w:val="0011063B"/>
    <w:rsid w:val="00111852"/>
    <w:rsid w:val="00111A52"/>
    <w:rsid w:val="00112385"/>
    <w:rsid w:val="00127393"/>
    <w:rsid w:val="00130AB1"/>
    <w:rsid w:val="0013115E"/>
    <w:rsid w:val="00142467"/>
    <w:rsid w:val="00143B07"/>
    <w:rsid w:val="00150F01"/>
    <w:rsid w:val="00153E38"/>
    <w:rsid w:val="00154D30"/>
    <w:rsid w:val="00155951"/>
    <w:rsid w:val="00156757"/>
    <w:rsid w:val="00160980"/>
    <w:rsid w:val="00163BAA"/>
    <w:rsid w:val="00164843"/>
    <w:rsid w:val="001734C6"/>
    <w:rsid w:val="00173A38"/>
    <w:rsid w:val="0017563C"/>
    <w:rsid w:val="0018023F"/>
    <w:rsid w:val="00180CD8"/>
    <w:rsid w:val="00181195"/>
    <w:rsid w:val="00181F49"/>
    <w:rsid w:val="0018480F"/>
    <w:rsid w:val="00185B0F"/>
    <w:rsid w:val="00190E4F"/>
    <w:rsid w:val="00195CFE"/>
    <w:rsid w:val="001A42F7"/>
    <w:rsid w:val="001A7826"/>
    <w:rsid w:val="001B00EF"/>
    <w:rsid w:val="001B03A7"/>
    <w:rsid w:val="001B0AD3"/>
    <w:rsid w:val="001B5B47"/>
    <w:rsid w:val="001D0BB7"/>
    <w:rsid w:val="001D3A9B"/>
    <w:rsid w:val="001E2E31"/>
    <w:rsid w:val="001F1EF3"/>
    <w:rsid w:val="001F38ED"/>
    <w:rsid w:val="00200662"/>
    <w:rsid w:val="00201238"/>
    <w:rsid w:val="00203D15"/>
    <w:rsid w:val="00207491"/>
    <w:rsid w:val="002120D8"/>
    <w:rsid w:val="00212866"/>
    <w:rsid w:val="00217ED1"/>
    <w:rsid w:val="002223DA"/>
    <w:rsid w:val="00224DD9"/>
    <w:rsid w:val="00227543"/>
    <w:rsid w:val="00231AD6"/>
    <w:rsid w:val="00236852"/>
    <w:rsid w:val="002379B6"/>
    <w:rsid w:val="00242446"/>
    <w:rsid w:val="00242E83"/>
    <w:rsid w:val="0025410E"/>
    <w:rsid w:val="00254679"/>
    <w:rsid w:val="00260FF5"/>
    <w:rsid w:val="00265EA9"/>
    <w:rsid w:val="002667A4"/>
    <w:rsid w:val="00266DE4"/>
    <w:rsid w:val="00271BF7"/>
    <w:rsid w:val="00273122"/>
    <w:rsid w:val="002764E7"/>
    <w:rsid w:val="00283350"/>
    <w:rsid w:val="0028498D"/>
    <w:rsid w:val="00286A54"/>
    <w:rsid w:val="00287704"/>
    <w:rsid w:val="00287A5A"/>
    <w:rsid w:val="00290693"/>
    <w:rsid w:val="00292382"/>
    <w:rsid w:val="00292721"/>
    <w:rsid w:val="00293ED8"/>
    <w:rsid w:val="002967A2"/>
    <w:rsid w:val="00297AC1"/>
    <w:rsid w:val="002A1794"/>
    <w:rsid w:val="002A7056"/>
    <w:rsid w:val="002B3F6D"/>
    <w:rsid w:val="002B4891"/>
    <w:rsid w:val="002B6AF2"/>
    <w:rsid w:val="002B7693"/>
    <w:rsid w:val="002C119D"/>
    <w:rsid w:val="002C366C"/>
    <w:rsid w:val="002C6B8F"/>
    <w:rsid w:val="002C756C"/>
    <w:rsid w:val="002D7883"/>
    <w:rsid w:val="002D7FB2"/>
    <w:rsid w:val="002E2BD1"/>
    <w:rsid w:val="002E3010"/>
    <w:rsid w:val="002E3621"/>
    <w:rsid w:val="002E5974"/>
    <w:rsid w:val="002E7497"/>
    <w:rsid w:val="002F0BB2"/>
    <w:rsid w:val="002F1CBC"/>
    <w:rsid w:val="003005C6"/>
    <w:rsid w:val="00304DF4"/>
    <w:rsid w:val="00306B41"/>
    <w:rsid w:val="0030717C"/>
    <w:rsid w:val="00310349"/>
    <w:rsid w:val="00310BCD"/>
    <w:rsid w:val="00317BC0"/>
    <w:rsid w:val="0032391B"/>
    <w:rsid w:val="00330DD9"/>
    <w:rsid w:val="00331799"/>
    <w:rsid w:val="00333965"/>
    <w:rsid w:val="00334C59"/>
    <w:rsid w:val="00334F63"/>
    <w:rsid w:val="003417B2"/>
    <w:rsid w:val="00353343"/>
    <w:rsid w:val="0035486E"/>
    <w:rsid w:val="00356E5F"/>
    <w:rsid w:val="00361AB0"/>
    <w:rsid w:val="00365316"/>
    <w:rsid w:val="0036609D"/>
    <w:rsid w:val="0036636C"/>
    <w:rsid w:val="0036703A"/>
    <w:rsid w:val="003707BB"/>
    <w:rsid w:val="00375012"/>
    <w:rsid w:val="00375AF4"/>
    <w:rsid w:val="00376267"/>
    <w:rsid w:val="00376FF4"/>
    <w:rsid w:val="00377820"/>
    <w:rsid w:val="0038265B"/>
    <w:rsid w:val="00385340"/>
    <w:rsid w:val="00392FA3"/>
    <w:rsid w:val="003948AC"/>
    <w:rsid w:val="00395139"/>
    <w:rsid w:val="00395DF2"/>
    <w:rsid w:val="003A5C3A"/>
    <w:rsid w:val="003A5D11"/>
    <w:rsid w:val="003B1936"/>
    <w:rsid w:val="003C38F0"/>
    <w:rsid w:val="003C4750"/>
    <w:rsid w:val="003C4EA2"/>
    <w:rsid w:val="003C6CA8"/>
    <w:rsid w:val="003C7173"/>
    <w:rsid w:val="003C763F"/>
    <w:rsid w:val="003D2F62"/>
    <w:rsid w:val="003D3E65"/>
    <w:rsid w:val="003D44B6"/>
    <w:rsid w:val="003D5FD8"/>
    <w:rsid w:val="003D63E1"/>
    <w:rsid w:val="003D69DC"/>
    <w:rsid w:val="003E0E58"/>
    <w:rsid w:val="003E6183"/>
    <w:rsid w:val="003F3329"/>
    <w:rsid w:val="003F5765"/>
    <w:rsid w:val="00400F2D"/>
    <w:rsid w:val="00402BA7"/>
    <w:rsid w:val="0040562B"/>
    <w:rsid w:val="00422F4D"/>
    <w:rsid w:val="0042463D"/>
    <w:rsid w:val="00427B67"/>
    <w:rsid w:val="0043187E"/>
    <w:rsid w:val="00432500"/>
    <w:rsid w:val="00435F16"/>
    <w:rsid w:val="00437044"/>
    <w:rsid w:val="00437882"/>
    <w:rsid w:val="00437AD0"/>
    <w:rsid w:val="00437BA5"/>
    <w:rsid w:val="004438F4"/>
    <w:rsid w:val="00447B63"/>
    <w:rsid w:val="00454809"/>
    <w:rsid w:val="00460468"/>
    <w:rsid w:val="004622C5"/>
    <w:rsid w:val="00464184"/>
    <w:rsid w:val="004669DE"/>
    <w:rsid w:val="004727F3"/>
    <w:rsid w:val="00472D7F"/>
    <w:rsid w:val="004735B6"/>
    <w:rsid w:val="00474FD9"/>
    <w:rsid w:val="00475A96"/>
    <w:rsid w:val="00480784"/>
    <w:rsid w:val="0048088C"/>
    <w:rsid w:val="00481D33"/>
    <w:rsid w:val="00484C09"/>
    <w:rsid w:val="00487C4B"/>
    <w:rsid w:val="004972D9"/>
    <w:rsid w:val="004A401D"/>
    <w:rsid w:val="004B3677"/>
    <w:rsid w:val="004B3F78"/>
    <w:rsid w:val="004B4C23"/>
    <w:rsid w:val="004B6B00"/>
    <w:rsid w:val="004C2D64"/>
    <w:rsid w:val="004C47EC"/>
    <w:rsid w:val="004C5087"/>
    <w:rsid w:val="004D0F53"/>
    <w:rsid w:val="004D3BF9"/>
    <w:rsid w:val="004E15DA"/>
    <w:rsid w:val="004E4019"/>
    <w:rsid w:val="004E4AAE"/>
    <w:rsid w:val="004E5A30"/>
    <w:rsid w:val="004E660C"/>
    <w:rsid w:val="004F653E"/>
    <w:rsid w:val="00500160"/>
    <w:rsid w:val="0050343D"/>
    <w:rsid w:val="005043DA"/>
    <w:rsid w:val="00504A18"/>
    <w:rsid w:val="005063F5"/>
    <w:rsid w:val="0051288A"/>
    <w:rsid w:val="00515399"/>
    <w:rsid w:val="00523E89"/>
    <w:rsid w:val="00531882"/>
    <w:rsid w:val="00531CFA"/>
    <w:rsid w:val="00535DE0"/>
    <w:rsid w:val="00545EF5"/>
    <w:rsid w:val="00550B38"/>
    <w:rsid w:val="0055250C"/>
    <w:rsid w:val="00556BE6"/>
    <w:rsid w:val="00565C24"/>
    <w:rsid w:val="005700F4"/>
    <w:rsid w:val="00570B59"/>
    <w:rsid w:val="005717E7"/>
    <w:rsid w:val="00572247"/>
    <w:rsid w:val="005728A0"/>
    <w:rsid w:val="00573E2F"/>
    <w:rsid w:val="005749B8"/>
    <w:rsid w:val="00574E21"/>
    <w:rsid w:val="00577C6C"/>
    <w:rsid w:val="0058270C"/>
    <w:rsid w:val="00583504"/>
    <w:rsid w:val="00590030"/>
    <w:rsid w:val="005968B4"/>
    <w:rsid w:val="005A1D43"/>
    <w:rsid w:val="005A2800"/>
    <w:rsid w:val="005A2DFC"/>
    <w:rsid w:val="005A405D"/>
    <w:rsid w:val="005C03D4"/>
    <w:rsid w:val="005D08AA"/>
    <w:rsid w:val="005D2348"/>
    <w:rsid w:val="005D6E94"/>
    <w:rsid w:val="005D6EF5"/>
    <w:rsid w:val="005D732D"/>
    <w:rsid w:val="005D7DCB"/>
    <w:rsid w:val="005D7EF0"/>
    <w:rsid w:val="005E152B"/>
    <w:rsid w:val="005E2809"/>
    <w:rsid w:val="005E7A40"/>
    <w:rsid w:val="005F6572"/>
    <w:rsid w:val="006031A0"/>
    <w:rsid w:val="00606F9E"/>
    <w:rsid w:val="00617E93"/>
    <w:rsid w:val="0062291F"/>
    <w:rsid w:val="0062355A"/>
    <w:rsid w:val="00627066"/>
    <w:rsid w:val="006300D4"/>
    <w:rsid w:val="00634694"/>
    <w:rsid w:val="006347AE"/>
    <w:rsid w:val="0064377E"/>
    <w:rsid w:val="006447F9"/>
    <w:rsid w:val="0064498E"/>
    <w:rsid w:val="00646B48"/>
    <w:rsid w:val="006533C9"/>
    <w:rsid w:val="00653416"/>
    <w:rsid w:val="00654462"/>
    <w:rsid w:val="00656EB6"/>
    <w:rsid w:val="0065724E"/>
    <w:rsid w:val="0066186E"/>
    <w:rsid w:val="00667D0B"/>
    <w:rsid w:val="00671930"/>
    <w:rsid w:val="006727CA"/>
    <w:rsid w:val="00674492"/>
    <w:rsid w:val="00675F76"/>
    <w:rsid w:val="00677416"/>
    <w:rsid w:val="0069082D"/>
    <w:rsid w:val="00693E97"/>
    <w:rsid w:val="006943A0"/>
    <w:rsid w:val="00695F77"/>
    <w:rsid w:val="006A4FF9"/>
    <w:rsid w:val="006B1A97"/>
    <w:rsid w:val="006B48D5"/>
    <w:rsid w:val="006B541D"/>
    <w:rsid w:val="006B55A5"/>
    <w:rsid w:val="006B6C39"/>
    <w:rsid w:val="006C5B00"/>
    <w:rsid w:val="006C67F1"/>
    <w:rsid w:val="006D263B"/>
    <w:rsid w:val="006D51EE"/>
    <w:rsid w:val="006E6775"/>
    <w:rsid w:val="006F25E0"/>
    <w:rsid w:val="006F2DF7"/>
    <w:rsid w:val="006F7BF7"/>
    <w:rsid w:val="00704494"/>
    <w:rsid w:val="007061DC"/>
    <w:rsid w:val="00716E1D"/>
    <w:rsid w:val="00717505"/>
    <w:rsid w:val="00717622"/>
    <w:rsid w:val="00720894"/>
    <w:rsid w:val="00721762"/>
    <w:rsid w:val="007217FE"/>
    <w:rsid w:val="007259B0"/>
    <w:rsid w:val="00736194"/>
    <w:rsid w:val="00747AF6"/>
    <w:rsid w:val="00750669"/>
    <w:rsid w:val="00750AB1"/>
    <w:rsid w:val="007556DB"/>
    <w:rsid w:val="007634BE"/>
    <w:rsid w:val="00780BF2"/>
    <w:rsid w:val="007872CB"/>
    <w:rsid w:val="00787832"/>
    <w:rsid w:val="00792D0B"/>
    <w:rsid w:val="00796195"/>
    <w:rsid w:val="007A5FE2"/>
    <w:rsid w:val="007A6A8F"/>
    <w:rsid w:val="007B11A2"/>
    <w:rsid w:val="007B2003"/>
    <w:rsid w:val="007B27BA"/>
    <w:rsid w:val="007B4179"/>
    <w:rsid w:val="007B6AE8"/>
    <w:rsid w:val="007B6EA0"/>
    <w:rsid w:val="007C0173"/>
    <w:rsid w:val="007C084B"/>
    <w:rsid w:val="007C2FE2"/>
    <w:rsid w:val="007C3DD8"/>
    <w:rsid w:val="007C5898"/>
    <w:rsid w:val="007C6D50"/>
    <w:rsid w:val="007D0071"/>
    <w:rsid w:val="007D06E4"/>
    <w:rsid w:val="007D1687"/>
    <w:rsid w:val="007D525B"/>
    <w:rsid w:val="007D6172"/>
    <w:rsid w:val="007E494D"/>
    <w:rsid w:val="007E4F27"/>
    <w:rsid w:val="007E58EF"/>
    <w:rsid w:val="007E6E4A"/>
    <w:rsid w:val="007F319F"/>
    <w:rsid w:val="007F388B"/>
    <w:rsid w:val="007F4D04"/>
    <w:rsid w:val="00802260"/>
    <w:rsid w:val="008117E8"/>
    <w:rsid w:val="00813DF0"/>
    <w:rsid w:val="00814CA2"/>
    <w:rsid w:val="00820F2D"/>
    <w:rsid w:val="00821743"/>
    <w:rsid w:val="008241D9"/>
    <w:rsid w:val="00827957"/>
    <w:rsid w:val="0083155D"/>
    <w:rsid w:val="008327AB"/>
    <w:rsid w:val="00834D4C"/>
    <w:rsid w:val="0083726E"/>
    <w:rsid w:val="008427A5"/>
    <w:rsid w:val="008568D6"/>
    <w:rsid w:val="00860090"/>
    <w:rsid w:val="0086248E"/>
    <w:rsid w:val="008651B6"/>
    <w:rsid w:val="00865BDA"/>
    <w:rsid w:val="00866799"/>
    <w:rsid w:val="0087017E"/>
    <w:rsid w:val="00870C6E"/>
    <w:rsid w:val="0087323A"/>
    <w:rsid w:val="008742D9"/>
    <w:rsid w:val="0087599B"/>
    <w:rsid w:val="008768F9"/>
    <w:rsid w:val="008779D7"/>
    <w:rsid w:val="00877F30"/>
    <w:rsid w:val="008824D3"/>
    <w:rsid w:val="008837DF"/>
    <w:rsid w:val="0088447F"/>
    <w:rsid w:val="0088451A"/>
    <w:rsid w:val="008853D5"/>
    <w:rsid w:val="0088604A"/>
    <w:rsid w:val="0089009A"/>
    <w:rsid w:val="0089038B"/>
    <w:rsid w:val="0089627D"/>
    <w:rsid w:val="00896A37"/>
    <w:rsid w:val="00897DA6"/>
    <w:rsid w:val="00897F82"/>
    <w:rsid w:val="008A1C17"/>
    <w:rsid w:val="008A4A14"/>
    <w:rsid w:val="008A6F04"/>
    <w:rsid w:val="008C2A88"/>
    <w:rsid w:val="008C2F1C"/>
    <w:rsid w:val="008C4405"/>
    <w:rsid w:val="008C6E99"/>
    <w:rsid w:val="008D05CC"/>
    <w:rsid w:val="008D11A1"/>
    <w:rsid w:val="008D1245"/>
    <w:rsid w:val="008D12A8"/>
    <w:rsid w:val="008D211A"/>
    <w:rsid w:val="008D5C27"/>
    <w:rsid w:val="008D6B62"/>
    <w:rsid w:val="008D7A59"/>
    <w:rsid w:val="008E1FAE"/>
    <w:rsid w:val="008E3634"/>
    <w:rsid w:val="008E40B1"/>
    <w:rsid w:val="008E426E"/>
    <w:rsid w:val="008F1474"/>
    <w:rsid w:val="008F7E1E"/>
    <w:rsid w:val="00900B46"/>
    <w:rsid w:val="00912ADC"/>
    <w:rsid w:val="00914C44"/>
    <w:rsid w:val="0091616A"/>
    <w:rsid w:val="0092556C"/>
    <w:rsid w:val="00937F19"/>
    <w:rsid w:val="00942019"/>
    <w:rsid w:val="00943A19"/>
    <w:rsid w:val="00943EEB"/>
    <w:rsid w:val="00952310"/>
    <w:rsid w:val="00955957"/>
    <w:rsid w:val="00960045"/>
    <w:rsid w:val="00961188"/>
    <w:rsid w:val="009638AB"/>
    <w:rsid w:val="00966144"/>
    <w:rsid w:val="00967E04"/>
    <w:rsid w:val="00970138"/>
    <w:rsid w:val="00971BAA"/>
    <w:rsid w:val="00973FFA"/>
    <w:rsid w:val="00980B3C"/>
    <w:rsid w:val="00985525"/>
    <w:rsid w:val="00985E04"/>
    <w:rsid w:val="009902CF"/>
    <w:rsid w:val="009939B2"/>
    <w:rsid w:val="0099701C"/>
    <w:rsid w:val="009A0083"/>
    <w:rsid w:val="009A0864"/>
    <w:rsid w:val="009A1DC4"/>
    <w:rsid w:val="009A2636"/>
    <w:rsid w:val="009A4FE8"/>
    <w:rsid w:val="009B0E3A"/>
    <w:rsid w:val="009C0653"/>
    <w:rsid w:val="009C1694"/>
    <w:rsid w:val="009C2A1E"/>
    <w:rsid w:val="009C5BC9"/>
    <w:rsid w:val="009C7BB6"/>
    <w:rsid w:val="009D03B1"/>
    <w:rsid w:val="009D1E88"/>
    <w:rsid w:val="009D3261"/>
    <w:rsid w:val="009D395E"/>
    <w:rsid w:val="009E0431"/>
    <w:rsid w:val="00A07075"/>
    <w:rsid w:val="00A071A2"/>
    <w:rsid w:val="00A1084D"/>
    <w:rsid w:val="00A121AA"/>
    <w:rsid w:val="00A1248C"/>
    <w:rsid w:val="00A12AE8"/>
    <w:rsid w:val="00A149C1"/>
    <w:rsid w:val="00A17B6D"/>
    <w:rsid w:val="00A17E46"/>
    <w:rsid w:val="00A21582"/>
    <w:rsid w:val="00A216D2"/>
    <w:rsid w:val="00A22148"/>
    <w:rsid w:val="00A22A35"/>
    <w:rsid w:val="00A230D0"/>
    <w:rsid w:val="00A2508B"/>
    <w:rsid w:val="00A25261"/>
    <w:rsid w:val="00A42D79"/>
    <w:rsid w:val="00A42DA5"/>
    <w:rsid w:val="00A44E74"/>
    <w:rsid w:val="00A4721B"/>
    <w:rsid w:val="00A52796"/>
    <w:rsid w:val="00A558D3"/>
    <w:rsid w:val="00A56588"/>
    <w:rsid w:val="00A57093"/>
    <w:rsid w:val="00A65A85"/>
    <w:rsid w:val="00A67A14"/>
    <w:rsid w:val="00A67EDC"/>
    <w:rsid w:val="00A7137D"/>
    <w:rsid w:val="00A730EA"/>
    <w:rsid w:val="00A76239"/>
    <w:rsid w:val="00A921A7"/>
    <w:rsid w:val="00A92531"/>
    <w:rsid w:val="00A948A7"/>
    <w:rsid w:val="00AA2108"/>
    <w:rsid w:val="00AA2AD0"/>
    <w:rsid w:val="00AA5030"/>
    <w:rsid w:val="00AA61B8"/>
    <w:rsid w:val="00AA63E0"/>
    <w:rsid w:val="00AB2434"/>
    <w:rsid w:val="00AB2CAC"/>
    <w:rsid w:val="00AC055D"/>
    <w:rsid w:val="00AC0B48"/>
    <w:rsid w:val="00AC6CF3"/>
    <w:rsid w:val="00AE3241"/>
    <w:rsid w:val="00AE45A9"/>
    <w:rsid w:val="00AE7BD2"/>
    <w:rsid w:val="00AF013E"/>
    <w:rsid w:val="00AF69D9"/>
    <w:rsid w:val="00B002E7"/>
    <w:rsid w:val="00B02840"/>
    <w:rsid w:val="00B04714"/>
    <w:rsid w:val="00B10B7B"/>
    <w:rsid w:val="00B11973"/>
    <w:rsid w:val="00B11B65"/>
    <w:rsid w:val="00B11E51"/>
    <w:rsid w:val="00B12841"/>
    <w:rsid w:val="00B16388"/>
    <w:rsid w:val="00B174B1"/>
    <w:rsid w:val="00B20BEA"/>
    <w:rsid w:val="00B20D78"/>
    <w:rsid w:val="00B26975"/>
    <w:rsid w:val="00B37C4F"/>
    <w:rsid w:val="00B37E35"/>
    <w:rsid w:val="00B43E92"/>
    <w:rsid w:val="00B4583A"/>
    <w:rsid w:val="00B51D9E"/>
    <w:rsid w:val="00B637B7"/>
    <w:rsid w:val="00B63813"/>
    <w:rsid w:val="00B64D6F"/>
    <w:rsid w:val="00B701B4"/>
    <w:rsid w:val="00B704B0"/>
    <w:rsid w:val="00B70A69"/>
    <w:rsid w:val="00B713AB"/>
    <w:rsid w:val="00B73BA9"/>
    <w:rsid w:val="00B755E2"/>
    <w:rsid w:val="00B76BF1"/>
    <w:rsid w:val="00B774A3"/>
    <w:rsid w:val="00B869E8"/>
    <w:rsid w:val="00B86A67"/>
    <w:rsid w:val="00B87D12"/>
    <w:rsid w:val="00B9259E"/>
    <w:rsid w:val="00B95E60"/>
    <w:rsid w:val="00B96858"/>
    <w:rsid w:val="00B96A38"/>
    <w:rsid w:val="00B96C4D"/>
    <w:rsid w:val="00BA2576"/>
    <w:rsid w:val="00BA3FCF"/>
    <w:rsid w:val="00BB2856"/>
    <w:rsid w:val="00BB62DD"/>
    <w:rsid w:val="00BB7739"/>
    <w:rsid w:val="00BC327A"/>
    <w:rsid w:val="00BC38C8"/>
    <w:rsid w:val="00BC4228"/>
    <w:rsid w:val="00BC5316"/>
    <w:rsid w:val="00BC77AF"/>
    <w:rsid w:val="00BD09D0"/>
    <w:rsid w:val="00BD36CA"/>
    <w:rsid w:val="00BE3699"/>
    <w:rsid w:val="00BE6730"/>
    <w:rsid w:val="00BF3935"/>
    <w:rsid w:val="00BF53D3"/>
    <w:rsid w:val="00BF6222"/>
    <w:rsid w:val="00C010CB"/>
    <w:rsid w:val="00C01906"/>
    <w:rsid w:val="00C036BD"/>
    <w:rsid w:val="00C03FD8"/>
    <w:rsid w:val="00C05557"/>
    <w:rsid w:val="00C11D32"/>
    <w:rsid w:val="00C17760"/>
    <w:rsid w:val="00C216AD"/>
    <w:rsid w:val="00C21BBD"/>
    <w:rsid w:val="00C26CC8"/>
    <w:rsid w:val="00C274E9"/>
    <w:rsid w:val="00C33D22"/>
    <w:rsid w:val="00C37828"/>
    <w:rsid w:val="00C4459B"/>
    <w:rsid w:val="00C50636"/>
    <w:rsid w:val="00C53F42"/>
    <w:rsid w:val="00C56E41"/>
    <w:rsid w:val="00C60DF1"/>
    <w:rsid w:val="00C62D6C"/>
    <w:rsid w:val="00C668F0"/>
    <w:rsid w:val="00C7056D"/>
    <w:rsid w:val="00C73665"/>
    <w:rsid w:val="00C83318"/>
    <w:rsid w:val="00C9293C"/>
    <w:rsid w:val="00C95394"/>
    <w:rsid w:val="00C97531"/>
    <w:rsid w:val="00C9790F"/>
    <w:rsid w:val="00CA29CE"/>
    <w:rsid w:val="00CA427E"/>
    <w:rsid w:val="00CA689F"/>
    <w:rsid w:val="00CB0BD7"/>
    <w:rsid w:val="00CB42E1"/>
    <w:rsid w:val="00CB686B"/>
    <w:rsid w:val="00CC4CAA"/>
    <w:rsid w:val="00CC5EC8"/>
    <w:rsid w:val="00CC7060"/>
    <w:rsid w:val="00CC7421"/>
    <w:rsid w:val="00CC793D"/>
    <w:rsid w:val="00CD5A1F"/>
    <w:rsid w:val="00CE07B2"/>
    <w:rsid w:val="00CE31F2"/>
    <w:rsid w:val="00CE3EE8"/>
    <w:rsid w:val="00CE749E"/>
    <w:rsid w:val="00CF271C"/>
    <w:rsid w:val="00CF3909"/>
    <w:rsid w:val="00CF58D8"/>
    <w:rsid w:val="00CF624D"/>
    <w:rsid w:val="00D0368F"/>
    <w:rsid w:val="00D05448"/>
    <w:rsid w:val="00D05D1A"/>
    <w:rsid w:val="00D110D1"/>
    <w:rsid w:val="00D11FD9"/>
    <w:rsid w:val="00D14845"/>
    <w:rsid w:val="00D26C95"/>
    <w:rsid w:val="00D35477"/>
    <w:rsid w:val="00D35BFB"/>
    <w:rsid w:val="00D37A5A"/>
    <w:rsid w:val="00D424ED"/>
    <w:rsid w:val="00D42F26"/>
    <w:rsid w:val="00D478C6"/>
    <w:rsid w:val="00D577D3"/>
    <w:rsid w:val="00D604C0"/>
    <w:rsid w:val="00D62F14"/>
    <w:rsid w:val="00D63E72"/>
    <w:rsid w:val="00D70FF0"/>
    <w:rsid w:val="00D82936"/>
    <w:rsid w:val="00D83D8E"/>
    <w:rsid w:val="00D93137"/>
    <w:rsid w:val="00D95ABE"/>
    <w:rsid w:val="00DB02A7"/>
    <w:rsid w:val="00DB20F7"/>
    <w:rsid w:val="00DB27A3"/>
    <w:rsid w:val="00DB6296"/>
    <w:rsid w:val="00DB7831"/>
    <w:rsid w:val="00DC2427"/>
    <w:rsid w:val="00DC5D10"/>
    <w:rsid w:val="00DC63EC"/>
    <w:rsid w:val="00DD3AF6"/>
    <w:rsid w:val="00DD4549"/>
    <w:rsid w:val="00DD5238"/>
    <w:rsid w:val="00DE6590"/>
    <w:rsid w:val="00DF279A"/>
    <w:rsid w:val="00DF30CA"/>
    <w:rsid w:val="00DF5617"/>
    <w:rsid w:val="00DF65BA"/>
    <w:rsid w:val="00E06EAE"/>
    <w:rsid w:val="00E10087"/>
    <w:rsid w:val="00E100A5"/>
    <w:rsid w:val="00E1073F"/>
    <w:rsid w:val="00E22652"/>
    <w:rsid w:val="00E271ED"/>
    <w:rsid w:val="00E31E84"/>
    <w:rsid w:val="00E3259A"/>
    <w:rsid w:val="00E33B1B"/>
    <w:rsid w:val="00E41169"/>
    <w:rsid w:val="00E460E5"/>
    <w:rsid w:val="00E5080F"/>
    <w:rsid w:val="00E53E6D"/>
    <w:rsid w:val="00E543F5"/>
    <w:rsid w:val="00E5479C"/>
    <w:rsid w:val="00E572F2"/>
    <w:rsid w:val="00E5770F"/>
    <w:rsid w:val="00E655A9"/>
    <w:rsid w:val="00E65842"/>
    <w:rsid w:val="00E71669"/>
    <w:rsid w:val="00E71FF9"/>
    <w:rsid w:val="00E7232E"/>
    <w:rsid w:val="00E80F27"/>
    <w:rsid w:val="00E86CD0"/>
    <w:rsid w:val="00E90FD8"/>
    <w:rsid w:val="00E93ED9"/>
    <w:rsid w:val="00E97995"/>
    <w:rsid w:val="00EA11EE"/>
    <w:rsid w:val="00EA32F1"/>
    <w:rsid w:val="00EA4634"/>
    <w:rsid w:val="00EA65A5"/>
    <w:rsid w:val="00EA79F2"/>
    <w:rsid w:val="00EB12AD"/>
    <w:rsid w:val="00EB5ED7"/>
    <w:rsid w:val="00EB732A"/>
    <w:rsid w:val="00EB7B64"/>
    <w:rsid w:val="00EC0233"/>
    <w:rsid w:val="00EC4595"/>
    <w:rsid w:val="00ED151D"/>
    <w:rsid w:val="00ED1C08"/>
    <w:rsid w:val="00ED3F21"/>
    <w:rsid w:val="00EE38A5"/>
    <w:rsid w:val="00EE402B"/>
    <w:rsid w:val="00EE4C1B"/>
    <w:rsid w:val="00EF5D96"/>
    <w:rsid w:val="00F03910"/>
    <w:rsid w:val="00F06CED"/>
    <w:rsid w:val="00F11F21"/>
    <w:rsid w:val="00F11F68"/>
    <w:rsid w:val="00F1280B"/>
    <w:rsid w:val="00F1327D"/>
    <w:rsid w:val="00F13E34"/>
    <w:rsid w:val="00F142F5"/>
    <w:rsid w:val="00F21BE9"/>
    <w:rsid w:val="00F2338D"/>
    <w:rsid w:val="00F24261"/>
    <w:rsid w:val="00F248F6"/>
    <w:rsid w:val="00F2551C"/>
    <w:rsid w:val="00F27F32"/>
    <w:rsid w:val="00F30C0A"/>
    <w:rsid w:val="00F33CDF"/>
    <w:rsid w:val="00F37092"/>
    <w:rsid w:val="00F41454"/>
    <w:rsid w:val="00F42B62"/>
    <w:rsid w:val="00F45119"/>
    <w:rsid w:val="00F4604D"/>
    <w:rsid w:val="00F502AE"/>
    <w:rsid w:val="00F50A15"/>
    <w:rsid w:val="00F52EBF"/>
    <w:rsid w:val="00F57BF9"/>
    <w:rsid w:val="00F6205E"/>
    <w:rsid w:val="00F63409"/>
    <w:rsid w:val="00F660FB"/>
    <w:rsid w:val="00F706AB"/>
    <w:rsid w:val="00F77CAC"/>
    <w:rsid w:val="00F803F1"/>
    <w:rsid w:val="00F817E0"/>
    <w:rsid w:val="00F82343"/>
    <w:rsid w:val="00F84FA4"/>
    <w:rsid w:val="00F940F6"/>
    <w:rsid w:val="00F977AE"/>
    <w:rsid w:val="00FA008C"/>
    <w:rsid w:val="00FA07B7"/>
    <w:rsid w:val="00FA10EF"/>
    <w:rsid w:val="00FA17B3"/>
    <w:rsid w:val="00FA5773"/>
    <w:rsid w:val="00FB0081"/>
    <w:rsid w:val="00FB06B6"/>
    <w:rsid w:val="00FB174B"/>
    <w:rsid w:val="00FD2FD4"/>
    <w:rsid w:val="00FD3205"/>
    <w:rsid w:val="00FD330C"/>
    <w:rsid w:val="00FD3662"/>
    <w:rsid w:val="00FD5E11"/>
    <w:rsid w:val="00FD71BD"/>
    <w:rsid w:val="00FE0E24"/>
    <w:rsid w:val="00FE4F51"/>
    <w:rsid w:val="00FF001E"/>
    <w:rsid w:val="00FF363F"/>
    <w:rsid w:val="00FF5E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4492"/>
    <w:pPr>
      <w:spacing w:after="160" w:line="259" w:lineRule="auto"/>
    </w:pPr>
    <w:rPr>
      <w:rFonts w:ascii="Calibri" w:eastAsia="Calibri" w:hAnsi="Calibri" w:cs="Times New Roman"/>
      <w:kern w:val="2"/>
      <w:lang w:val="sq-AL"/>
    </w:rPr>
  </w:style>
  <w:style w:type="paragraph" w:styleId="Heading1">
    <w:name w:val="heading 1"/>
    <w:basedOn w:val="Normal"/>
    <w:link w:val="Heading1Char"/>
    <w:uiPriority w:val="9"/>
    <w:qFormat/>
    <w:rsid w:val="00310349"/>
    <w:pPr>
      <w:spacing w:before="100" w:beforeAutospacing="1" w:after="100" w:afterAutospacing="1" w:line="240" w:lineRule="auto"/>
      <w:outlineLvl w:val="0"/>
    </w:pPr>
    <w:rPr>
      <w:rFonts w:ascii="Times New Roman" w:eastAsia="Times New Roman" w:hAnsi="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44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492"/>
    <w:rPr>
      <w:rFonts w:ascii="Calibri" w:eastAsia="Calibri" w:hAnsi="Calibri" w:cs="Times New Roman"/>
      <w:kern w:val="2"/>
      <w:lang w:val="sq-AL"/>
    </w:rPr>
  </w:style>
  <w:style w:type="paragraph" w:styleId="Footer">
    <w:name w:val="footer"/>
    <w:basedOn w:val="Normal"/>
    <w:link w:val="FooterChar"/>
    <w:uiPriority w:val="99"/>
    <w:unhideWhenUsed/>
    <w:rsid w:val="006744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492"/>
    <w:rPr>
      <w:rFonts w:ascii="Calibri" w:eastAsia="Calibri" w:hAnsi="Calibri" w:cs="Times New Roman"/>
      <w:kern w:val="2"/>
      <w:lang w:val="sq-AL"/>
    </w:rPr>
  </w:style>
  <w:style w:type="paragraph" w:styleId="FootnoteText">
    <w:name w:val="footnote text"/>
    <w:basedOn w:val="Normal"/>
    <w:link w:val="FootnoteTextChar"/>
    <w:uiPriority w:val="99"/>
    <w:unhideWhenUsed/>
    <w:rsid w:val="00674492"/>
    <w:pPr>
      <w:spacing w:after="0" w:line="240" w:lineRule="auto"/>
    </w:pPr>
    <w:rPr>
      <w:kern w:val="0"/>
      <w:sz w:val="20"/>
      <w:szCs w:val="20"/>
    </w:rPr>
  </w:style>
  <w:style w:type="character" w:customStyle="1" w:styleId="FootnoteTextChar">
    <w:name w:val="Footnote Text Char"/>
    <w:basedOn w:val="DefaultParagraphFont"/>
    <w:link w:val="FootnoteText"/>
    <w:uiPriority w:val="99"/>
    <w:rsid w:val="00674492"/>
    <w:rPr>
      <w:rFonts w:ascii="Calibri" w:eastAsia="Calibri" w:hAnsi="Calibri" w:cs="Times New Roman"/>
      <w:sz w:val="20"/>
      <w:szCs w:val="20"/>
    </w:rPr>
  </w:style>
  <w:style w:type="character" w:styleId="FootnoteReference">
    <w:name w:val="footnote reference"/>
    <w:uiPriority w:val="99"/>
    <w:semiHidden/>
    <w:unhideWhenUsed/>
    <w:rsid w:val="00674492"/>
    <w:rPr>
      <w:vertAlign w:val="superscript"/>
    </w:rPr>
  </w:style>
  <w:style w:type="paragraph" w:styleId="Subtitle">
    <w:name w:val="Subtitle"/>
    <w:basedOn w:val="Normal"/>
    <w:next w:val="Normal"/>
    <w:link w:val="SubtitleChar"/>
    <w:uiPriority w:val="11"/>
    <w:qFormat/>
    <w:rsid w:val="00674492"/>
    <w:pPr>
      <w:numPr>
        <w:ilvl w:val="1"/>
      </w:numPr>
    </w:pPr>
    <w:rPr>
      <w:rFonts w:eastAsia="Times New Roman"/>
      <w:color w:val="5A5A5A"/>
      <w:spacing w:val="15"/>
      <w:kern w:val="0"/>
      <w:sz w:val="20"/>
      <w:szCs w:val="20"/>
    </w:rPr>
  </w:style>
  <w:style w:type="character" w:customStyle="1" w:styleId="SubtitleChar">
    <w:name w:val="Subtitle Char"/>
    <w:basedOn w:val="DefaultParagraphFont"/>
    <w:link w:val="Subtitle"/>
    <w:uiPriority w:val="11"/>
    <w:rsid w:val="00674492"/>
    <w:rPr>
      <w:rFonts w:ascii="Calibri" w:eastAsia="Times New Roman" w:hAnsi="Calibri" w:cs="Times New Roman"/>
      <w:color w:val="5A5A5A"/>
      <w:spacing w:val="15"/>
      <w:sz w:val="20"/>
      <w:szCs w:val="20"/>
    </w:rPr>
  </w:style>
  <w:style w:type="paragraph" w:styleId="ListParagraph">
    <w:name w:val="List Paragraph"/>
    <w:basedOn w:val="Normal"/>
    <w:uiPriority w:val="34"/>
    <w:qFormat/>
    <w:rsid w:val="00674492"/>
    <w:pPr>
      <w:ind w:left="720"/>
      <w:contextualSpacing/>
    </w:pPr>
  </w:style>
  <w:style w:type="paragraph" w:styleId="NoSpacing">
    <w:name w:val="No Spacing"/>
    <w:uiPriority w:val="1"/>
    <w:qFormat/>
    <w:rsid w:val="00674492"/>
    <w:pPr>
      <w:spacing w:after="0" w:line="240" w:lineRule="auto"/>
    </w:pPr>
    <w:rPr>
      <w:rFonts w:ascii="Calibri" w:eastAsia="Calibri" w:hAnsi="Calibri" w:cs="Times New Roman"/>
      <w:kern w:val="2"/>
    </w:rPr>
  </w:style>
  <w:style w:type="character" w:customStyle="1" w:styleId="sa36b60a1">
    <w:name w:val="sa36b60a1"/>
    <w:basedOn w:val="DefaultParagraphFont"/>
    <w:rsid w:val="00674492"/>
  </w:style>
  <w:style w:type="character" w:styleId="Hyperlink">
    <w:name w:val="Hyperlink"/>
    <w:basedOn w:val="DefaultParagraphFont"/>
    <w:uiPriority w:val="99"/>
    <w:semiHidden/>
    <w:unhideWhenUsed/>
    <w:rsid w:val="00674492"/>
    <w:rPr>
      <w:color w:val="0000FF"/>
      <w:u w:val="single"/>
    </w:rPr>
  </w:style>
  <w:style w:type="character" w:styleId="FollowedHyperlink">
    <w:name w:val="FollowedHyperlink"/>
    <w:basedOn w:val="DefaultParagraphFont"/>
    <w:uiPriority w:val="99"/>
    <w:semiHidden/>
    <w:unhideWhenUsed/>
    <w:rsid w:val="00674492"/>
    <w:rPr>
      <w:color w:val="800080" w:themeColor="followedHyperlink"/>
      <w:u w:val="single"/>
    </w:rPr>
  </w:style>
  <w:style w:type="character" w:customStyle="1" w:styleId="hgkelc">
    <w:name w:val="hgkelc"/>
    <w:basedOn w:val="DefaultParagraphFont"/>
    <w:rsid w:val="00674492"/>
  </w:style>
  <w:style w:type="character" w:customStyle="1" w:styleId="rynqvb">
    <w:name w:val="rynqvb"/>
    <w:basedOn w:val="DefaultParagraphFont"/>
    <w:rsid w:val="00674492"/>
  </w:style>
  <w:style w:type="character" w:styleId="CommentReference">
    <w:name w:val="annotation reference"/>
    <w:basedOn w:val="DefaultParagraphFont"/>
    <w:uiPriority w:val="99"/>
    <w:semiHidden/>
    <w:unhideWhenUsed/>
    <w:rsid w:val="00674492"/>
    <w:rPr>
      <w:sz w:val="16"/>
      <w:szCs w:val="16"/>
    </w:rPr>
  </w:style>
  <w:style w:type="paragraph" w:styleId="CommentText">
    <w:name w:val="annotation text"/>
    <w:basedOn w:val="Normal"/>
    <w:link w:val="CommentTextChar"/>
    <w:uiPriority w:val="99"/>
    <w:semiHidden/>
    <w:unhideWhenUsed/>
    <w:rsid w:val="00674492"/>
    <w:pPr>
      <w:spacing w:line="240" w:lineRule="auto"/>
    </w:pPr>
    <w:rPr>
      <w:sz w:val="20"/>
      <w:szCs w:val="20"/>
    </w:rPr>
  </w:style>
  <w:style w:type="character" w:customStyle="1" w:styleId="CommentTextChar">
    <w:name w:val="Comment Text Char"/>
    <w:basedOn w:val="DefaultParagraphFont"/>
    <w:link w:val="CommentText"/>
    <w:uiPriority w:val="99"/>
    <w:semiHidden/>
    <w:rsid w:val="00674492"/>
    <w:rPr>
      <w:rFonts w:ascii="Calibri" w:eastAsia="Calibri" w:hAnsi="Calibri" w:cs="Times New Roman"/>
      <w:kern w:val="2"/>
      <w:sz w:val="20"/>
      <w:szCs w:val="20"/>
      <w:lang w:val="sq-AL"/>
    </w:rPr>
  </w:style>
  <w:style w:type="paragraph" w:styleId="CommentSubject">
    <w:name w:val="annotation subject"/>
    <w:basedOn w:val="CommentText"/>
    <w:next w:val="CommentText"/>
    <w:link w:val="CommentSubjectChar"/>
    <w:uiPriority w:val="99"/>
    <w:semiHidden/>
    <w:unhideWhenUsed/>
    <w:rsid w:val="00674492"/>
    <w:rPr>
      <w:b/>
      <w:bCs/>
    </w:rPr>
  </w:style>
  <w:style w:type="character" w:customStyle="1" w:styleId="CommentSubjectChar">
    <w:name w:val="Comment Subject Char"/>
    <w:basedOn w:val="CommentTextChar"/>
    <w:link w:val="CommentSubject"/>
    <w:uiPriority w:val="99"/>
    <w:semiHidden/>
    <w:rsid w:val="00674492"/>
    <w:rPr>
      <w:b/>
      <w:bCs/>
    </w:rPr>
  </w:style>
  <w:style w:type="paragraph" w:styleId="BalloonText">
    <w:name w:val="Balloon Text"/>
    <w:basedOn w:val="Normal"/>
    <w:link w:val="BalloonTextChar"/>
    <w:uiPriority w:val="99"/>
    <w:semiHidden/>
    <w:unhideWhenUsed/>
    <w:rsid w:val="006744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4492"/>
    <w:rPr>
      <w:rFonts w:ascii="Segoe UI" w:eastAsia="Calibri" w:hAnsi="Segoe UI" w:cs="Segoe UI"/>
      <w:kern w:val="2"/>
      <w:sz w:val="18"/>
      <w:szCs w:val="18"/>
      <w:lang w:val="sq-AL"/>
    </w:rPr>
  </w:style>
  <w:style w:type="character" w:customStyle="1" w:styleId="Heading1Char">
    <w:name w:val="Heading 1 Char"/>
    <w:basedOn w:val="DefaultParagraphFont"/>
    <w:link w:val="Heading1"/>
    <w:uiPriority w:val="9"/>
    <w:rsid w:val="00310349"/>
    <w:rPr>
      <w:rFonts w:ascii="Times New Roman" w:eastAsia="Times New Roman" w:hAnsi="Times New Roman" w:cs="Times New Roman"/>
      <w:b/>
      <w:bCs/>
      <w:kern w:val="36"/>
      <w:sz w:val="48"/>
      <w:szCs w:val="48"/>
    </w:rPr>
  </w:style>
  <w:style w:type="paragraph" w:customStyle="1" w:styleId="title-bold">
    <w:name w:val="title-bold"/>
    <w:basedOn w:val="Normal"/>
    <w:rsid w:val="000B7F34"/>
    <w:pPr>
      <w:spacing w:before="100" w:beforeAutospacing="1" w:after="100" w:afterAutospacing="1" w:line="240" w:lineRule="auto"/>
    </w:pPr>
    <w:rPr>
      <w:rFonts w:ascii="Times New Roman" w:eastAsia="Times New Roman" w:hAnsi="Times New Roman"/>
      <w:kern w:val="0"/>
      <w:sz w:val="24"/>
      <w:szCs w:val="24"/>
      <w:lang w:val="en-US"/>
    </w:rPr>
  </w:style>
  <w:style w:type="character" w:customStyle="1" w:styleId="sbb9ee52a">
    <w:name w:val="sbb9ee52a"/>
    <w:basedOn w:val="DefaultParagraphFont"/>
    <w:rsid w:val="00BD09D0"/>
  </w:style>
  <w:style w:type="paragraph" w:customStyle="1" w:styleId="s5f48796f">
    <w:name w:val="s5f48796f"/>
    <w:basedOn w:val="Normal"/>
    <w:rsid w:val="007B27BA"/>
    <w:pPr>
      <w:spacing w:before="100" w:beforeAutospacing="1" w:after="100" w:afterAutospacing="1" w:line="240" w:lineRule="auto"/>
    </w:pPr>
    <w:rPr>
      <w:rFonts w:ascii="Times New Roman" w:eastAsia="Times New Roman" w:hAnsi="Times New Roman"/>
      <w:kern w:val="0"/>
      <w:sz w:val="24"/>
      <w:szCs w:val="24"/>
      <w:lang w:val="en-US"/>
    </w:rPr>
  </w:style>
</w:styles>
</file>

<file path=word/webSettings.xml><?xml version="1.0" encoding="utf-8"?>
<w:webSettings xmlns:r="http://schemas.openxmlformats.org/officeDocument/2006/relationships" xmlns:w="http://schemas.openxmlformats.org/wordprocessingml/2006/main">
  <w:divs>
    <w:div w:id="1060518485">
      <w:bodyDiv w:val="1"/>
      <w:marLeft w:val="0"/>
      <w:marRight w:val="0"/>
      <w:marTop w:val="0"/>
      <w:marBottom w:val="0"/>
      <w:divBdr>
        <w:top w:val="none" w:sz="0" w:space="0" w:color="auto"/>
        <w:left w:val="none" w:sz="0" w:space="0" w:color="auto"/>
        <w:bottom w:val="none" w:sz="0" w:space="0" w:color="auto"/>
        <w:right w:val="none" w:sz="0" w:space="0" w:color="auto"/>
      </w:divBdr>
    </w:div>
    <w:div w:id="1133714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hudoc.echr.coe.int/e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8.austlii.edu.au/cgi-bin/viewdoc/au/cases/cth/FCA/2002/115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1219</TotalTime>
  <Pages>21</Pages>
  <Words>7655</Words>
  <Characters>43639</Characters>
  <Application>Microsoft Office Word</Application>
  <DocSecurity>0</DocSecurity>
  <Lines>363</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Laura</cp:lastModifiedBy>
  <cp:revision>860</cp:revision>
  <dcterms:created xsi:type="dcterms:W3CDTF">2024-04-03T07:56:00Z</dcterms:created>
  <dcterms:modified xsi:type="dcterms:W3CDTF">2024-04-22T12:52:00Z</dcterms:modified>
</cp:coreProperties>
</file>