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E4F" w:rsidRPr="00B05EEF" w:rsidRDefault="00ED1E69" w:rsidP="00ED1E69">
      <w:pPr>
        <w:pStyle w:val="NoSpacing"/>
        <w:jc w:val="center"/>
        <w:rPr>
          <w:rFonts w:ascii="Georgia" w:hAnsi="Georgia" w:cstheme="majorBidi"/>
          <w:b/>
          <w:sz w:val="40"/>
          <w:szCs w:val="40"/>
          <w:shd w:val="clear" w:color="auto" w:fill="FFFFFF"/>
          <w:lang w:val="sq-AL"/>
        </w:rPr>
      </w:pPr>
      <w:bookmarkStart w:id="0" w:name="_GoBack"/>
      <w:bookmarkEnd w:id="0"/>
      <w:r w:rsidRPr="00B05EEF">
        <w:rPr>
          <w:rFonts w:ascii="Georgia" w:hAnsi="Georgia" w:cstheme="majorBidi"/>
          <w:b/>
          <w:sz w:val="40"/>
          <w:szCs w:val="40"/>
          <w:shd w:val="clear" w:color="auto" w:fill="FFFFFF"/>
          <w:lang w:val="sq-AL"/>
        </w:rPr>
        <w:t xml:space="preserve">Seminar i trajnimit vazhdues </w:t>
      </w:r>
      <w:r w:rsidR="00C777EC" w:rsidRPr="00B05EEF">
        <w:rPr>
          <w:rFonts w:ascii="Georgia" w:hAnsi="Georgia" w:cstheme="majorBidi"/>
          <w:b/>
          <w:sz w:val="40"/>
          <w:szCs w:val="40"/>
          <w:shd w:val="clear" w:color="auto" w:fill="FFFFFF"/>
          <w:lang w:val="sq-AL"/>
        </w:rPr>
        <w:t>në shkollën e Magjistraturës</w:t>
      </w:r>
    </w:p>
    <w:p w:rsidR="00ED1E69" w:rsidRPr="00B05EEF" w:rsidRDefault="00ED1E69" w:rsidP="00ED1E69">
      <w:pPr>
        <w:pStyle w:val="NoSpacing"/>
        <w:jc w:val="center"/>
        <w:rPr>
          <w:rFonts w:ascii="Georgia" w:hAnsi="Georgia" w:cstheme="majorBidi"/>
          <w:b/>
          <w:sz w:val="40"/>
          <w:szCs w:val="40"/>
          <w:shd w:val="clear" w:color="auto" w:fill="FFFFFF"/>
          <w:lang w:val="sq-AL"/>
        </w:rPr>
      </w:pPr>
      <w:r w:rsidRPr="00B05EEF">
        <w:rPr>
          <w:rFonts w:ascii="Georgia" w:hAnsi="Georgia" w:cstheme="majorBidi"/>
          <w:b/>
          <w:sz w:val="40"/>
          <w:szCs w:val="40"/>
          <w:shd w:val="clear" w:color="auto" w:fill="FFFFFF"/>
          <w:lang w:val="sq-AL"/>
        </w:rPr>
        <w:t>dat</w:t>
      </w:r>
      <w:r w:rsidR="00966A79" w:rsidRPr="00B05EEF">
        <w:rPr>
          <w:rFonts w:ascii="Georgia" w:hAnsi="Georgia" w:cstheme="majorBidi"/>
          <w:b/>
          <w:sz w:val="40"/>
          <w:szCs w:val="40"/>
          <w:shd w:val="clear" w:color="auto" w:fill="FFFFFF"/>
          <w:lang w:val="sq-AL"/>
        </w:rPr>
        <w:t>ë</w:t>
      </w:r>
      <w:r w:rsidRPr="00B05EEF">
        <w:rPr>
          <w:rFonts w:ascii="Georgia" w:hAnsi="Georgia" w:cstheme="majorBidi"/>
          <w:b/>
          <w:sz w:val="40"/>
          <w:szCs w:val="40"/>
          <w:shd w:val="clear" w:color="auto" w:fill="FFFFFF"/>
          <w:lang w:val="sq-AL"/>
        </w:rPr>
        <w:t xml:space="preserve"> </w:t>
      </w:r>
      <w:r w:rsidR="00C47AD9" w:rsidRPr="00B05EEF">
        <w:rPr>
          <w:rFonts w:ascii="Georgia" w:hAnsi="Georgia" w:cstheme="majorBidi"/>
          <w:b/>
          <w:sz w:val="40"/>
          <w:szCs w:val="40"/>
          <w:shd w:val="clear" w:color="auto" w:fill="FFFFFF"/>
          <w:lang w:val="sq-AL"/>
        </w:rPr>
        <w:t>03 Mars 2023</w:t>
      </w:r>
      <w:r w:rsidRPr="00B05EEF">
        <w:rPr>
          <w:rFonts w:ascii="Georgia" w:hAnsi="Georgia" w:cstheme="majorBidi"/>
          <w:b/>
          <w:sz w:val="40"/>
          <w:szCs w:val="40"/>
          <w:shd w:val="clear" w:color="auto" w:fill="FFFFFF"/>
          <w:lang w:val="sq-AL"/>
        </w:rPr>
        <w:t>.</w:t>
      </w:r>
    </w:p>
    <w:p w:rsidR="0057243F" w:rsidRPr="00B05EEF" w:rsidRDefault="0057243F" w:rsidP="00ED1E69">
      <w:pPr>
        <w:pStyle w:val="NoSpacing"/>
        <w:jc w:val="center"/>
        <w:rPr>
          <w:rFonts w:ascii="Georgia" w:hAnsi="Georgia" w:cstheme="majorBidi"/>
          <w:b/>
          <w:color w:val="FF0000"/>
          <w:shd w:val="clear" w:color="auto" w:fill="FFFFFF"/>
          <w:lang w:val="sq-AL"/>
        </w:rPr>
      </w:pPr>
      <w:r w:rsidRPr="00B05EEF">
        <w:rPr>
          <w:rFonts w:ascii="Georgia" w:hAnsi="Georgia" w:cstheme="majorBidi"/>
          <w:b/>
          <w:color w:val="FF0000"/>
          <w:shd w:val="clear" w:color="auto" w:fill="FFFFFF"/>
          <w:lang w:val="sq-AL"/>
        </w:rPr>
        <w:t>(Ekspertë</w:t>
      </w:r>
      <w:r w:rsidR="00B05EEF" w:rsidRPr="00B05EEF">
        <w:rPr>
          <w:rFonts w:ascii="Georgia" w:hAnsi="Georgia" w:cstheme="majorBidi"/>
          <w:b/>
          <w:color w:val="FF0000"/>
          <w:shd w:val="clear" w:color="auto" w:fill="FFFFFF"/>
          <w:lang w:val="sq-AL"/>
        </w:rPr>
        <w:t>:</w:t>
      </w:r>
      <w:r w:rsidRPr="00B05EEF">
        <w:rPr>
          <w:rFonts w:ascii="Georgia" w:hAnsi="Georgia" w:cstheme="majorBidi"/>
          <w:b/>
          <w:color w:val="FF0000"/>
          <w:shd w:val="clear" w:color="auto" w:fill="FFFFFF"/>
          <w:lang w:val="sq-AL"/>
        </w:rPr>
        <w:t xml:space="preserve"> Prokurori Posaçëm z.Sotir Kllapi &amp; Gjykatësi z.Dhimitër Lara</w:t>
      </w:r>
      <w:r w:rsidR="00B05EEF" w:rsidRPr="00B05EEF">
        <w:rPr>
          <w:rFonts w:ascii="Georgia" w:hAnsi="Georgia" w:cstheme="majorBidi"/>
          <w:b/>
          <w:color w:val="FF0000"/>
          <w:shd w:val="clear" w:color="auto" w:fill="FFFFFF"/>
          <w:lang w:val="sq-AL"/>
        </w:rPr>
        <w:t>)</w:t>
      </w:r>
    </w:p>
    <w:p w:rsidR="00ED1E69" w:rsidRPr="006871FF" w:rsidRDefault="00ED1E69" w:rsidP="00ED1E69">
      <w:pPr>
        <w:pStyle w:val="NoSpacing"/>
        <w:jc w:val="both"/>
        <w:rPr>
          <w:rFonts w:ascii="Georgia" w:hAnsi="Georgia" w:cstheme="majorBidi"/>
          <w:shd w:val="clear" w:color="auto" w:fill="FFFFFF"/>
          <w:lang w:val="sq-AL"/>
        </w:rPr>
      </w:pPr>
    </w:p>
    <w:p w:rsidR="00767AAE" w:rsidRPr="006871FF" w:rsidRDefault="00ED1E69" w:rsidP="00767AAE">
      <w:pPr>
        <w:ind w:left="1134" w:hanging="1134"/>
        <w:jc w:val="both"/>
        <w:rPr>
          <w:rFonts w:ascii="Georgia" w:hAnsi="Georgia" w:cstheme="majorBidi"/>
          <w:shd w:val="clear" w:color="auto" w:fill="FFFFFF"/>
        </w:rPr>
      </w:pPr>
      <w:r w:rsidRPr="006871FF">
        <w:rPr>
          <w:rFonts w:ascii="Georgia" w:hAnsi="Georgia" w:cstheme="majorBidi"/>
          <w:b/>
          <w:bCs/>
          <w:shd w:val="clear" w:color="auto" w:fill="FFFFFF"/>
        </w:rPr>
        <w:t>Tema</w:t>
      </w:r>
      <w:r w:rsidR="00767AAE" w:rsidRPr="006871FF">
        <w:rPr>
          <w:rFonts w:ascii="Georgia" w:hAnsi="Georgia" w:cstheme="majorBidi"/>
          <w:shd w:val="clear" w:color="auto" w:fill="FFFFFF"/>
        </w:rPr>
        <w:t>:</w:t>
      </w:r>
    </w:p>
    <w:p w:rsidR="00302E4F" w:rsidRPr="006871FF" w:rsidRDefault="00AA7298" w:rsidP="00302E4F">
      <w:pPr>
        <w:pStyle w:val="ListParagraph"/>
        <w:numPr>
          <w:ilvl w:val="0"/>
          <w:numId w:val="40"/>
        </w:numPr>
        <w:jc w:val="both"/>
        <w:rPr>
          <w:rFonts w:ascii="Georgia" w:hAnsi="Georgia" w:cs="Times New Roman"/>
        </w:rPr>
      </w:pPr>
      <w:r w:rsidRPr="006871FF">
        <w:rPr>
          <w:rFonts w:ascii="Georgia" w:hAnsi="Georgia" w:cs="Times New Roman"/>
        </w:rPr>
        <w:t>Korrupsioni aktiv apo pasiv, ushtrimi i ndikimit të paligjshëm.</w:t>
      </w:r>
    </w:p>
    <w:p w:rsidR="00F52C18" w:rsidRDefault="00AA7298" w:rsidP="00302E4F">
      <w:pPr>
        <w:pStyle w:val="ListParagraph"/>
        <w:numPr>
          <w:ilvl w:val="0"/>
          <w:numId w:val="40"/>
        </w:numPr>
        <w:jc w:val="both"/>
        <w:rPr>
          <w:rFonts w:ascii="Georgia" w:hAnsi="Georgia" w:cs="Times New Roman"/>
        </w:rPr>
      </w:pPr>
      <w:r w:rsidRPr="006871FF">
        <w:rPr>
          <w:rFonts w:ascii="Georgia" w:hAnsi="Georgia" w:cs="Times New Roman"/>
        </w:rPr>
        <w:t>Veçori të hetimeve pro-aktive në luftën kundër tyre në aspek</w:t>
      </w:r>
      <w:r w:rsidR="00F52C18" w:rsidRPr="006871FF">
        <w:rPr>
          <w:rFonts w:ascii="Georgia" w:hAnsi="Georgia" w:cs="Times New Roman"/>
        </w:rPr>
        <w:t>tin kombëtar dhe ndërkombëtar.</w:t>
      </w:r>
    </w:p>
    <w:p w:rsidR="008F1CDD" w:rsidRPr="008F1CDD" w:rsidRDefault="008F1CDD" w:rsidP="008F1CDD">
      <w:pPr>
        <w:pStyle w:val="ListParagraph"/>
        <w:numPr>
          <w:ilvl w:val="0"/>
          <w:numId w:val="40"/>
        </w:numPr>
        <w:jc w:val="both"/>
        <w:rPr>
          <w:rFonts w:ascii="Georgia" w:hAnsi="Georgia" w:cs="Times New Roman"/>
        </w:rPr>
      </w:pPr>
      <w:r w:rsidRPr="006871FF">
        <w:rPr>
          <w:rFonts w:ascii="Georgia" w:hAnsi="Georgia" w:cs="Times New Roman"/>
        </w:rPr>
        <w:t>Krimi ekonomik dhe financiar nën këtë k</w:t>
      </w:r>
      <w:r>
        <w:rPr>
          <w:rFonts w:ascii="Georgia" w:hAnsi="Georgia" w:cs="Times New Roman"/>
        </w:rPr>
        <w:t>ëndvështrim.  Hetimi i</w:t>
      </w:r>
      <w:r w:rsidRPr="006871FF">
        <w:rPr>
          <w:rFonts w:ascii="Georgia" w:hAnsi="Georgia" w:cs="Times New Roman"/>
        </w:rPr>
        <w:t xml:space="preserve"> tyre.</w:t>
      </w:r>
    </w:p>
    <w:p w:rsidR="00302E4F" w:rsidRPr="006871FF" w:rsidRDefault="00AA7298" w:rsidP="00302E4F">
      <w:pPr>
        <w:pStyle w:val="ListParagraph"/>
        <w:numPr>
          <w:ilvl w:val="0"/>
          <w:numId w:val="40"/>
        </w:numPr>
        <w:jc w:val="both"/>
        <w:rPr>
          <w:rFonts w:ascii="Georgia" w:hAnsi="Georgia" w:cs="Times New Roman"/>
        </w:rPr>
      </w:pPr>
      <w:r w:rsidRPr="006871FF">
        <w:rPr>
          <w:rFonts w:ascii="Georgia" w:hAnsi="Georgia" w:cs="Times New Roman"/>
        </w:rPr>
        <w:t>Metodika dhe teknika të hetimit të tyre dhe krimeve financiare rrjedhur nga korrupsioni.</w:t>
      </w:r>
    </w:p>
    <w:p w:rsidR="00302E4F" w:rsidRPr="006871FF" w:rsidRDefault="00AA7298" w:rsidP="00302E4F">
      <w:pPr>
        <w:pStyle w:val="ListParagraph"/>
        <w:numPr>
          <w:ilvl w:val="0"/>
          <w:numId w:val="40"/>
        </w:numPr>
        <w:jc w:val="both"/>
        <w:rPr>
          <w:rFonts w:ascii="Georgia" w:hAnsi="Georgia" w:cs="Times New Roman"/>
        </w:rPr>
      </w:pPr>
      <w:r w:rsidRPr="006871FF">
        <w:rPr>
          <w:rFonts w:ascii="Georgia" w:hAnsi="Georgia" w:cs="Times New Roman"/>
        </w:rPr>
        <w:t>Prova e vetme në procesin penal në rastet praktike, rëndësia e saj dhe hetimi efektiv i veprave penale që lidhen me veprat penale të korrupsionit dhe çfarë rrjedh prej tij.</w:t>
      </w:r>
    </w:p>
    <w:p w:rsidR="00AA7298" w:rsidRPr="006871FF" w:rsidRDefault="00AA7298" w:rsidP="008F1CDD">
      <w:pPr>
        <w:jc w:val="both"/>
        <w:rPr>
          <w:rFonts w:ascii="Georgia" w:hAnsi="Georgia" w:cs="Times New Roman"/>
          <w:shd w:val="clear" w:color="auto" w:fill="FFFFFF"/>
        </w:rPr>
      </w:pPr>
    </w:p>
    <w:p w:rsidR="008329C1" w:rsidRPr="006871FF" w:rsidRDefault="00FA7DCE" w:rsidP="008329C1">
      <w:pPr>
        <w:ind w:left="1134" w:hanging="1134"/>
        <w:jc w:val="right"/>
        <w:rPr>
          <w:rFonts w:ascii="Georgia" w:hAnsi="Georgia" w:cs="Times New Roman"/>
          <w:u w:val="single"/>
          <w:shd w:val="clear" w:color="auto" w:fill="FFFFFF"/>
        </w:rPr>
      </w:pPr>
      <w:r w:rsidRPr="006871FF">
        <w:rPr>
          <w:rFonts w:ascii="Georgia" w:hAnsi="Georgia" w:cs="Times New Roman"/>
          <w:u w:val="single"/>
          <w:shd w:val="clear" w:color="auto" w:fill="FFFFFF"/>
        </w:rPr>
        <w:t>g</w:t>
      </w:r>
      <w:r w:rsidR="008329C1" w:rsidRPr="006871FF">
        <w:rPr>
          <w:rFonts w:ascii="Georgia" w:hAnsi="Georgia" w:cs="Times New Roman"/>
          <w:u w:val="single"/>
          <w:shd w:val="clear" w:color="auto" w:fill="FFFFFF"/>
        </w:rPr>
        <w:t>jykatës Dhimiter Lara.</w:t>
      </w:r>
    </w:p>
    <w:p w:rsidR="00ED1E69" w:rsidRPr="006871FF" w:rsidRDefault="00ED1E69" w:rsidP="00ED1E69">
      <w:pPr>
        <w:pStyle w:val="NoSpacing"/>
        <w:jc w:val="both"/>
        <w:rPr>
          <w:rFonts w:ascii="Georgia" w:hAnsi="Georgia"/>
          <w:shd w:val="clear" w:color="auto" w:fill="FFFFFF"/>
          <w:lang w:val="sq-AL"/>
        </w:rPr>
      </w:pPr>
    </w:p>
    <w:p w:rsidR="000579EE" w:rsidRPr="006871FF" w:rsidRDefault="00CA7691" w:rsidP="00ED1E69">
      <w:pPr>
        <w:pStyle w:val="NoSpacing"/>
        <w:numPr>
          <w:ilvl w:val="0"/>
          <w:numId w:val="30"/>
        </w:numPr>
        <w:jc w:val="both"/>
        <w:rPr>
          <w:rFonts w:ascii="Georgia" w:hAnsi="Georgia"/>
          <w:b/>
          <w:bCs/>
          <w:color w:val="FF0000"/>
          <w:shd w:val="clear" w:color="auto" w:fill="FFFFFF"/>
          <w:lang w:val="sq-AL"/>
        </w:rPr>
      </w:pPr>
      <w:r w:rsidRPr="006871FF">
        <w:rPr>
          <w:rFonts w:ascii="Georgia" w:hAnsi="Georgia"/>
          <w:b/>
          <w:color w:val="FF0000"/>
          <w:lang w:val="sq-AL"/>
        </w:rPr>
        <w:t>Korrupsioni aktiv apo pasiv, ushtrimi i ndikimit të paligjshëm</w:t>
      </w:r>
      <w:r w:rsidR="000579EE" w:rsidRPr="006871FF">
        <w:rPr>
          <w:rFonts w:ascii="Georgia" w:hAnsi="Georgia"/>
          <w:b/>
          <w:bCs/>
          <w:color w:val="FF0000"/>
          <w:shd w:val="clear" w:color="auto" w:fill="FFFFFF"/>
          <w:lang w:val="sq-AL"/>
        </w:rPr>
        <w:t>.</w:t>
      </w:r>
    </w:p>
    <w:p w:rsidR="000F164D" w:rsidRPr="006871FF" w:rsidRDefault="000F164D" w:rsidP="00ED1E69">
      <w:pPr>
        <w:pStyle w:val="NoSpacing"/>
        <w:jc w:val="both"/>
        <w:rPr>
          <w:rFonts w:ascii="Georgia" w:hAnsi="Georgia"/>
          <w:shd w:val="clear" w:color="auto" w:fill="FFFFFF"/>
          <w:lang w:val="sq-AL"/>
        </w:rPr>
      </w:pPr>
    </w:p>
    <w:p w:rsidR="000579EE" w:rsidRPr="006871FF" w:rsidRDefault="000F164D" w:rsidP="00C25C3B">
      <w:pPr>
        <w:pStyle w:val="NoSpacing"/>
        <w:numPr>
          <w:ilvl w:val="0"/>
          <w:numId w:val="31"/>
        </w:numPr>
        <w:jc w:val="both"/>
        <w:rPr>
          <w:rFonts w:ascii="Georgia" w:hAnsi="Georgia"/>
          <w:shd w:val="clear" w:color="auto" w:fill="FFFFFF"/>
          <w:lang w:val="sq-AL"/>
        </w:rPr>
      </w:pPr>
      <w:r w:rsidRPr="006871FF">
        <w:rPr>
          <w:rFonts w:ascii="Georgia" w:hAnsi="Georgia"/>
          <w:shd w:val="clear" w:color="auto" w:fill="FFFFFF"/>
          <w:lang w:val="sq-AL"/>
        </w:rPr>
        <w:t>Nevoja e luft</w:t>
      </w:r>
      <w:r w:rsidR="00966A79" w:rsidRPr="006871FF">
        <w:rPr>
          <w:rFonts w:ascii="Georgia" w:hAnsi="Georgia"/>
          <w:shd w:val="clear" w:color="auto" w:fill="FFFFFF"/>
          <w:lang w:val="sq-AL"/>
        </w:rPr>
        <w:t>ë</w:t>
      </w:r>
      <w:r w:rsidRPr="006871FF">
        <w:rPr>
          <w:rFonts w:ascii="Georgia" w:hAnsi="Georgia"/>
          <w:shd w:val="clear" w:color="auto" w:fill="FFFFFF"/>
          <w:lang w:val="sq-AL"/>
        </w:rPr>
        <w:t>s ndaj Korrupsionit:</w:t>
      </w:r>
    </w:p>
    <w:p w:rsidR="00B02EF1" w:rsidRPr="006871FF" w:rsidRDefault="00B02EF1" w:rsidP="000F164D">
      <w:pPr>
        <w:pStyle w:val="NoSpacing"/>
        <w:jc w:val="right"/>
        <w:rPr>
          <w:rFonts w:ascii="Georgia" w:hAnsi="Georgia"/>
          <w:lang w:val="sq-AL"/>
        </w:rPr>
      </w:pPr>
      <w:r w:rsidRPr="006871FF">
        <w:rPr>
          <w:rFonts w:ascii="Georgia" w:hAnsi="Georgia"/>
          <w:lang w:val="sq-AL"/>
        </w:rPr>
        <w:t>(Ratifikuar me ligjin n.9492, datë 13.3.2006)</w:t>
      </w:r>
    </w:p>
    <w:p w:rsidR="00B02EF1" w:rsidRPr="006871FF" w:rsidRDefault="005069B8" w:rsidP="000F164D">
      <w:pPr>
        <w:pStyle w:val="NoSpacing"/>
        <w:jc w:val="center"/>
        <w:rPr>
          <w:rFonts w:ascii="Georgia" w:hAnsi="Georgia"/>
          <w:lang w:val="sq-AL"/>
        </w:rPr>
      </w:pPr>
      <w:r>
        <w:rPr>
          <w:rFonts w:ascii="Georgia" w:hAnsi="Georgia"/>
          <w:lang w:val="sq-AL"/>
        </w:rPr>
        <w:t>Konventa e Kombeve t</w:t>
      </w:r>
      <w:r w:rsidRPr="006871FF">
        <w:rPr>
          <w:rFonts w:ascii="Georgia" w:hAnsi="Georgia"/>
          <w:lang w:val="sq-AL"/>
        </w:rPr>
        <w:t>ë Bashkuara Kundër Korrupsionit</w:t>
      </w:r>
    </w:p>
    <w:p w:rsidR="00B02EF1" w:rsidRPr="006871FF" w:rsidRDefault="00B02EF1" w:rsidP="00ED1E69">
      <w:pPr>
        <w:pStyle w:val="NoSpacing"/>
        <w:jc w:val="both"/>
        <w:rPr>
          <w:rFonts w:ascii="Georgia" w:hAnsi="Georgia"/>
          <w:lang w:val="sq-AL"/>
        </w:rPr>
      </w:pPr>
      <w:r w:rsidRPr="006871FF">
        <w:rPr>
          <w:rFonts w:ascii="Georgia" w:hAnsi="Georgia"/>
          <w:lang w:val="sq-AL"/>
        </w:rPr>
        <w:t xml:space="preserve">Preambulë Shtetet palë në këtë Konventë, </w:t>
      </w:r>
    </w:p>
    <w:p w:rsidR="00B02EF1" w:rsidRPr="006871FF" w:rsidRDefault="00B02EF1" w:rsidP="00ED1E69">
      <w:pPr>
        <w:pStyle w:val="NoSpacing"/>
        <w:jc w:val="both"/>
        <w:rPr>
          <w:rFonts w:ascii="Georgia" w:hAnsi="Georgia"/>
          <w:lang w:val="sq-AL"/>
        </w:rPr>
      </w:pPr>
      <w:r w:rsidRPr="006871FF">
        <w:rPr>
          <w:rFonts w:ascii="Georgia" w:hAnsi="Georgia"/>
          <w:b/>
          <w:bCs/>
          <w:lang w:val="sq-AL"/>
        </w:rPr>
        <w:t>të shqetësuar</w:t>
      </w:r>
      <w:r w:rsidRPr="006871FF">
        <w:rPr>
          <w:rFonts w:ascii="Georgia" w:hAnsi="Georgia"/>
          <w:lang w:val="sq-AL"/>
        </w:rPr>
        <w:t xml:space="preserve"> për seriozitetin e problemeve dhe rreziqeve që dalin nga korrupsioni për stabilitetin dhe sigurinë e shoqërive, duke dëmtuar institucionet dhe vlerën e demokracisë, vlerat etike dhe drejtësinë dhe duke rrezikuar zhvillimin thelbësor dhe shtetin ligjor; </w:t>
      </w:r>
    </w:p>
    <w:p w:rsidR="00B02EF1" w:rsidRPr="006871FF" w:rsidRDefault="00B02EF1" w:rsidP="00ED1E69">
      <w:pPr>
        <w:pStyle w:val="NoSpacing"/>
        <w:jc w:val="both"/>
        <w:rPr>
          <w:rFonts w:ascii="Georgia" w:hAnsi="Georgia"/>
          <w:lang w:val="sq-AL"/>
        </w:rPr>
      </w:pPr>
      <w:r w:rsidRPr="006871FF">
        <w:rPr>
          <w:rFonts w:ascii="Georgia" w:hAnsi="Georgia"/>
          <w:b/>
          <w:bCs/>
          <w:lang w:val="sq-AL"/>
        </w:rPr>
        <w:t>të shqetësuar</w:t>
      </w:r>
      <w:r w:rsidRPr="006871FF">
        <w:rPr>
          <w:rFonts w:ascii="Georgia" w:hAnsi="Georgia"/>
          <w:lang w:val="sq-AL"/>
        </w:rPr>
        <w:t xml:space="preserve"> nga lidhjet ndërmjet korrupsionit dhe formave të tjera të krimit, sidomos krimit të organizuar dhe krimit ekonomik, duke përfshirë pastrimin e parave; </w:t>
      </w:r>
    </w:p>
    <w:p w:rsidR="00B02EF1" w:rsidRPr="006871FF" w:rsidRDefault="00B02EF1" w:rsidP="00ED1E69">
      <w:pPr>
        <w:pStyle w:val="NoSpacing"/>
        <w:jc w:val="both"/>
        <w:rPr>
          <w:rFonts w:ascii="Georgia" w:hAnsi="Georgia"/>
          <w:lang w:val="sq-AL"/>
        </w:rPr>
      </w:pPr>
      <w:r w:rsidRPr="006871FF">
        <w:rPr>
          <w:rFonts w:ascii="Georgia" w:hAnsi="Georgia"/>
          <w:b/>
          <w:bCs/>
          <w:lang w:val="sq-AL"/>
        </w:rPr>
        <w:t>të shqetësuar</w:t>
      </w:r>
      <w:r w:rsidRPr="006871FF">
        <w:rPr>
          <w:rFonts w:ascii="Georgia" w:hAnsi="Georgia"/>
          <w:lang w:val="sq-AL"/>
        </w:rPr>
        <w:t xml:space="preserve"> edhe për rastet e korrupsionit që kanë të bëjnë me sasi të mëdha pasurish, që mund të përbëjnë një pjesë thelbësore të burimeve për shtetet, dhe që kërcënojnë stabilitetin politik dhe zhvillimin e shëndetshëm të këtyre shteteve;</w:t>
      </w:r>
    </w:p>
    <w:p w:rsidR="00B02EF1" w:rsidRPr="006871FF" w:rsidRDefault="00B02EF1" w:rsidP="00ED1E69">
      <w:pPr>
        <w:pStyle w:val="NoSpacing"/>
        <w:jc w:val="both"/>
        <w:rPr>
          <w:rFonts w:ascii="Georgia" w:hAnsi="Georgia"/>
          <w:lang w:val="sq-AL"/>
        </w:rPr>
      </w:pPr>
      <w:r w:rsidRPr="006871FF">
        <w:rPr>
          <w:rFonts w:ascii="Georgia" w:hAnsi="Georgia"/>
          <w:b/>
          <w:bCs/>
          <w:lang w:val="sq-AL"/>
        </w:rPr>
        <w:t>të bindur</w:t>
      </w:r>
      <w:r w:rsidRPr="006871FF">
        <w:rPr>
          <w:rFonts w:ascii="Georgia" w:hAnsi="Georgia"/>
          <w:lang w:val="sq-AL"/>
        </w:rPr>
        <w:t xml:space="preserve"> se korrupsioni nuk vazhdon të jetë një çështje e një vendi, por një fenomen transkombëtar që prek të gjitha shoqëritë dhe ekonomitë, duke e bërë bashkëpunimin ndërkombëtar për parandalimin dhe kontrollin e tij thelbësor; </w:t>
      </w:r>
    </w:p>
    <w:p w:rsidR="00B02EF1" w:rsidRPr="006871FF" w:rsidRDefault="00B02EF1" w:rsidP="00ED1E69">
      <w:pPr>
        <w:pStyle w:val="NoSpacing"/>
        <w:jc w:val="both"/>
        <w:rPr>
          <w:rFonts w:ascii="Georgia" w:hAnsi="Georgia"/>
          <w:lang w:val="sq-AL"/>
        </w:rPr>
      </w:pPr>
      <w:r w:rsidRPr="006871FF">
        <w:rPr>
          <w:rFonts w:ascii="Georgia" w:hAnsi="Georgia"/>
          <w:b/>
          <w:bCs/>
          <w:lang w:val="sq-AL"/>
        </w:rPr>
        <w:t>të bindur</w:t>
      </w:r>
      <w:r w:rsidRPr="006871FF">
        <w:rPr>
          <w:rFonts w:ascii="Georgia" w:hAnsi="Georgia"/>
          <w:lang w:val="sq-AL"/>
        </w:rPr>
        <w:t xml:space="preserve"> gjithashtu se kërkohet një trajtim i plotë dhe i shumëllojshëm për parandalimin dhe luftimin e korrupsionit me efektivitet;</w:t>
      </w:r>
      <w:r w:rsidR="000F164D" w:rsidRPr="006871FF">
        <w:rPr>
          <w:rFonts w:ascii="Georgia" w:hAnsi="Georgia"/>
          <w:lang w:val="sq-AL"/>
        </w:rPr>
        <w:t xml:space="preserve"> ......</w:t>
      </w:r>
    </w:p>
    <w:p w:rsidR="00B02EF1" w:rsidRPr="006871FF" w:rsidRDefault="00B02EF1" w:rsidP="00ED1E69">
      <w:pPr>
        <w:pStyle w:val="NoSpacing"/>
        <w:jc w:val="both"/>
        <w:rPr>
          <w:rFonts w:ascii="Georgia" w:hAnsi="Georgia"/>
          <w:lang w:val="sq-AL"/>
        </w:rPr>
      </w:pPr>
    </w:p>
    <w:p w:rsidR="00B02EF1" w:rsidRPr="006871FF" w:rsidRDefault="00B02EF1" w:rsidP="00ED1E69">
      <w:pPr>
        <w:pStyle w:val="NoSpacing"/>
        <w:jc w:val="both"/>
        <w:rPr>
          <w:rFonts w:ascii="Georgia" w:hAnsi="Georgia"/>
          <w:lang w:val="sq-AL"/>
        </w:rPr>
      </w:pPr>
      <w:r w:rsidRPr="006871FF">
        <w:rPr>
          <w:rFonts w:ascii="Georgia" w:hAnsi="Georgia"/>
          <w:lang w:val="sq-AL"/>
        </w:rPr>
        <w:t>Neni 1</w:t>
      </w:r>
    </w:p>
    <w:p w:rsidR="00B02EF1" w:rsidRPr="006871FF" w:rsidRDefault="00B02EF1" w:rsidP="00ED1E69">
      <w:pPr>
        <w:pStyle w:val="NoSpacing"/>
        <w:jc w:val="both"/>
        <w:rPr>
          <w:rFonts w:ascii="Georgia" w:hAnsi="Georgia"/>
          <w:lang w:val="sq-AL"/>
        </w:rPr>
      </w:pPr>
      <w:r w:rsidRPr="006871FF">
        <w:rPr>
          <w:rFonts w:ascii="Georgia" w:hAnsi="Georgia"/>
          <w:lang w:val="sq-AL"/>
        </w:rPr>
        <w:t>Deklarimi i qëllimit</w:t>
      </w:r>
    </w:p>
    <w:p w:rsidR="00B02EF1" w:rsidRPr="006871FF" w:rsidRDefault="00B02EF1" w:rsidP="00ED1E69">
      <w:pPr>
        <w:pStyle w:val="NoSpacing"/>
        <w:jc w:val="both"/>
        <w:rPr>
          <w:rFonts w:ascii="Georgia" w:hAnsi="Georgia"/>
          <w:lang w:val="sq-AL"/>
        </w:rPr>
      </w:pPr>
      <w:r w:rsidRPr="006871FF">
        <w:rPr>
          <w:rFonts w:ascii="Georgia" w:hAnsi="Georgia"/>
          <w:b/>
          <w:bCs/>
          <w:lang w:val="sq-AL"/>
        </w:rPr>
        <w:t xml:space="preserve">Qëllimet </w:t>
      </w:r>
      <w:r w:rsidRPr="006871FF">
        <w:rPr>
          <w:rFonts w:ascii="Georgia" w:hAnsi="Georgia"/>
          <w:lang w:val="sq-AL"/>
        </w:rPr>
        <w:t>e kësaj Konvente janë:</w:t>
      </w:r>
    </w:p>
    <w:p w:rsidR="00B02EF1" w:rsidRPr="006871FF" w:rsidRDefault="00B02EF1" w:rsidP="00ED1E69">
      <w:pPr>
        <w:pStyle w:val="NoSpacing"/>
        <w:jc w:val="both"/>
        <w:rPr>
          <w:rFonts w:ascii="Georgia" w:hAnsi="Georgia"/>
          <w:lang w:val="sq-AL"/>
        </w:rPr>
      </w:pPr>
      <w:r w:rsidRPr="006871FF">
        <w:rPr>
          <w:rFonts w:ascii="Georgia" w:hAnsi="Georgia"/>
          <w:lang w:val="sq-AL"/>
        </w:rPr>
        <w:t>a) nxitja dhe forcimi i masave për parandalimin dhe luftën kundër korrupsionit më me efiçencë dhe efektivitet;</w:t>
      </w:r>
    </w:p>
    <w:p w:rsidR="00B02EF1" w:rsidRPr="006871FF" w:rsidRDefault="00B02EF1" w:rsidP="00ED1E69">
      <w:pPr>
        <w:pStyle w:val="NoSpacing"/>
        <w:jc w:val="both"/>
        <w:rPr>
          <w:rFonts w:ascii="Georgia" w:hAnsi="Georgia"/>
          <w:lang w:val="sq-AL"/>
        </w:rPr>
      </w:pPr>
      <w:r w:rsidRPr="006871FF">
        <w:rPr>
          <w:rFonts w:ascii="Georgia" w:hAnsi="Georgia"/>
          <w:lang w:val="sq-AL"/>
        </w:rPr>
        <w:t>b) nxitja, lehtësimi dhe mbështetja e bashkëpunimit ndërkombëtar dhe asistencës teknike në parandalimin dhe luftën kundër korrupsionit, duke përfshirë rimarrjen e pasurisë;</w:t>
      </w:r>
    </w:p>
    <w:p w:rsidR="000F164D" w:rsidRPr="006871FF" w:rsidRDefault="00B02EF1" w:rsidP="000F164D">
      <w:pPr>
        <w:pStyle w:val="NoSpacing"/>
        <w:jc w:val="both"/>
        <w:rPr>
          <w:rFonts w:ascii="Georgia" w:hAnsi="Georgia"/>
          <w:shd w:val="clear" w:color="auto" w:fill="FFFFFF"/>
          <w:lang w:val="sq-AL"/>
        </w:rPr>
      </w:pPr>
      <w:r w:rsidRPr="006871FF">
        <w:rPr>
          <w:rFonts w:ascii="Georgia" w:hAnsi="Georgia"/>
          <w:lang w:val="sq-AL"/>
        </w:rPr>
        <w:t>c) nxitja e integritetit, përgjegjësisë dhe administrimi i rregullt i çështjeve publike dhe pasurisë publike.</w:t>
      </w:r>
    </w:p>
    <w:p w:rsidR="000F164D" w:rsidRPr="006871FF" w:rsidRDefault="000F164D" w:rsidP="000F164D">
      <w:pPr>
        <w:pStyle w:val="NoSpacing"/>
        <w:jc w:val="both"/>
        <w:rPr>
          <w:rFonts w:ascii="Georgia" w:hAnsi="Georgia"/>
          <w:shd w:val="clear" w:color="auto" w:fill="FFFFFF"/>
          <w:lang w:val="sq-AL"/>
        </w:rPr>
      </w:pPr>
    </w:p>
    <w:p w:rsidR="000F164D" w:rsidRPr="006871FF" w:rsidRDefault="0075218C" w:rsidP="000F164D">
      <w:pPr>
        <w:pStyle w:val="NoSpacing"/>
        <w:jc w:val="right"/>
        <w:rPr>
          <w:rFonts w:ascii="Georgia" w:hAnsi="Georgia"/>
          <w:lang w:val="sq-AL"/>
        </w:rPr>
      </w:pPr>
      <w:r w:rsidRPr="006871FF">
        <w:rPr>
          <w:rFonts w:ascii="Georgia" w:hAnsi="Georgia"/>
          <w:lang w:val="sq-AL"/>
        </w:rPr>
        <w:t xml:space="preserve">(Ratifikuar me ligjin n.8778, datë 26.4.2001) </w:t>
      </w:r>
    </w:p>
    <w:p w:rsidR="000F164D" w:rsidRPr="006871FF" w:rsidRDefault="00BE105B" w:rsidP="000F164D">
      <w:pPr>
        <w:pStyle w:val="NoSpacing"/>
        <w:jc w:val="center"/>
        <w:rPr>
          <w:rFonts w:ascii="Georgia" w:hAnsi="Georgia"/>
        </w:rPr>
      </w:pPr>
      <w:r w:rsidRPr="006871FF">
        <w:rPr>
          <w:rFonts w:ascii="Georgia" w:hAnsi="Georgia"/>
        </w:rPr>
        <w:t xml:space="preserve">Konventa Penale Për Korrupsion </w:t>
      </w:r>
      <w:r w:rsidR="0075218C" w:rsidRPr="006871FF">
        <w:rPr>
          <w:rFonts w:ascii="Georgia" w:hAnsi="Georgia"/>
        </w:rPr>
        <w:t>(Evorpiane) Strasburg, më 21.1.1999</w:t>
      </w:r>
    </w:p>
    <w:p w:rsidR="000F164D" w:rsidRPr="006871FF" w:rsidRDefault="000F164D" w:rsidP="000F164D">
      <w:pPr>
        <w:pStyle w:val="NoSpacing"/>
        <w:jc w:val="both"/>
        <w:rPr>
          <w:rFonts w:ascii="Georgia" w:hAnsi="Georgia"/>
        </w:rPr>
      </w:pPr>
    </w:p>
    <w:p w:rsidR="00C25C3B" w:rsidRPr="006871FF" w:rsidRDefault="000F164D" w:rsidP="00C25C3B">
      <w:pPr>
        <w:pStyle w:val="NoSpacing"/>
        <w:jc w:val="both"/>
        <w:rPr>
          <w:rFonts w:ascii="Georgia" w:hAnsi="Georgia"/>
        </w:rPr>
      </w:pPr>
      <w:r w:rsidRPr="006871FF">
        <w:rPr>
          <w:rFonts w:ascii="Georgia" w:hAnsi="Georgia"/>
        </w:rPr>
        <w:t>HYRJE</w:t>
      </w:r>
    </w:p>
    <w:p w:rsidR="00C25C3B" w:rsidRPr="006871FF" w:rsidRDefault="000F164D" w:rsidP="00C25C3B">
      <w:pPr>
        <w:pStyle w:val="NoSpacing"/>
        <w:jc w:val="both"/>
        <w:rPr>
          <w:rFonts w:ascii="Georgia" w:hAnsi="Georgia"/>
        </w:rPr>
      </w:pPr>
      <w:r w:rsidRPr="006871FF">
        <w:rPr>
          <w:rFonts w:ascii="Georgia" w:hAnsi="Georgia"/>
        </w:rPr>
        <w:t>......</w:t>
      </w:r>
    </w:p>
    <w:p w:rsidR="00C25C3B" w:rsidRPr="006871FF" w:rsidRDefault="00C25C3B" w:rsidP="00C25C3B">
      <w:pPr>
        <w:pStyle w:val="NoSpacing"/>
        <w:jc w:val="both"/>
        <w:rPr>
          <w:rFonts w:ascii="Georgia" w:hAnsi="Georgia"/>
        </w:rPr>
      </w:pPr>
      <w:r w:rsidRPr="006871FF">
        <w:rPr>
          <w:rFonts w:ascii="Georgia" w:hAnsi="Georgia"/>
        </w:rPr>
        <w:t>........</w:t>
      </w:r>
      <w:r w:rsidR="0075218C" w:rsidRPr="006871FF">
        <w:rPr>
          <w:rFonts w:ascii="Georgia" w:hAnsi="Georgia"/>
          <w:b/>
          <w:bCs/>
        </w:rPr>
        <w:t>Të bindur</w:t>
      </w:r>
      <w:r w:rsidR="0075218C" w:rsidRPr="006871FF">
        <w:rPr>
          <w:rFonts w:ascii="Georgia" w:hAnsi="Georgia"/>
        </w:rPr>
        <w:t xml:space="preserve"> në nevojën e ndjekjes, si një çështje e prioritetit të një politike penale të përbashkët, duke u mbështetur në mbrojtjen e shoqërisë nga korrupsioni, përfshirë përshtatjen e legjislacionit të përsh</w:t>
      </w:r>
      <w:r w:rsidR="000F164D" w:rsidRPr="006871FF">
        <w:rPr>
          <w:rFonts w:ascii="Georgia" w:hAnsi="Georgia"/>
        </w:rPr>
        <w:t>tashëm dhe masave parandaluese;</w:t>
      </w:r>
    </w:p>
    <w:p w:rsidR="00C25C3B" w:rsidRPr="006871FF" w:rsidRDefault="0075218C" w:rsidP="00C25C3B">
      <w:pPr>
        <w:pStyle w:val="NoSpacing"/>
        <w:jc w:val="both"/>
        <w:rPr>
          <w:rFonts w:ascii="Georgia" w:hAnsi="Georgia"/>
        </w:rPr>
      </w:pPr>
      <w:r w:rsidRPr="006871FF">
        <w:rPr>
          <w:rFonts w:ascii="Georgia" w:hAnsi="Georgia"/>
          <w:b/>
          <w:bCs/>
        </w:rPr>
        <w:t>Duke theksuar</w:t>
      </w:r>
      <w:r w:rsidRPr="006871FF">
        <w:rPr>
          <w:rFonts w:ascii="Georgia" w:hAnsi="Georgia"/>
        </w:rPr>
        <w:t xml:space="preserve"> se korrupsioni dëmton shtetin ligjor, demokracinë dhe të drejtat e njeriut, ul nivelin e qeverisjes së mirë, transparencës dhe drejtësisë shoqërore, pengon konkurrencën, zhvillimin ekonomik dhe rrezikon qëndrueshmërinë e institucioneve demokratike dhe themeleve morale të shoqërisë;</w:t>
      </w:r>
      <w:r w:rsidR="000F164D" w:rsidRPr="006871FF">
        <w:rPr>
          <w:rFonts w:ascii="Georgia" w:hAnsi="Georgia"/>
        </w:rPr>
        <w:t xml:space="preserve"> .....</w:t>
      </w:r>
    </w:p>
    <w:p w:rsidR="00C25C3B" w:rsidRPr="006871FF" w:rsidRDefault="00C25C3B" w:rsidP="00C25C3B">
      <w:pPr>
        <w:pStyle w:val="NoSpacing"/>
        <w:jc w:val="both"/>
        <w:rPr>
          <w:rFonts w:ascii="Georgia" w:hAnsi="Georgia"/>
          <w:shd w:val="clear" w:color="auto" w:fill="FFFFFF"/>
        </w:rPr>
      </w:pPr>
    </w:p>
    <w:p w:rsidR="0035724B" w:rsidRDefault="00DD7FB6" w:rsidP="0035724B">
      <w:pPr>
        <w:pStyle w:val="NoSpacing"/>
        <w:jc w:val="both"/>
        <w:rPr>
          <w:rFonts w:ascii="Georgia" w:hAnsi="Georgia"/>
          <w:shd w:val="clear" w:color="auto" w:fill="FFFFFF"/>
        </w:rPr>
      </w:pPr>
      <w:r w:rsidRPr="006871FF">
        <w:rPr>
          <w:rFonts w:ascii="Georgia" w:hAnsi="Georgia"/>
          <w:shd w:val="clear" w:color="auto" w:fill="FFFFFF"/>
        </w:rPr>
        <w:t>Fillimisht:</w:t>
      </w:r>
      <w:r w:rsidR="003E2F8A" w:rsidRPr="006871FF">
        <w:rPr>
          <w:rFonts w:ascii="Georgia" w:hAnsi="Georgia"/>
          <w:shd w:val="clear" w:color="auto" w:fill="FFFFFF"/>
        </w:rPr>
        <w:t xml:space="preserve"> </w:t>
      </w:r>
      <w:r w:rsidR="001D4C81" w:rsidRPr="006871FF">
        <w:rPr>
          <w:rFonts w:ascii="Georgia" w:hAnsi="Georgia"/>
          <w:shd w:val="clear" w:color="auto" w:fill="FFFFFF"/>
        </w:rPr>
        <w:t>Vepra penale</w:t>
      </w:r>
    </w:p>
    <w:p w:rsidR="0035724B" w:rsidRDefault="00DD7FB6" w:rsidP="0035724B">
      <w:pPr>
        <w:pStyle w:val="NoSpacing"/>
        <w:jc w:val="both"/>
        <w:rPr>
          <w:rFonts w:ascii="Georgia" w:hAnsi="Georgia"/>
          <w:b/>
        </w:rPr>
      </w:pPr>
      <w:r w:rsidRPr="006871FF">
        <w:rPr>
          <w:rFonts w:ascii="Georgia" w:hAnsi="Georgia"/>
          <w:b/>
        </w:rPr>
        <w:t>Dypjesët dhe Trepjesët e strukturës së veprës penale.</w:t>
      </w:r>
      <w:r w:rsidRPr="006871FF">
        <w:rPr>
          <w:rStyle w:val="FootnoteReference"/>
          <w:rFonts w:ascii="Georgia" w:hAnsi="Georgia"/>
          <w:b/>
        </w:rPr>
        <w:footnoteReference w:id="1"/>
      </w:r>
    </w:p>
    <w:p w:rsidR="0035724B" w:rsidRDefault="00DD7FB6" w:rsidP="0035724B">
      <w:pPr>
        <w:pStyle w:val="NoSpacing"/>
        <w:jc w:val="both"/>
        <w:rPr>
          <w:rFonts w:ascii="Georgia" w:hAnsi="Georgia"/>
        </w:rPr>
      </w:pPr>
      <w:r w:rsidRPr="006871FF">
        <w:rPr>
          <w:rFonts w:ascii="Georgia" w:hAnsi="Georgia"/>
        </w:rPr>
        <w:t xml:space="preserve">Metoda e ndjekur nga doktrina penalistike </w:t>
      </w:r>
      <w:r w:rsidRPr="006871FF">
        <w:rPr>
          <w:rFonts w:ascii="Georgia" w:hAnsi="Georgia"/>
          <w:b/>
        </w:rPr>
        <w:t>italiane</w:t>
      </w:r>
      <w:r w:rsidRPr="006871FF">
        <w:rPr>
          <w:rFonts w:ascii="Georgia" w:hAnsi="Georgia"/>
        </w:rPr>
        <w:t xml:space="preserve"> është ajo analitike, në bazë të të cilës rasti zbërthehet në elementët e tij formues në mënyrë që të stabilizohet se çfarë është efektivisht e ndaluar nga ligji dhe se rasti konkret rezulton i përputhur me rastin ligjor.</w:t>
      </w:r>
    </w:p>
    <w:p w:rsidR="00DD7FB6" w:rsidRPr="0035724B" w:rsidRDefault="00DD7FB6" w:rsidP="0035724B">
      <w:pPr>
        <w:pStyle w:val="NoSpacing"/>
        <w:jc w:val="both"/>
        <w:rPr>
          <w:rFonts w:ascii="Georgia" w:hAnsi="Georgia"/>
          <w:shd w:val="clear" w:color="auto" w:fill="FFFFFF"/>
        </w:rPr>
      </w:pPr>
      <w:r w:rsidRPr="006871FF">
        <w:rPr>
          <w:rFonts w:ascii="Georgia" w:hAnsi="Georgia"/>
        </w:rPr>
        <w:t>Konsiderata analitike e veprës penale i ka lënë vend dy teorive: e dy</w:t>
      </w:r>
      <w:r w:rsidR="004B320A" w:rsidRPr="006871FF">
        <w:rPr>
          <w:rFonts w:ascii="Georgia" w:hAnsi="Georgia"/>
        </w:rPr>
        <w:t>-</w:t>
      </w:r>
      <w:r w:rsidRPr="006871FF">
        <w:rPr>
          <w:rFonts w:ascii="Georgia" w:hAnsi="Georgia"/>
        </w:rPr>
        <w:t>pjesëve dhe e tri</w:t>
      </w:r>
      <w:r w:rsidR="004B320A" w:rsidRPr="006871FF">
        <w:rPr>
          <w:rFonts w:ascii="Georgia" w:hAnsi="Georgia"/>
        </w:rPr>
        <w:t>-</w:t>
      </w:r>
      <w:r w:rsidRPr="006871FF">
        <w:rPr>
          <w:rFonts w:ascii="Georgia" w:hAnsi="Georgia"/>
        </w:rPr>
        <w:t>pjesëve.</w:t>
      </w:r>
    </w:p>
    <w:p w:rsidR="00DD7FB6" w:rsidRPr="006871FF" w:rsidRDefault="00DD7FB6" w:rsidP="00DD7FB6">
      <w:pPr>
        <w:pStyle w:val="ListParagraph"/>
        <w:numPr>
          <w:ilvl w:val="0"/>
          <w:numId w:val="33"/>
        </w:numPr>
        <w:ind w:left="0" w:firstLine="720"/>
        <w:jc w:val="both"/>
        <w:rPr>
          <w:rFonts w:ascii="Georgia" w:hAnsi="Georgia" w:cs="Times New Roman"/>
        </w:rPr>
      </w:pPr>
      <w:r w:rsidRPr="006871FF">
        <w:rPr>
          <w:rFonts w:ascii="Georgia" w:hAnsi="Georgia" w:cs="Times New Roman"/>
          <w:b/>
        </w:rPr>
        <w:t>Ide</w:t>
      </w:r>
      <w:r w:rsidR="008D569B" w:rsidRPr="006871FF">
        <w:rPr>
          <w:rFonts w:ascii="Georgia" w:hAnsi="Georgia" w:cs="Times New Roman"/>
          <w:b/>
        </w:rPr>
        <w:t>j</w:t>
      </w:r>
      <w:r w:rsidRPr="006871FF">
        <w:rPr>
          <w:rFonts w:ascii="Georgia" w:hAnsi="Georgia" w:cs="Times New Roman"/>
          <w:b/>
        </w:rPr>
        <w:t>a “dy</w:t>
      </w:r>
      <w:r w:rsidR="004B320A" w:rsidRPr="006871FF">
        <w:rPr>
          <w:rFonts w:ascii="Georgia" w:hAnsi="Georgia" w:cs="Times New Roman"/>
          <w:b/>
        </w:rPr>
        <w:t>-</w:t>
      </w:r>
      <w:r w:rsidR="008D569B" w:rsidRPr="006871FF">
        <w:rPr>
          <w:rFonts w:ascii="Georgia" w:hAnsi="Georgia" w:cs="Times New Roman"/>
          <w:b/>
        </w:rPr>
        <w:t>pj</w:t>
      </w:r>
      <w:r w:rsidRPr="006871FF">
        <w:rPr>
          <w:rFonts w:ascii="Georgia" w:hAnsi="Georgia" w:cs="Times New Roman"/>
          <w:b/>
        </w:rPr>
        <w:t>esëve”.</w:t>
      </w:r>
      <w:r w:rsidR="008D569B" w:rsidRPr="006871FF">
        <w:rPr>
          <w:rFonts w:ascii="Georgia" w:hAnsi="Georgia" w:cs="Times New Roman"/>
          <w:b/>
        </w:rPr>
        <w:t xml:space="preserve"> </w:t>
      </w:r>
      <w:r w:rsidRPr="006871FF">
        <w:rPr>
          <w:rFonts w:ascii="Georgia" w:hAnsi="Georgia" w:cs="Times New Roman"/>
        </w:rPr>
        <w:t>Për teorinë e “dy</w:t>
      </w:r>
      <w:r w:rsidR="008D569B" w:rsidRPr="006871FF">
        <w:rPr>
          <w:rFonts w:ascii="Georgia" w:hAnsi="Georgia" w:cs="Times New Roman"/>
        </w:rPr>
        <w:t>-</w:t>
      </w:r>
      <w:r w:rsidRPr="006871FF">
        <w:rPr>
          <w:rFonts w:ascii="Georgia" w:hAnsi="Georgia" w:cs="Times New Roman"/>
        </w:rPr>
        <w:t xml:space="preserve">pjesëve” vepra penale është </w:t>
      </w:r>
      <w:r w:rsidRPr="006871FF">
        <w:rPr>
          <w:rFonts w:ascii="Georgia" w:hAnsi="Georgia" w:cs="Times New Roman"/>
          <w:i/>
        </w:rPr>
        <w:t>një fakt njer</w:t>
      </w:r>
      <w:r w:rsidR="004B320A" w:rsidRPr="006871FF">
        <w:rPr>
          <w:rFonts w:ascii="Georgia" w:hAnsi="Georgia" w:cs="Times New Roman"/>
          <w:i/>
        </w:rPr>
        <w:t>ë</w:t>
      </w:r>
      <w:r w:rsidRPr="006871FF">
        <w:rPr>
          <w:rFonts w:ascii="Georgia" w:hAnsi="Georgia" w:cs="Times New Roman"/>
          <w:i/>
        </w:rPr>
        <w:t>zor i kryer me vullnet të fajshëm/colpevole.</w:t>
      </w:r>
    </w:p>
    <w:p w:rsidR="00DD7FB6" w:rsidRPr="006871FF" w:rsidRDefault="00DD7FB6" w:rsidP="00DD7FB6">
      <w:pPr>
        <w:pStyle w:val="ListParagraph"/>
        <w:jc w:val="both"/>
        <w:rPr>
          <w:rFonts w:ascii="Georgia" w:hAnsi="Georgia" w:cs="Times New Roman"/>
        </w:rPr>
      </w:pPr>
      <w:r w:rsidRPr="006871FF">
        <w:rPr>
          <w:rFonts w:ascii="Georgia" w:hAnsi="Georgia" w:cs="Times New Roman"/>
        </w:rPr>
        <w:t>Me fjalë të tjera vepra penale përbëhet nga dy elementë thelbësor:</w:t>
      </w:r>
    </w:p>
    <w:p w:rsidR="00DD7FB6" w:rsidRPr="006871FF" w:rsidRDefault="00DD7FB6" w:rsidP="00DD7FB6">
      <w:pPr>
        <w:pStyle w:val="ListParagraph"/>
        <w:jc w:val="both"/>
        <w:rPr>
          <w:rFonts w:ascii="Georgia" w:hAnsi="Georgia" w:cs="Times New Roman"/>
        </w:rPr>
      </w:pPr>
      <w:r w:rsidRPr="006871FF">
        <w:rPr>
          <w:rFonts w:ascii="Georgia" w:hAnsi="Georgia" w:cs="Times New Roman"/>
        </w:rPr>
        <w:t xml:space="preserve">-një </w:t>
      </w:r>
      <w:r w:rsidRPr="006871FF">
        <w:rPr>
          <w:rFonts w:ascii="Georgia" w:hAnsi="Georgia" w:cs="Times New Roman"/>
          <w:b/>
        </w:rPr>
        <w:t>element objektiv</w:t>
      </w:r>
      <w:r w:rsidRPr="006871FF">
        <w:rPr>
          <w:rFonts w:ascii="Georgia" w:hAnsi="Georgia" w:cs="Times New Roman"/>
        </w:rPr>
        <w:t xml:space="preserve"> (fakti material), formuar nga veprimi/mosveprimi, nga ngjarja/pasoja natyrore (kur ka) dhe nga raporti shkak</w:t>
      </w:r>
      <w:r w:rsidR="008D569B" w:rsidRPr="006871FF">
        <w:rPr>
          <w:rFonts w:ascii="Georgia" w:hAnsi="Georgia" w:cs="Times New Roman"/>
        </w:rPr>
        <w:t>ë</w:t>
      </w:r>
      <w:r w:rsidRPr="006871FF">
        <w:rPr>
          <w:rFonts w:ascii="Georgia" w:hAnsi="Georgia" w:cs="Times New Roman"/>
        </w:rPr>
        <w:t>sor që duhet ekzistojë ndërmjet sjelljes dhe ngjarjes/pasojës.</w:t>
      </w:r>
    </w:p>
    <w:p w:rsidR="00DD7FB6" w:rsidRPr="006871FF" w:rsidRDefault="00DD7FB6" w:rsidP="00DD7FB6">
      <w:pPr>
        <w:pStyle w:val="ListParagraph"/>
        <w:jc w:val="both"/>
        <w:rPr>
          <w:rFonts w:ascii="Georgia" w:hAnsi="Georgia" w:cs="Times New Roman"/>
        </w:rPr>
      </w:pPr>
      <w:r w:rsidRPr="006871FF">
        <w:rPr>
          <w:rFonts w:ascii="Georgia" w:hAnsi="Georgia" w:cs="Times New Roman"/>
        </w:rPr>
        <w:t xml:space="preserve">-një </w:t>
      </w:r>
      <w:r w:rsidRPr="006871FF">
        <w:rPr>
          <w:rFonts w:ascii="Georgia" w:hAnsi="Georgia" w:cs="Times New Roman"/>
          <w:b/>
        </w:rPr>
        <w:t>element subjektiv</w:t>
      </w:r>
      <w:r w:rsidRPr="006871FF">
        <w:rPr>
          <w:rFonts w:ascii="Georgia" w:hAnsi="Georgia" w:cs="Times New Roman"/>
        </w:rPr>
        <w:t xml:space="preserve"> (fajshëm/colpevolezza), formuar nga sjellja psikologjike e kërkuar nga ligji për kryerjen e një vepre penale të dhënë (dashja/dolo, pakujdesia/colpa, tejdashja/preterintenzione) për qëllime të akuzimit/fajsimit subjektiv të faktit kriminal.</w:t>
      </w:r>
    </w:p>
    <w:p w:rsidR="00DD7FB6" w:rsidRPr="006871FF" w:rsidRDefault="00DD7FB6" w:rsidP="00DD7FB6">
      <w:pPr>
        <w:pStyle w:val="ListParagraph"/>
        <w:ind w:left="0" w:firstLine="284"/>
        <w:jc w:val="both"/>
        <w:rPr>
          <w:rFonts w:ascii="Georgia" w:hAnsi="Georgia" w:cs="Times New Roman"/>
        </w:rPr>
      </w:pPr>
      <w:r w:rsidRPr="006871FF">
        <w:rPr>
          <w:rFonts w:ascii="Georgia" w:hAnsi="Georgia" w:cs="Times New Roman"/>
        </w:rPr>
        <w:t xml:space="preserve">Sipas kësaj teorie </w:t>
      </w:r>
      <w:r w:rsidRPr="006871FF">
        <w:rPr>
          <w:rFonts w:ascii="Georgia" w:hAnsi="Georgia" w:cs="Times New Roman"/>
          <w:i/>
        </w:rPr>
        <w:t>kundërligjshmëria</w:t>
      </w:r>
      <w:r w:rsidRPr="006871FF">
        <w:rPr>
          <w:rFonts w:ascii="Georgia" w:hAnsi="Georgia" w:cs="Times New Roman"/>
        </w:rPr>
        <w:t>, domethënë kontrasti ndërmjet normës dhe faktit, nuk formon një element të tretë autonom por thelbin, “në vetvehte” të veprës penale.  Ajo në esencë është një gjykim i raportit ndërmjet faktit tërësisht të konsideruar dhe normës penale (</w:t>
      </w:r>
      <w:r w:rsidR="004B320A" w:rsidRPr="006871FF">
        <w:rPr>
          <w:rFonts w:ascii="Georgia" w:hAnsi="Georgia" w:cs="Times New Roman"/>
        </w:rPr>
        <w:t>Mantovani</w:t>
      </w:r>
      <w:r w:rsidRPr="006871FF">
        <w:rPr>
          <w:rFonts w:ascii="Georgia" w:hAnsi="Georgia" w:cs="Times New Roman"/>
        </w:rPr>
        <w:t>) ose më mirë një gjykim i disfavorit shoqëror të faktit që e karakterizon dhe e kualifikon si paligjshmëri penale.</w:t>
      </w:r>
    </w:p>
    <w:p w:rsidR="00DD7FB6" w:rsidRPr="006871FF" w:rsidRDefault="00DD7FB6" w:rsidP="00DD7FB6">
      <w:pPr>
        <w:pStyle w:val="ListParagraph"/>
        <w:ind w:left="0" w:firstLine="284"/>
        <w:jc w:val="both"/>
        <w:rPr>
          <w:rFonts w:ascii="Georgia" w:hAnsi="Georgia" w:cs="Times New Roman"/>
        </w:rPr>
      </w:pPr>
      <w:r w:rsidRPr="006871FF">
        <w:rPr>
          <w:rFonts w:ascii="Georgia" w:hAnsi="Georgia" w:cs="Times New Roman"/>
        </w:rPr>
        <w:t>Për këtë teori prania e një shkaku justifikues nuk përjashton thjeshtë kundërligjshmërinë, por vetë ekzistencën e faktit tipik, sepse inkriminuesit konsiderohen si elementë negativ të faktit, domethënë elementë që duhet të mungojnë që fakti të formojë vepër penale.</w:t>
      </w:r>
    </w:p>
    <w:p w:rsidR="00DD7FB6" w:rsidRPr="006871FF" w:rsidRDefault="00DD7FB6" w:rsidP="00DD7FB6">
      <w:pPr>
        <w:pStyle w:val="ListParagraph"/>
        <w:numPr>
          <w:ilvl w:val="0"/>
          <w:numId w:val="33"/>
        </w:numPr>
        <w:jc w:val="both"/>
        <w:rPr>
          <w:rFonts w:ascii="Georgia" w:hAnsi="Georgia" w:cs="Times New Roman"/>
          <w:b/>
        </w:rPr>
      </w:pPr>
      <w:r w:rsidRPr="006871FF">
        <w:rPr>
          <w:rFonts w:ascii="Georgia" w:hAnsi="Georgia" w:cs="Times New Roman"/>
          <w:b/>
        </w:rPr>
        <w:t>Ide</w:t>
      </w:r>
      <w:r w:rsidR="008D569B" w:rsidRPr="006871FF">
        <w:rPr>
          <w:rFonts w:ascii="Georgia" w:hAnsi="Georgia" w:cs="Times New Roman"/>
          <w:b/>
        </w:rPr>
        <w:t>j</w:t>
      </w:r>
      <w:r w:rsidRPr="006871FF">
        <w:rPr>
          <w:rFonts w:ascii="Georgia" w:hAnsi="Georgia" w:cs="Times New Roman"/>
          <w:b/>
        </w:rPr>
        <w:t>a “tri</w:t>
      </w:r>
      <w:r w:rsidR="008D569B" w:rsidRPr="006871FF">
        <w:rPr>
          <w:rFonts w:ascii="Georgia" w:hAnsi="Georgia" w:cs="Times New Roman"/>
          <w:b/>
        </w:rPr>
        <w:t>-</w:t>
      </w:r>
      <w:r w:rsidRPr="006871FF">
        <w:rPr>
          <w:rFonts w:ascii="Georgia" w:hAnsi="Georgia" w:cs="Times New Roman"/>
          <w:b/>
        </w:rPr>
        <w:t>pjesëve”.</w:t>
      </w:r>
    </w:p>
    <w:p w:rsidR="00DD7FB6" w:rsidRPr="006871FF" w:rsidRDefault="00DD7FB6" w:rsidP="00DD7FB6">
      <w:pPr>
        <w:pStyle w:val="ListParagraph"/>
        <w:ind w:left="0" w:firstLine="284"/>
        <w:jc w:val="both"/>
        <w:rPr>
          <w:rFonts w:ascii="Georgia" w:hAnsi="Georgia" w:cs="Times New Roman"/>
        </w:rPr>
      </w:pPr>
      <w:r w:rsidRPr="006871FF">
        <w:rPr>
          <w:rFonts w:ascii="Georgia" w:hAnsi="Georgia" w:cs="Times New Roman"/>
        </w:rPr>
        <w:t>Për teorinë e ‘tri</w:t>
      </w:r>
      <w:r w:rsidR="00424A84" w:rsidRPr="006871FF">
        <w:rPr>
          <w:rFonts w:ascii="Georgia" w:hAnsi="Georgia" w:cs="Times New Roman"/>
        </w:rPr>
        <w:t>-</w:t>
      </w:r>
      <w:r w:rsidRPr="006871FF">
        <w:rPr>
          <w:rFonts w:ascii="Georgia" w:hAnsi="Georgia" w:cs="Times New Roman"/>
        </w:rPr>
        <w:t>pjesëve’ (BELING) vepra penale formohet nga tre elementë dhe saktësisht:</w:t>
      </w:r>
    </w:p>
    <w:p w:rsidR="00DD7FB6" w:rsidRPr="006871FF" w:rsidRDefault="00DD7FB6" w:rsidP="00DD7FB6">
      <w:pPr>
        <w:pStyle w:val="ListParagraph"/>
        <w:numPr>
          <w:ilvl w:val="0"/>
          <w:numId w:val="8"/>
        </w:numPr>
        <w:jc w:val="both"/>
        <w:rPr>
          <w:rFonts w:ascii="Georgia" w:hAnsi="Georgia" w:cs="Times New Roman"/>
        </w:rPr>
      </w:pPr>
      <w:r w:rsidRPr="006871FF">
        <w:rPr>
          <w:rFonts w:ascii="Georgia" w:hAnsi="Georgia" w:cs="Times New Roman"/>
        </w:rPr>
        <w:t xml:space="preserve">nga </w:t>
      </w:r>
      <w:r w:rsidRPr="006871FF">
        <w:rPr>
          <w:rFonts w:ascii="Georgia" w:hAnsi="Georgia" w:cs="Times New Roman"/>
          <w:b/>
        </w:rPr>
        <w:t>fakti tipik</w:t>
      </w:r>
      <w:r w:rsidRPr="006871FF">
        <w:rPr>
          <w:rFonts w:ascii="Georgia" w:hAnsi="Georgia" w:cs="Times New Roman"/>
        </w:rPr>
        <w:t>, kuptuar si fakt material dhe përfshirës i kërkesave të tij objektive (sjellja, ngjarja/pasoja dhe shkak</w:t>
      </w:r>
      <w:r w:rsidR="00424A84" w:rsidRPr="006871FF">
        <w:rPr>
          <w:rFonts w:ascii="Georgia" w:hAnsi="Georgia" w:cs="Times New Roman"/>
        </w:rPr>
        <w:t>ë</w:t>
      </w:r>
      <w:r w:rsidRPr="006871FF">
        <w:rPr>
          <w:rFonts w:ascii="Georgia" w:hAnsi="Georgia" w:cs="Times New Roman"/>
        </w:rPr>
        <w:t>sia);</w:t>
      </w:r>
    </w:p>
    <w:p w:rsidR="00DD7FB6" w:rsidRPr="006871FF" w:rsidRDefault="00DD7FB6" w:rsidP="00DD7FB6">
      <w:pPr>
        <w:pStyle w:val="ListParagraph"/>
        <w:numPr>
          <w:ilvl w:val="0"/>
          <w:numId w:val="8"/>
        </w:numPr>
        <w:spacing w:after="200" w:line="276" w:lineRule="auto"/>
        <w:jc w:val="both"/>
        <w:rPr>
          <w:rFonts w:ascii="Georgia" w:hAnsi="Georgia" w:cs="Times New Roman"/>
        </w:rPr>
      </w:pPr>
      <w:r w:rsidRPr="006871FF">
        <w:rPr>
          <w:rFonts w:ascii="Georgia" w:hAnsi="Georgia" w:cs="Times New Roman"/>
        </w:rPr>
        <w:t xml:space="preserve">nga </w:t>
      </w:r>
      <w:r w:rsidRPr="006871FF">
        <w:rPr>
          <w:rFonts w:ascii="Georgia" w:hAnsi="Georgia" w:cs="Times New Roman"/>
          <w:b/>
        </w:rPr>
        <w:t>kundërligjshmëria</w:t>
      </w:r>
      <w:r w:rsidRPr="006871FF">
        <w:rPr>
          <w:rFonts w:ascii="Georgia" w:hAnsi="Georgia" w:cs="Times New Roman"/>
        </w:rPr>
        <w:t>, kuptuar si kundërshti e faktit material me rendin ligjor pavar</w:t>
      </w:r>
      <w:r w:rsidR="00424A84" w:rsidRPr="006871FF">
        <w:rPr>
          <w:rFonts w:ascii="Georgia" w:hAnsi="Georgia" w:cs="Times New Roman"/>
        </w:rPr>
        <w:t>ë</w:t>
      </w:r>
      <w:r w:rsidRPr="006871FF">
        <w:rPr>
          <w:rFonts w:ascii="Georgia" w:hAnsi="Georgia" w:cs="Times New Roman"/>
        </w:rPr>
        <w:t>sisht nga elementi psikologjik (kundërligjshmëri objektive);</w:t>
      </w:r>
    </w:p>
    <w:p w:rsidR="00DD7FB6" w:rsidRPr="006871FF" w:rsidRDefault="00DD7FB6" w:rsidP="00DD7FB6">
      <w:pPr>
        <w:pStyle w:val="ListParagraph"/>
        <w:numPr>
          <w:ilvl w:val="0"/>
          <w:numId w:val="8"/>
        </w:numPr>
        <w:spacing w:after="200" w:line="276" w:lineRule="auto"/>
        <w:jc w:val="both"/>
        <w:rPr>
          <w:rFonts w:ascii="Georgia" w:hAnsi="Georgia" w:cs="Times New Roman"/>
        </w:rPr>
      </w:pPr>
      <w:r w:rsidRPr="006871FF">
        <w:rPr>
          <w:rFonts w:ascii="Georgia" w:hAnsi="Georgia" w:cs="Times New Roman"/>
        </w:rPr>
        <w:t xml:space="preserve">nga </w:t>
      </w:r>
      <w:r w:rsidRPr="006871FF">
        <w:rPr>
          <w:rFonts w:ascii="Georgia" w:hAnsi="Georgia" w:cs="Times New Roman"/>
          <w:b/>
        </w:rPr>
        <w:t>faj</w:t>
      </w:r>
      <w:r w:rsidR="00424A84" w:rsidRPr="006871FF">
        <w:rPr>
          <w:rFonts w:ascii="Georgia" w:hAnsi="Georgia" w:cs="Times New Roman"/>
          <w:b/>
        </w:rPr>
        <w:t>ë</w:t>
      </w:r>
      <w:r w:rsidRPr="006871FF">
        <w:rPr>
          <w:rFonts w:ascii="Georgia" w:hAnsi="Georgia" w:cs="Times New Roman"/>
          <w:b/>
        </w:rPr>
        <w:t>simi</w:t>
      </w:r>
      <w:r w:rsidRPr="006871FF">
        <w:rPr>
          <w:rFonts w:ascii="Georgia" w:hAnsi="Georgia" w:cs="Times New Roman"/>
        </w:rPr>
        <w:t>, domethënë nga vullneti i dënueshëm në formën e dashjes/dolo dhe të pakujdesisë/colpa.</w:t>
      </w:r>
    </w:p>
    <w:p w:rsidR="00DD7FB6" w:rsidRPr="006871FF" w:rsidRDefault="00DD7FB6" w:rsidP="00DD7FB6">
      <w:pPr>
        <w:pStyle w:val="ListParagraph"/>
        <w:ind w:left="0" w:firstLine="720"/>
        <w:jc w:val="both"/>
        <w:rPr>
          <w:rFonts w:ascii="Georgia" w:hAnsi="Georgia" w:cs="Times New Roman"/>
        </w:rPr>
      </w:pPr>
      <w:r w:rsidRPr="006871FF">
        <w:rPr>
          <w:rFonts w:ascii="Georgia" w:hAnsi="Georgia" w:cs="Times New Roman"/>
        </w:rPr>
        <w:t>Sipas kësaj teorie në fakt duhet edhe që fakti të jetë i kundërligjshëm, domethënë nuk ka një normë për të gjithë rendin që imponon ose autorizon këtë s</w:t>
      </w:r>
      <w:r w:rsidR="00424A84" w:rsidRPr="006871FF">
        <w:rPr>
          <w:rFonts w:ascii="Georgia" w:hAnsi="Georgia" w:cs="Times New Roman"/>
        </w:rPr>
        <w:t>jellje.  Kështu për she</w:t>
      </w:r>
      <w:r w:rsidRPr="006871FF">
        <w:rPr>
          <w:rFonts w:ascii="Georgia" w:hAnsi="Georgia" w:cs="Times New Roman"/>
        </w:rPr>
        <w:t xml:space="preserve">mbull, nëse një njeri vret vullnetarisht një tjetër njeri, është përballë një fakti tipik </w:t>
      </w:r>
      <w:r w:rsidRPr="006871FF">
        <w:rPr>
          <w:rFonts w:ascii="Georgia" w:hAnsi="Georgia" w:cs="Times New Roman"/>
        </w:rPr>
        <w:lastRenderedPageBreak/>
        <w:t>faj</w:t>
      </w:r>
      <w:r w:rsidR="00F05EAD" w:rsidRPr="006871FF">
        <w:rPr>
          <w:rFonts w:ascii="Georgia" w:hAnsi="Georgia" w:cs="Times New Roman"/>
        </w:rPr>
        <w:t>ë</w:t>
      </w:r>
      <w:r w:rsidRPr="006871FF">
        <w:rPr>
          <w:rFonts w:ascii="Georgia" w:hAnsi="Georgia" w:cs="Times New Roman"/>
        </w:rPr>
        <w:t>sues por jo nevojshmërisht në një paligjshmëri si të tillë;  vrasja mund të ketë ndodhur për mbrojtje të ligjshme (art.52, normë që e autori</w:t>
      </w:r>
      <w:r w:rsidR="00F05EAD" w:rsidRPr="006871FF">
        <w:rPr>
          <w:rFonts w:ascii="Georgia" w:hAnsi="Georgia" w:cs="Times New Roman"/>
        </w:rPr>
        <w:t>zon) ose në vazhdim të një urdh</w:t>
      </w:r>
      <w:r w:rsidRPr="006871FF">
        <w:rPr>
          <w:rFonts w:ascii="Georgia" w:hAnsi="Georgia" w:cs="Times New Roman"/>
        </w:rPr>
        <w:t>ri të autoritetit (art.53, normë që e imponon).</w:t>
      </w:r>
    </w:p>
    <w:p w:rsidR="00DD7FB6" w:rsidRPr="006871FF" w:rsidRDefault="00DD7FB6" w:rsidP="00DD7FB6">
      <w:pPr>
        <w:pStyle w:val="ListParagraph"/>
        <w:ind w:left="0" w:firstLine="720"/>
        <w:jc w:val="both"/>
        <w:rPr>
          <w:rFonts w:ascii="Georgia" w:hAnsi="Georgia" w:cs="Times New Roman"/>
        </w:rPr>
      </w:pPr>
      <w:r w:rsidRPr="006871FF">
        <w:rPr>
          <w:rFonts w:ascii="Georgia" w:hAnsi="Georgia" w:cs="Times New Roman"/>
        </w:rPr>
        <w:t>Me fjalë të tjera sipas idesë së ‘tri</w:t>
      </w:r>
      <w:r w:rsidR="00F05EAD" w:rsidRPr="006871FF">
        <w:rPr>
          <w:rFonts w:ascii="Georgia" w:hAnsi="Georgia" w:cs="Times New Roman"/>
        </w:rPr>
        <w:t>-</w:t>
      </w:r>
      <w:r w:rsidRPr="006871FF">
        <w:rPr>
          <w:rFonts w:ascii="Georgia" w:hAnsi="Georgia" w:cs="Times New Roman"/>
        </w:rPr>
        <w:t>pjesëve’, kundërligjshmëria:</w:t>
      </w:r>
    </w:p>
    <w:p w:rsidR="00DD7FB6" w:rsidRPr="006871FF" w:rsidRDefault="00DD7FB6" w:rsidP="00DD7FB6">
      <w:pPr>
        <w:pStyle w:val="ListParagraph"/>
        <w:numPr>
          <w:ilvl w:val="0"/>
          <w:numId w:val="5"/>
        </w:numPr>
        <w:spacing w:after="200" w:line="276" w:lineRule="auto"/>
        <w:jc w:val="both"/>
        <w:rPr>
          <w:rFonts w:ascii="Georgia" w:hAnsi="Georgia" w:cs="Times New Roman"/>
        </w:rPr>
      </w:pPr>
      <w:r w:rsidRPr="006871FF">
        <w:rPr>
          <w:rFonts w:ascii="Georgia" w:hAnsi="Georgia" w:cs="Times New Roman"/>
        </w:rPr>
        <w:t>është një element thelbësor i veprës penale;</w:t>
      </w:r>
    </w:p>
    <w:p w:rsidR="00DD7FB6" w:rsidRPr="006871FF" w:rsidRDefault="00DD7FB6" w:rsidP="00DD7FB6">
      <w:pPr>
        <w:pStyle w:val="ListParagraph"/>
        <w:numPr>
          <w:ilvl w:val="0"/>
          <w:numId w:val="5"/>
        </w:numPr>
        <w:spacing w:after="200" w:line="276" w:lineRule="auto"/>
        <w:jc w:val="both"/>
        <w:rPr>
          <w:rFonts w:ascii="Georgia" w:hAnsi="Georgia" w:cs="Times New Roman"/>
        </w:rPr>
      </w:pPr>
      <w:r w:rsidRPr="006871FF">
        <w:rPr>
          <w:rFonts w:ascii="Georgia" w:hAnsi="Georgia" w:cs="Times New Roman"/>
        </w:rPr>
        <w:t>është një element i llojit vlerësues, i ndryshëm nga fakti tipik dhe nga faj</w:t>
      </w:r>
      <w:r w:rsidR="00F05EAD" w:rsidRPr="006871FF">
        <w:rPr>
          <w:rFonts w:ascii="Georgia" w:hAnsi="Georgia" w:cs="Times New Roman"/>
        </w:rPr>
        <w:t>ë</w:t>
      </w:r>
      <w:r w:rsidRPr="006871FF">
        <w:rPr>
          <w:rFonts w:ascii="Georgia" w:hAnsi="Georgia" w:cs="Times New Roman"/>
        </w:rPr>
        <w:t>simi që janë elementë të llojit përshkrues;</w:t>
      </w:r>
    </w:p>
    <w:p w:rsidR="00DD7FB6" w:rsidRPr="006871FF" w:rsidRDefault="00DD7FB6" w:rsidP="00DD7FB6">
      <w:pPr>
        <w:pStyle w:val="ListParagraph"/>
        <w:numPr>
          <w:ilvl w:val="0"/>
          <w:numId w:val="5"/>
        </w:numPr>
        <w:spacing w:after="200" w:line="276" w:lineRule="auto"/>
        <w:jc w:val="both"/>
        <w:rPr>
          <w:rFonts w:ascii="Georgia" w:hAnsi="Georgia" w:cs="Times New Roman"/>
        </w:rPr>
      </w:pPr>
      <w:r w:rsidRPr="006871FF">
        <w:rPr>
          <w:rFonts w:ascii="Georgia" w:hAnsi="Georgia" w:cs="Times New Roman"/>
        </w:rPr>
        <w:t xml:space="preserve">konsiston në mungesën e shkaqeve justifikuese, ose të një norme me prurje të përgjithshme (dhe, </w:t>
      </w:r>
      <w:r w:rsidR="00F05EAD" w:rsidRPr="006871FF">
        <w:rPr>
          <w:rFonts w:ascii="Georgia" w:hAnsi="Georgia" w:cs="Times New Roman"/>
        </w:rPr>
        <w:t>pikërisht si e tillë, që ka përparësi</w:t>
      </w:r>
      <w:r w:rsidRPr="006871FF">
        <w:rPr>
          <w:rFonts w:ascii="Georgia" w:hAnsi="Georgia" w:cs="Times New Roman"/>
        </w:rPr>
        <w:t xml:space="preserve"> mbi normën inkriminuese të veçantë) që autorizon ose imponon këtë sjellje të dhënë (</w:t>
      </w:r>
      <w:r w:rsidR="00B37441" w:rsidRPr="006871FF">
        <w:rPr>
          <w:rFonts w:ascii="Georgia" w:hAnsi="Georgia" w:cs="Times New Roman"/>
        </w:rPr>
        <w:t>Marinucci</w:t>
      </w:r>
      <w:r w:rsidRPr="006871FF">
        <w:rPr>
          <w:rFonts w:ascii="Georgia" w:hAnsi="Georgia" w:cs="Times New Roman"/>
        </w:rPr>
        <w:t>).</w:t>
      </w:r>
    </w:p>
    <w:p w:rsidR="00DD7FB6" w:rsidRPr="006871FF" w:rsidRDefault="00DD7FB6" w:rsidP="00DD7FB6">
      <w:pPr>
        <w:pStyle w:val="ListParagraph"/>
        <w:ind w:left="0"/>
        <w:jc w:val="both"/>
        <w:rPr>
          <w:rFonts w:ascii="Georgia" w:hAnsi="Georgia" w:cs="Times New Roman"/>
        </w:rPr>
      </w:pPr>
    </w:p>
    <w:p w:rsidR="00C50E3B" w:rsidRPr="006871FF" w:rsidRDefault="00DD7FB6" w:rsidP="0035724B">
      <w:pPr>
        <w:pStyle w:val="ListParagraph"/>
        <w:ind w:left="0" w:firstLine="720"/>
        <w:jc w:val="both"/>
        <w:rPr>
          <w:rFonts w:ascii="Georgia" w:hAnsi="Georgia" w:cs="Times New Roman"/>
        </w:rPr>
      </w:pPr>
      <w:r w:rsidRPr="006871FF">
        <w:rPr>
          <w:rFonts w:ascii="Georgia" w:hAnsi="Georgia" w:cs="Times New Roman"/>
        </w:rPr>
        <w:t>Për këtë, vlerësoj se është e duhur të përmendet përpjekja për të evidentuar se si Kodi i Procedurës Penale e konsideron strukturën e ‘veprës penale’, e aq më shumë ndryshimi i spikatur i bërë me ligjin 34/2017, ku vendin e termit ‘vepër penale’ e ka zënë termi ‘fakt penal’ (neni 7 Kpp).  Në këtë përpjekje shënohet se Kodi i shkuar i Procedurës Penale (miratuar me ligjin n.6069/79, hyrë në fuqi më 01.04.1980), i referohej ‘elementëve të veprës penale’ (§7, neni 71 apo §2, neni 151), nga ku dhe doktrina e të drejtës socialiste kishte përcaktuar ndarjen në katër të tillë, siç ‘objekti’, ‘ana objektive’, ‘subjekti’ dhe ‘ana subjektive’.  Ndërkohë Kodi – në fuqi – i Procedurës Penale, i referohet ‘faktit penal’, duke lënë të kuptohet se një ndarje e ndryshme e elementëve të veprës penale, qëndron në bazën e zgjidhjeve që i jep ligjvënësi – në rastin tonë – çfarë është vepër penale – sepse në të vërtetë i ndryshëm është edhe ndërtimi e përmbajtja e vetë Kodit Penal të vitit 1995, në fuqi nga ai i vitit 1977, tashmë i shfuqizuar.  Në kuadrin e kuptimit të veprës penale, e parë nën këndvështrimin formal-thelbësor, «vepra penale është një fakt njerëzor që sulmon një të mirë ligjore e cila konsiderohet se meriton kujdes/mbrojtje nga një ligjvënës, i cili lëviz në hapësirën e vlerave kushtetuese;  gjithnjë që masa e sulmit të jetë e tillë që bën të duket e pashmangshme shkuarja tek dënimi dhe që sanksionet jo-penale janë të pamjaftueshme për të garantuar një mbrojtje efikase».  Ky kuptim është gjithsesi i ndryshëm nga 'kuptimi i veprës penale’ që përcaktonte në nenin 3, Kodit Penal, i l</w:t>
      </w:r>
      <w:r w:rsidR="00C50E3B" w:rsidRPr="006871FF">
        <w:rPr>
          <w:rFonts w:ascii="Georgia" w:hAnsi="Georgia" w:cs="Times New Roman"/>
        </w:rPr>
        <w:t>igjit n.5591/1977 i shfuqizuar.</w:t>
      </w:r>
    </w:p>
    <w:p w:rsidR="00ED6E40" w:rsidRDefault="00DD7FB6" w:rsidP="00ED6E40">
      <w:pPr>
        <w:pStyle w:val="ListParagraph"/>
        <w:ind w:left="0" w:firstLine="720"/>
        <w:jc w:val="both"/>
        <w:rPr>
          <w:rFonts w:ascii="Georgia" w:hAnsi="Georgia" w:cs="Times New Roman"/>
        </w:rPr>
      </w:pPr>
      <w:r w:rsidRPr="006871FF">
        <w:rPr>
          <w:rFonts w:ascii="Georgia" w:hAnsi="Georgia" w:cs="Times New Roman"/>
        </w:rPr>
        <w:t>Tashmë janë përpunuar kryesisht dy teori mbi elementët përbërës të veprës penale, që në përgjithësi i kanë qëndruar kritikave e që janë teoria e formimit të veprës penale nga ‘Tripjesë’ dhe ajo nga ‘Dypjesë’.  Sipas të parës, e përputhur kjo dhe me Kodin tonë Penal – vepra penale është e formuar nga 1-‘</w:t>
      </w:r>
      <w:r w:rsidRPr="006871FF">
        <w:rPr>
          <w:rFonts w:ascii="Georgia" w:hAnsi="Georgia" w:cs="Times New Roman"/>
          <w:i/>
        </w:rPr>
        <w:t>fakti</w:t>
      </w:r>
      <w:r w:rsidRPr="006871FF">
        <w:rPr>
          <w:rFonts w:ascii="Georgia" w:hAnsi="Georgia" w:cs="Times New Roman"/>
        </w:rPr>
        <w:t xml:space="preserve"> (tipik)’, në të cilin përfshihen ‘sjellja/veprimet’, ‘ngjarja/pasoja’, dhe ‘lidhja shkakësore’ ndërmjet tyre (neni 13 k.Penal);  2-’</w:t>
      </w:r>
      <w:r w:rsidRPr="006871FF">
        <w:rPr>
          <w:rFonts w:ascii="Georgia" w:hAnsi="Georgia" w:cs="Times New Roman"/>
          <w:i/>
        </w:rPr>
        <w:t>faji</w:t>
      </w:r>
      <w:r w:rsidRPr="006871FF">
        <w:rPr>
          <w:rFonts w:ascii="Georgia" w:hAnsi="Georgia" w:cs="Times New Roman"/>
        </w:rPr>
        <w:t>’ në format e ‘dashjes’ dhe ‘pakujdesisë’ (neni 14 k.Penal) dhe ‘shfajësues’ (neni 18 k.Penal) si dhe nga 3-’</w:t>
      </w:r>
      <w:r w:rsidRPr="006871FF">
        <w:rPr>
          <w:rFonts w:ascii="Georgia" w:hAnsi="Georgia" w:cs="Times New Roman"/>
          <w:i/>
        </w:rPr>
        <w:t>kundërligjshmëria</w:t>
      </w:r>
      <w:r w:rsidRPr="006871FF">
        <w:rPr>
          <w:rFonts w:ascii="Georgia" w:hAnsi="Georgia" w:cs="Times New Roman"/>
        </w:rPr>
        <w:t>’ objektive, e parashikuar në pjesën e posaçme të Kodit Penal, nga nenet 73 – 334/1, ashtu siç edhe në çdo ligj kur ai i parashikon si vepra penale dhe ‘justifikues’ (neni 19, 20 dhe 21 k.Penal).</w:t>
      </w:r>
    </w:p>
    <w:p w:rsidR="00ED6E40" w:rsidRDefault="00ED6E40" w:rsidP="00ED6E40">
      <w:pPr>
        <w:pStyle w:val="ListParagraph"/>
        <w:ind w:left="0" w:firstLine="720"/>
        <w:jc w:val="both"/>
        <w:rPr>
          <w:rFonts w:ascii="Georgia" w:hAnsi="Georgia" w:cs="Times New Roman"/>
        </w:rPr>
      </w:pPr>
    </w:p>
    <w:p w:rsidR="00441B23" w:rsidRPr="00ED6E40" w:rsidRDefault="001E6CA5" w:rsidP="00ED6E40">
      <w:pPr>
        <w:pStyle w:val="ListParagraph"/>
        <w:ind w:left="0" w:firstLine="720"/>
        <w:jc w:val="both"/>
        <w:rPr>
          <w:rFonts w:ascii="Georgia" w:hAnsi="Georgia" w:cs="Times New Roman"/>
          <w:shd w:val="clear" w:color="auto" w:fill="FFFFFF"/>
        </w:rPr>
      </w:pPr>
      <w:r w:rsidRPr="00ED6E40">
        <w:rPr>
          <w:rFonts w:ascii="Georgia" w:hAnsi="Georgia" w:cs="Times New Roman"/>
          <w:shd w:val="clear" w:color="auto" w:fill="FFFFFF"/>
        </w:rPr>
        <w:t>Vepra penale KORRUPSIONIT</w:t>
      </w:r>
    </w:p>
    <w:p w:rsidR="00441B23" w:rsidRDefault="006A1FD6" w:rsidP="00441B23">
      <w:pPr>
        <w:pStyle w:val="ListParagraph"/>
        <w:ind w:left="0" w:firstLine="720"/>
        <w:jc w:val="both"/>
        <w:rPr>
          <w:rFonts w:ascii="Georgia" w:hAnsi="Georgia" w:cs="Times New Roman"/>
        </w:rPr>
      </w:pPr>
      <w:r w:rsidRPr="0035724B">
        <w:rPr>
          <w:rFonts w:ascii="Georgia" w:hAnsi="Georgia" w:cs="Times New Roman"/>
        </w:rPr>
        <w:t>Korrupsioni</w:t>
      </w:r>
      <w:r w:rsidR="00B263A8" w:rsidRPr="0035724B">
        <w:rPr>
          <w:rFonts w:ascii="Georgia" w:hAnsi="Georgia" w:cs="Times New Roman"/>
        </w:rPr>
        <w:t xml:space="preserve"> </w:t>
      </w:r>
      <w:r w:rsidR="008A66DB" w:rsidRPr="0035724B">
        <w:rPr>
          <w:rFonts w:ascii="Georgia" w:hAnsi="Georgia" w:cs="Times New Roman"/>
        </w:rPr>
        <w:t xml:space="preserve">në formën e tij ‘të pastër’ të </w:t>
      </w:r>
      <w:r w:rsidR="008A66DB" w:rsidRPr="0035724B">
        <w:rPr>
          <w:rFonts w:ascii="Georgia" w:hAnsi="Georgia" w:cs="Times New Roman"/>
          <w:b/>
          <w:color w:val="0000CC"/>
        </w:rPr>
        <w:t>marrjes</w:t>
      </w:r>
      <w:r w:rsidR="008A66DB" w:rsidRPr="0035724B">
        <w:rPr>
          <w:rFonts w:ascii="Georgia" w:hAnsi="Georgia" w:cs="Times New Roman"/>
        </w:rPr>
        <w:t xml:space="preserve"> së përfit</w:t>
      </w:r>
      <w:r w:rsidR="00671365" w:rsidRPr="0035724B">
        <w:rPr>
          <w:rFonts w:ascii="Georgia" w:hAnsi="Georgia" w:cs="Times New Roman"/>
        </w:rPr>
        <w:t>i</w:t>
      </w:r>
      <w:r w:rsidR="008A66DB" w:rsidRPr="0035724B">
        <w:rPr>
          <w:rFonts w:ascii="Georgia" w:hAnsi="Georgia" w:cs="Times New Roman"/>
        </w:rPr>
        <w:t xml:space="preserve">mit të paligjshëm apo </w:t>
      </w:r>
      <w:r w:rsidR="002A08B5" w:rsidRPr="0035724B">
        <w:rPr>
          <w:rFonts w:ascii="Georgia" w:hAnsi="Georgia" w:cs="Times New Roman"/>
        </w:rPr>
        <w:t>premtimit për përfitim të paligjshë</w:t>
      </w:r>
      <w:r w:rsidR="00671365" w:rsidRPr="0035724B">
        <w:rPr>
          <w:rFonts w:ascii="Georgia" w:hAnsi="Georgia" w:cs="Times New Roman"/>
        </w:rPr>
        <w:t>m</w:t>
      </w:r>
      <w:r w:rsidR="002A08B5" w:rsidRPr="0035724B">
        <w:rPr>
          <w:rFonts w:ascii="Georgia" w:hAnsi="Georgia" w:cs="Times New Roman"/>
        </w:rPr>
        <w:t xml:space="preserve"> dhe të </w:t>
      </w:r>
      <w:r w:rsidR="00680758" w:rsidRPr="0035724B">
        <w:rPr>
          <w:rStyle w:val="BodyText1"/>
          <w:rFonts w:ascii="Georgia" w:hAnsi="Georgia" w:cs="Times New Roman"/>
          <w:b/>
          <w:color w:val="0000CC"/>
          <w:sz w:val="22"/>
          <w:szCs w:val="22"/>
        </w:rPr>
        <w:t>pranimit</w:t>
      </w:r>
      <w:r w:rsidR="00680758" w:rsidRPr="0035724B">
        <w:rPr>
          <w:rStyle w:val="BodyText1"/>
          <w:rFonts w:ascii="Georgia" w:hAnsi="Georgia" w:cs="Times New Roman"/>
          <w:sz w:val="22"/>
          <w:szCs w:val="22"/>
        </w:rPr>
        <w:t xml:space="preserve"> të një oferte a premtimi që vjen nga përfitimi i parregullt</w:t>
      </w:r>
      <w:r w:rsidR="002806AF" w:rsidRPr="0035724B">
        <w:rPr>
          <w:rStyle w:val="BodyText1"/>
          <w:rFonts w:ascii="Georgia" w:hAnsi="Georgia" w:cs="Times New Roman"/>
          <w:sz w:val="22"/>
          <w:szCs w:val="22"/>
        </w:rPr>
        <w:t>,</w:t>
      </w:r>
      <w:r w:rsidR="00A149B9" w:rsidRPr="0035724B">
        <w:rPr>
          <w:rFonts w:ascii="Georgia" w:hAnsi="Georgia" w:cs="Times New Roman"/>
        </w:rPr>
        <w:t xml:space="preserve"> </w:t>
      </w:r>
      <w:r w:rsidR="00B263A8" w:rsidRPr="0035724B">
        <w:rPr>
          <w:rFonts w:ascii="Georgia" w:hAnsi="Georgia" w:cs="Times New Roman"/>
        </w:rPr>
        <w:t>është</w:t>
      </w:r>
      <w:r w:rsidR="00A149B9" w:rsidRPr="0035724B">
        <w:rPr>
          <w:rFonts w:ascii="Georgia" w:hAnsi="Georgia" w:cs="Times New Roman"/>
        </w:rPr>
        <w:t xml:space="preserve"> shfaqje e një vepre</w:t>
      </w:r>
      <w:r w:rsidR="00B263A8" w:rsidRPr="0035724B">
        <w:rPr>
          <w:rFonts w:ascii="Georgia" w:hAnsi="Georgia" w:cs="Times New Roman"/>
        </w:rPr>
        <w:t xml:space="preserve"> penale</w:t>
      </w:r>
      <w:r w:rsidR="002B55A2" w:rsidRPr="0035724B">
        <w:rPr>
          <w:rFonts w:ascii="Georgia" w:hAnsi="Georgia" w:cs="Times New Roman"/>
        </w:rPr>
        <w:t xml:space="preserve"> ku konkur</w:t>
      </w:r>
      <w:r w:rsidR="00222C72" w:rsidRPr="0035724B">
        <w:rPr>
          <w:rFonts w:ascii="Georgia" w:hAnsi="Georgia" w:cs="Times New Roman"/>
        </w:rPr>
        <w:t>r</w:t>
      </w:r>
      <w:r w:rsidR="002B55A2" w:rsidRPr="0035724B">
        <w:rPr>
          <w:rFonts w:ascii="Georgia" w:hAnsi="Georgia" w:cs="Times New Roman"/>
        </w:rPr>
        <w:t>ojn</w:t>
      </w:r>
      <w:r w:rsidR="00966A79" w:rsidRPr="0035724B">
        <w:rPr>
          <w:rFonts w:ascii="Georgia" w:hAnsi="Georgia" w:cs="Times New Roman"/>
        </w:rPr>
        <w:t>ë</w:t>
      </w:r>
      <w:r w:rsidR="002B55A2" w:rsidRPr="0035724B">
        <w:rPr>
          <w:rFonts w:ascii="Georgia" w:hAnsi="Georgia" w:cs="Times New Roman"/>
        </w:rPr>
        <w:t xml:space="preserve"> domosdoshm</w:t>
      </w:r>
      <w:r w:rsidR="00966A79" w:rsidRPr="0035724B">
        <w:rPr>
          <w:rFonts w:ascii="Georgia" w:hAnsi="Georgia" w:cs="Times New Roman"/>
        </w:rPr>
        <w:t>ë</w:t>
      </w:r>
      <w:r w:rsidR="00B94C24" w:rsidRPr="0035724B">
        <w:rPr>
          <w:rFonts w:ascii="Georgia" w:hAnsi="Georgia" w:cs="Times New Roman"/>
        </w:rPr>
        <w:t>rish</w:t>
      </w:r>
      <w:r w:rsidR="002B55A2" w:rsidRPr="0035724B">
        <w:rPr>
          <w:rFonts w:ascii="Georgia" w:hAnsi="Georgia" w:cs="Times New Roman"/>
        </w:rPr>
        <w:t xml:space="preserve"> </w:t>
      </w:r>
      <w:r w:rsidR="00E901E1" w:rsidRPr="0035724B">
        <w:rPr>
          <w:rFonts w:ascii="Georgia" w:hAnsi="Georgia" w:cs="Times New Roman"/>
        </w:rPr>
        <w:t>dy persona</w:t>
      </w:r>
      <w:r w:rsidR="004D0DF0" w:rsidRPr="0035724B">
        <w:rPr>
          <w:rFonts w:ascii="Georgia" w:hAnsi="Georgia" w:cs="Times New Roman"/>
        </w:rPr>
        <w:t>.  Njëri prej të cilëve që ushtron funk</w:t>
      </w:r>
      <w:r w:rsidR="001C4A60" w:rsidRPr="0035724B">
        <w:rPr>
          <w:rFonts w:ascii="Georgia" w:hAnsi="Georgia" w:cs="Times New Roman"/>
        </w:rPr>
        <w:t>sion publik dhe që lidhet me të.</w:t>
      </w:r>
    </w:p>
    <w:p w:rsidR="00441B23" w:rsidRDefault="002A0BD7" w:rsidP="00441B23">
      <w:pPr>
        <w:pStyle w:val="ListParagraph"/>
        <w:ind w:left="0" w:firstLine="720"/>
        <w:jc w:val="both"/>
        <w:rPr>
          <w:rFonts w:ascii="Georgia" w:hAnsi="Georgia" w:cs="Times New Roman"/>
          <w:noProof/>
        </w:rPr>
      </w:pPr>
      <w:r w:rsidRPr="006871FF">
        <w:rPr>
          <w:rFonts w:ascii="Georgia" w:hAnsi="Georgia" w:cs="Times New Roman"/>
        </w:rPr>
        <w:t>Ai konstatohet kur njëri</w:t>
      </w:r>
      <w:r w:rsidRPr="006871FF">
        <w:rPr>
          <w:rFonts w:ascii="Georgia" w:hAnsi="Georgia" w:cs="Times New Roman"/>
          <w:noProof/>
        </w:rPr>
        <w:t xml:space="preserve"> jep</w:t>
      </w:r>
      <w:r w:rsidR="001C4A60" w:rsidRPr="006871FF">
        <w:rPr>
          <w:rFonts w:ascii="Georgia" w:hAnsi="Georgia" w:cs="Times New Roman"/>
          <w:noProof/>
        </w:rPr>
        <w:t>, ofron apo premton</w:t>
      </w:r>
      <w:r w:rsidRPr="006871FF">
        <w:rPr>
          <w:rFonts w:ascii="Georgia" w:hAnsi="Georgia" w:cs="Times New Roman"/>
          <w:noProof/>
        </w:rPr>
        <w:t xml:space="preserve"> çfarëdo përfitimi të parregullt, personit që ka atribute të veçanta për të kr</w:t>
      </w:r>
      <w:r w:rsidR="001C4A60" w:rsidRPr="006871FF">
        <w:rPr>
          <w:rFonts w:ascii="Georgia" w:hAnsi="Georgia" w:cs="Times New Roman"/>
          <w:noProof/>
        </w:rPr>
        <w:t>yer ose mos kryer një veprim, i cili</w:t>
      </w:r>
      <w:r w:rsidRPr="006871FF">
        <w:rPr>
          <w:rFonts w:ascii="Georgia" w:hAnsi="Georgia" w:cs="Times New Roman"/>
          <w:noProof/>
        </w:rPr>
        <w:t xml:space="preserve"> lidhet me detyrën ose funksion</w:t>
      </w:r>
      <w:r w:rsidR="00393CB1" w:rsidRPr="006871FF">
        <w:rPr>
          <w:rFonts w:ascii="Georgia" w:hAnsi="Georgia" w:cs="Times New Roman"/>
          <w:noProof/>
        </w:rPr>
        <w:t>in e tij si dhe kur ky i fundit</w:t>
      </w:r>
      <w:r w:rsidRPr="006871FF">
        <w:rPr>
          <w:rFonts w:ascii="Georgia" w:hAnsi="Georgia" w:cs="Times New Roman"/>
        </w:rPr>
        <w:t xml:space="preserve"> </w:t>
      </w:r>
      <w:r w:rsidR="00245A76" w:rsidRPr="006871FF">
        <w:rPr>
          <w:rFonts w:ascii="Georgia" w:hAnsi="Georgia" w:cs="Times New Roman"/>
          <w:b/>
          <w:color w:val="0000CC"/>
        </w:rPr>
        <w:t xml:space="preserve">merr </w:t>
      </w:r>
      <w:r w:rsidRPr="006871FF">
        <w:rPr>
          <w:rFonts w:ascii="Georgia" w:hAnsi="Georgia" w:cs="Times New Roman"/>
          <w:noProof/>
        </w:rPr>
        <w:t xml:space="preserve">çfardo përfitim të parregullt </w:t>
      </w:r>
      <w:r w:rsidR="00245A76" w:rsidRPr="006871FF">
        <w:rPr>
          <w:rFonts w:ascii="Georgia" w:hAnsi="Georgia" w:cs="Times New Roman"/>
          <w:noProof/>
        </w:rPr>
        <w:t>apo</w:t>
      </w:r>
      <w:r w:rsidR="002F2A1B" w:rsidRPr="006871FF">
        <w:rPr>
          <w:rFonts w:ascii="Georgia" w:hAnsi="Georgia" w:cs="Times New Roman"/>
          <w:noProof/>
        </w:rPr>
        <w:t xml:space="preserve"> </w:t>
      </w:r>
      <w:r w:rsidR="002F2A1B" w:rsidRPr="006871FF">
        <w:rPr>
          <w:rStyle w:val="BodyText1"/>
          <w:rFonts w:ascii="Georgia" w:hAnsi="Georgia" w:cs="Times New Roman"/>
          <w:sz w:val="22"/>
          <w:szCs w:val="22"/>
        </w:rPr>
        <w:t>premtimi të tillë</w:t>
      </w:r>
      <w:r w:rsidR="00245A76" w:rsidRPr="006871FF">
        <w:rPr>
          <w:rFonts w:ascii="Georgia" w:hAnsi="Georgia" w:cs="Times New Roman"/>
          <w:noProof/>
        </w:rPr>
        <w:t xml:space="preserve"> </w:t>
      </w:r>
      <w:r w:rsidR="002F2A1B" w:rsidRPr="006871FF">
        <w:rPr>
          <w:rFonts w:ascii="Georgia" w:hAnsi="Georgia" w:cs="Times New Roman"/>
          <w:noProof/>
        </w:rPr>
        <w:t xml:space="preserve">apo </w:t>
      </w:r>
      <w:r w:rsidR="002F2A1B" w:rsidRPr="006871FF">
        <w:rPr>
          <w:rFonts w:ascii="Georgia" w:hAnsi="Georgia" w:cs="Times New Roman"/>
          <w:b/>
          <w:noProof/>
          <w:color w:val="0000CC"/>
        </w:rPr>
        <w:t>pranon</w:t>
      </w:r>
      <w:r w:rsidR="001C4A60" w:rsidRPr="006871FF">
        <w:rPr>
          <w:rFonts w:ascii="Georgia" w:hAnsi="Georgia" w:cs="Times New Roman"/>
          <w:noProof/>
        </w:rPr>
        <w:t xml:space="preserve"> </w:t>
      </w:r>
      <w:r w:rsidR="002F2A1B" w:rsidRPr="006871FF">
        <w:rPr>
          <w:rStyle w:val="BodyText1"/>
          <w:rFonts w:ascii="Georgia" w:hAnsi="Georgia" w:cs="Times New Roman"/>
          <w:sz w:val="22"/>
          <w:szCs w:val="22"/>
        </w:rPr>
        <w:t>një oferte a premtimi që vjen nga përfitimi i parregullt,</w:t>
      </w:r>
      <w:r w:rsidR="007D3682" w:rsidRPr="006871FF">
        <w:rPr>
          <w:rFonts w:ascii="Georgia" w:hAnsi="Georgia" w:cs="Times New Roman"/>
        </w:rPr>
        <w:t xml:space="preserve"> </w:t>
      </w:r>
      <w:r w:rsidRPr="006871FF">
        <w:rPr>
          <w:rFonts w:ascii="Georgia" w:hAnsi="Georgia" w:cs="Times New Roman"/>
          <w:noProof/>
        </w:rPr>
        <w:t>për të kryer ose mos kryer një veprim, që lidhet me atributet që ai gëzon.</w:t>
      </w:r>
    </w:p>
    <w:p w:rsidR="00441B23" w:rsidRDefault="006249DF" w:rsidP="00441B23">
      <w:pPr>
        <w:pStyle w:val="ListParagraph"/>
        <w:ind w:left="0" w:firstLine="720"/>
        <w:jc w:val="both"/>
        <w:rPr>
          <w:rFonts w:ascii="Georgia" w:hAnsi="Georgia" w:cs="Times New Roman"/>
          <w:shd w:val="clear" w:color="auto" w:fill="FFFFFF"/>
        </w:rPr>
      </w:pPr>
      <w:r w:rsidRPr="006871FF">
        <w:rPr>
          <w:rFonts w:ascii="Georgia" w:hAnsi="Georgia" w:cs="Times New Roman"/>
          <w:shd w:val="clear" w:color="auto" w:fill="FFFFFF"/>
        </w:rPr>
        <w:t>Konstatohet në këto raste ‘marrëveshja’ ndërmjet palëve, pra sidoqoftë si personi aktiv ashtu dhe ai pasiv, bien dakord.</w:t>
      </w:r>
    </w:p>
    <w:p w:rsidR="00441B23" w:rsidRDefault="00F072FF" w:rsidP="00441B23">
      <w:pPr>
        <w:pStyle w:val="ListParagraph"/>
        <w:ind w:left="0" w:firstLine="720"/>
        <w:jc w:val="both"/>
        <w:rPr>
          <w:rFonts w:ascii="Georgia" w:hAnsi="Georgia" w:cs="Times New Roman"/>
        </w:rPr>
      </w:pPr>
      <w:r w:rsidRPr="006871FF">
        <w:rPr>
          <w:rFonts w:ascii="Georgia" w:hAnsi="Georgia" w:cs="Times New Roman"/>
        </w:rPr>
        <w:lastRenderedPageBreak/>
        <w:t xml:space="preserve">Ndërsa në formën e tij të </w:t>
      </w:r>
      <w:r w:rsidR="00B42757" w:rsidRPr="006871FF">
        <w:rPr>
          <w:rFonts w:ascii="Georgia" w:hAnsi="Georgia" w:cs="Times New Roman"/>
          <w:b/>
          <w:color w:val="2E74B5" w:themeColor="accent1" w:themeShade="BF"/>
        </w:rPr>
        <w:t>kërkimit</w:t>
      </w:r>
      <w:r w:rsidR="00B42757" w:rsidRPr="006871FF">
        <w:rPr>
          <w:rFonts w:ascii="Georgia" w:hAnsi="Georgia" w:cs="Times New Roman"/>
        </w:rPr>
        <w:t xml:space="preserve"> </w:t>
      </w:r>
      <w:r w:rsidR="00BD2BD1" w:rsidRPr="006871FF">
        <w:rPr>
          <w:rFonts w:ascii="Georgia" w:hAnsi="Georgia" w:cs="Times New Roman"/>
        </w:rPr>
        <w:t>të përfiti</w:t>
      </w:r>
      <w:r w:rsidR="007D3682" w:rsidRPr="006871FF">
        <w:rPr>
          <w:rFonts w:ascii="Georgia" w:hAnsi="Georgia" w:cs="Times New Roman"/>
        </w:rPr>
        <w:t>mit të paligjshëm ose</w:t>
      </w:r>
      <w:r w:rsidR="00BD2BD1" w:rsidRPr="006871FF">
        <w:rPr>
          <w:rFonts w:ascii="Georgia" w:hAnsi="Georgia" w:cs="Times New Roman"/>
        </w:rPr>
        <w:t xml:space="preserve"> </w:t>
      </w:r>
      <w:r w:rsidR="007D3682" w:rsidRPr="006871FF">
        <w:rPr>
          <w:rFonts w:ascii="Georgia" w:hAnsi="Georgia" w:cs="Times New Roman"/>
        </w:rPr>
        <w:t xml:space="preserve">të </w:t>
      </w:r>
      <w:r w:rsidR="00BD2BD1" w:rsidRPr="006871FF">
        <w:rPr>
          <w:rFonts w:ascii="Georgia" w:hAnsi="Georgia" w:cs="Times New Roman"/>
        </w:rPr>
        <w:t>premtimit për përfitim të paligjshë</w:t>
      </w:r>
      <w:r w:rsidR="00671365" w:rsidRPr="006871FF">
        <w:rPr>
          <w:rFonts w:ascii="Georgia" w:hAnsi="Georgia" w:cs="Times New Roman"/>
        </w:rPr>
        <w:t>m</w:t>
      </w:r>
      <w:r w:rsidR="00442F4A" w:rsidRPr="006871FF">
        <w:rPr>
          <w:rFonts w:ascii="Georgia" w:hAnsi="Georgia" w:cs="Times New Roman"/>
        </w:rPr>
        <w:t xml:space="preserve">, është shfaqje e një vepre penale ku konkurrimi i dy personave nuk është i domosdoshëm, për shkak se </w:t>
      </w:r>
      <w:r w:rsidR="005B2761" w:rsidRPr="006871FF">
        <w:rPr>
          <w:rFonts w:ascii="Georgia" w:hAnsi="Georgia" w:cs="Times New Roman"/>
        </w:rPr>
        <w:t xml:space="preserve">personi tjetër </w:t>
      </w:r>
      <w:r w:rsidR="00617AE2" w:rsidRPr="006871FF">
        <w:rPr>
          <w:rFonts w:ascii="Georgia" w:hAnsi="Georgia" w:cs="Times New Roman"/>
        </w:rPr>
        <w:t>të cilit i kërkohet ‘</w:t>
      </w:r>
      <w:r w:rsidR="005B2761" w:rsidRPr="006871FF">
        <w:rPr>
          <w:rFonts w:ascii="Georgia" w:hAnsi="Georgia" w:cs="Times New Roman"/>
        </w:rPr>
        <w:t>edhe</w:t>
      </w:r>
      <w:r w:rsidR="00617AE2" w:rsidRPr="006871FF">
        <w:rPr>
          <w:rFonts w:ascii="Georgia" w:hAnsi="Georgia" w:cs="Times New Roman"/>
        </w:rPr>
        <w:t>’</w:t>
      </w:r>
      <w:r w:rsidR="005B2761" w:rsidRPr="006871FF">
        <w:rPr>
          <w:rFonts w:ascii="Georgia" w:hAnsi="Georgia" w:cs="Times New Roman"/>
        </w:rPr>
        <w:t xml:space="preserve"> mund të refuzojë kërkimin e pers</w:t>
      </w:r>
      <w:r w:rsidR="00617AE2" w:rsidRPr="006871FF">
        <w:rPr>
          <w:rFonts w:ascii="Georgia" w:hAnsi="Georgia" w:cs="Times New Roman"/>
        </w:rPr>
        <w:t>onit që ushtron funksion publik.</w:t>
      </w:r>
    </w:p>
    <w:p w:rsidR="00441B23" w:rsidRDefault="000458EC" w:rsidP="00441B23">
      <w:pPr>
        <w:pStyle w:val="ListParagraph"/>
        <w:ind w:left="0" w:firstLine="720"/>
        <w:jc w:val="both"/>
        <w:rPr>
          <w:rFonts w:ascii="Georgia" w:hAnsi="Georgia" w:cs="Times New Roman"/>
          <w:shd w:val="clear" w:color="auto" w:fill="FFFFFF"/>
        </w:rPr>
      </w:pPr>
      <w:r w:rsidRPr="006871FF">
        <w:rPr>
          <w:rFonts w:ascii="Georgia" w:hAnsi="Georgia" w:cs="Times New Roman"/>
        </w:rPr>
        <w:t xml:space="preserve">Ai konstatohet </w:t>
      </w:r>
      <w:r w:rsidR="00D730A8" w:rsidRPr="006871FF">
        <w:rPr>
          <w:rFonts w:ascii="Georgia" w:hAnsi="Georgia" w:cs="Times New Roman"/>
        </w:rPr>
        <w:t xml:space="preserve">kur </w:t>
      </w:r>
      <w:r w:rsidR="00150A5A" w:rsidRPr="006871FF">
        <w:rPr>
          <w:rFonts w:ascii="Georgia" w:hAnsi="Georgia" w:cs="Times New Roman"/>
        </w:rPr>
        <w:t>nxitës është vetë ushtruesi i funksionit publik</w:t>
      </w:r>
      <w:r w:rsidR="000D2F39" w:rsidRPr="006871FF">
        <w:rPr>
          <w:rFonts w:ascii="Georgia" w:hAnsi="Georgia" w:cs="Times New Roman"/>
        </w:rPr>
        <w:t>, pavarësisht nga qëndrimi i personit tjetër</w:t>
      </w:r>
      <w:r w:rsidR="002D0235" w:rsidRPr="006871FF">
        <w:rPr>
          <w:rFonts w:ascii="Georgia" w:hAnsi="Georgia" w:cs="Times New Roman"/>
        </w:rPr>
        <w:t>,</w:t>
      </w:r>
      <w:r w:rsidR="000D2F39" w:rsidRPr="006871FF">
        <w:rPr>
          <w:rFonts w:ascii="Georgia" w:hAnsi="Georgia" w:cs="Times New Roman"/>
        </w:rPr>
        <w:t xml:space="preserve"> i cili pranon apo refuzon kërkimin.</w:t>
      </w:r>
      <w:r w:rsidR="006249DF" w:rsidRPr="006871FF">
        <w:rPr>
          <w:rFonts w:ascii="Georgia" w:hAnsi="Georgia" w:cs="Times New Roman"/>
        </w:rPr>
        <w:t xml:space="preserve">  </w:t>
      </w:r>
      <w:r w:rsidR="006249DF" w:rsidRPr="006871FF">
        <w:rPr>
          <w:rFonts w:ascii="Georgia" w:hAnsi="Georgia" w:cs="Times New Roman"/>
          <w:shd w:val="clear" w:color="auto" w:fill="FFFFFF"/>
        </w:rPr>
        <w:t xml:space="preserve">Jo </w:t>
      </w:r>
      <w:r w:rsidR="00E03165" w:rsidRPr="006871FF">
        <w:rPr>
          <w:rFonts w:ascii="Georgia" w:hAnsi="Georgia" w:cs="Times New Roman"/>
          <w:shd w:val="clear" w:color="auto" w:fill="FFFFFF"/>
        </w:rPr>
        <w:t>domosdoshmërish</w:t>
      </w:r>
      <w:r w:rsidR="006249DF" w:rsidRPr="006871FF">
        <w:rPr>
          <w:rFonts w:ascii="Georgia" w:hAnsi="Georgia" w:cs="Times New Roman"/>
          <w:shd w:val="clear" w:color="auto" w:fill="FFFFFF"/>
        </w:rPr>
        <w:t xml:space="preserve"> </w:t>
      </w:r>
      <w:r w:rsidR="00E03165" w:rsidRPr="006871FF">
        <w:rPr>
          <w:rFonts w:ascii="Georgia" w:hAnsi="Georgia" w:cs="Times New Roman"/>
          <w:shd w:val="clear" w:color="auto" w:fill="FFFFFF"/>
        </w:rPr>
        <w:t>k</w:t>
      </w:r>
      <w:r w:rsidR="006249DF" w:rsidRPr="006871FF">
        <w:rPr>
          <w:rFonts w:ascii="Georgia" w:hAnsi="Georgia" w:cs="Times New Roman"/>
          <w:shd w:val="clear" w:color="auto" w:fill="FFFFFF"/>
        </w:rPr>
        <w:t>onstatohet në këto raste ‘marrëveshja’ ndërmjet palë</w:t>
      </w:r>
      <w:r w:rsidR="00E03165" w:rsidRPr="006871FF">
        <w:rPr>
          <w:rFonts w:ascii="Georgia" w:hAnsi="Georgia" w:cs="Times New Roman"/>
          <w:shd w:val="clear" w:color="auto" w:fill="FFFFFF"/>
        </w:rPr>
        <w:t>ve.</w:t>
      </w:r>
    </w:p>
    <w:p w:rsidR="00441B23" w:rsidRDefault="000D2F39" w:rsidP="00441B23">
      <w:pPr>
        <w:pStyle w:val="ListParagraph"/>
        <w:ind w:left="0" w:firstLine="720"/>
        <w:jc w:val="both"/>
        <w:rPr>
          <w:rStyle w:val="BodyText1"/>
          <w:rFonts w:ascii="Georgia" w:hAnsi="Georgia" w:cs="Times New Roman"/>
          <w:sz w:val="22"/>
          <w:szCs w:val="22"/>
        </w:rPr>
      </w:pPr>
      <w:r w:rsidRPr="006871FF">
        <w:rPr>
          <w:rFonts w:ascii="Georgia" w:hAnsi="Georgia" w:cs="Times New Roman"/>
        </w:rPr>
        <w:t xml:space="preserve">Kështu </w:t>
      </w:r>
      <w:r w:rsidR="002D0235" w:rsidRPr="006871FF">
        <w:rPr>
          <w:rFonts w:ascii="Georgia" w:hAnsi="Georgia" w:cs="Times New Roman"/>
        </w:rPr>
        <w:t xml:space="preserve">verifikimi i ‘veprimeve’ të marrjes apo pranimit </w:t>
      </w:r>
      <w:r w:rsidR="0069728A" w:rsidRPr="006871FF">
        <w:rPr>
          <w:rFonts w:ascii="Georgia" w:hAnsi="Georgia" w:cs="Times New Roman"/>
        </w:rPr>
        <w:t xml:space="preserve">janë shprehje e drejtpërdrejtë e </w:t>
      </w:r>
      <w:r w:rsidR="00E527BA" w:rsidRPr="006871FF">
        <w:rPr>
          <w:rFonts w:ascii="Georgia" w:hAnsi="Georgia" w:cs="Times New Roman"/>
        </w:rPr>
        <w:t>‘</w:t>
      </w:r>
      <w:r w:rsidR="006E14FD" w:rsidRPr="006871FF">
        <w:rPr>
          <w:rFonts w:ascii="Georgia" w:hAnsi="Georgia" w:cs="Times New Roman"/>
        </w:rPr>
        <w:t>pasojës</w:t>
      </w:r>
      <w:r w:rsidR="00E527BA" w:rsidRPr="006871FF">
        <w:rPr>
          <w:rFonts w:ascii="Georgia" w:hAnsi="Georgia" w:cs="Times New Roman"/>
        </w:rPr>
        <w:t>’</w:t>
      </w:r>
      <w:r w:rsidR="00F42CC8" w:rsidRPr="006871FF">
        <w:rPr>
          <w:rFonts w:ascii="Georgia" w:hAnsi="Georgia" w:cs="Times New Roman"/>
        </w:rPr>
        <w:t xml:space="preserve"> materiale</w:t>
      </w:r>
      <w:r w:rsidR="006E14FD" w:rsidRPr="006871FF">
        <w:rPr>
          <w:rFonts w:ascii="Georgia" w:hAnsi="Georgia" w:cs="Times New Roman"/>
        </w:rPr>
        <w:t xml:space="preserve"> që është ajo e</w:t>
      </w:r>
      <w:r w:rsidR="00E527BA" w:rsidRPr="006871FF">
        <w:rPr>
          <w:rFonts w:ascii="Georgia" w:hAnsi="Georgia" w:cs="Times New Roman"/>
        </w:rPr>
        <w:t xml:space="preserve"> </w:t>
      </w:r>
      <w:r w:rsidR="0069728A" w:rsidRPr="006871FF">
        <w:rPr>
          <w:rFonts w:ascii="Georgia" w:hAnsi="Georgia" w:cs="Times New Roman"/>
        </w:rPr>
        <w:t>begatimit</w:t>
      </w:r>
      <w:r w:rsidR="00E527BA" w:rsidRPr="006871FF">
        <w:rPr>
          <w:rFonts w:ascii="Georgia" w:hAnsi="Georgia" w:cs="Times New Roman"/>
        </w:rPr>
        <w:t xml:space="preserve"> </w:t>
      </w:r>
      <w:r w:rsidR="00E527BA" w:rsidRPr="006871FF">
        <w:rPr>
          <w:rStyle w:val="BodyText1"/>
          <w:rFonts w:ascii="Georgia" w:hAnsi="Georgia" w:cs="Times New Roman"/>
          <w:sz w:val="22"/>
          <w:szCs w:val="22"/>
        </w:rPr>
        <w:t>të përfitimi të parregullt</w:t>
      </w:r>
      <w:r w:rsidR="00240534" w:rsidRPr="006871FF">
        <w:rPr>
          <w:rStyle w:val="BodyText1"/>
          <w:rFonts w:ascii="Georgia" w:hAnsi="Georgia" w:cs="Times New Roman"/>
          <w:sz w:val="22"/>
          <w:szCs w:val="22"/>
        </w:rPr>
        <w:t xml:space="preserve"> (</w:t>
      </w:r>
      <w:r w:rsidR="00E527BA" w:rsidRPr="006871FF">
        <w:rPr>
          <w:rStyle w:val="BodyText1"/>
          <w:rFonts w:ascii="Georgia" w:hAnsi="Georgia" w:cs="Times New Roman"/>
          <w:sz w:val="22"/>
          <w:szCs w:val="22"/>
        </w:rPr>
        <w:t>të premtimit të tillë</w:t>
      </w:r>
      <w:r w:rsidR="00A03256" w:rsidRPr="006871FF">
        <w:rPr>
          <w:rStyle w:val="BodyText1"/>
          <w:rFonts w:ascii="Georgia" w:hAnsi="Georgia" w:cs="Times New Roman"/>
          <w:sz w:val="22"/>
          <w:szCs w:val="22"/>
        </w:rPr>
        <w:t>, të</w:t>
      </w:r>
      <w:r w:rsidR="00E527BA" w:rsidRPr="006871FF">
        <w:rPr>
          <w:rStyle w:val="BodyText1"/>
          <w:rFonts w:ascii="Georgia" w:hAnsi="Georgia" w:cs="Times New Roman"/>
          <w:sz w:val="22"/>
          <w:szCs w:val="22"/>
        </w:rPr>
        <w:t xml:space="preserve"> </w:t>
      </w:r>
      <w:r w:rsidR="00A03256" w:rsidRPr="006871FF">
        <w:rPr>
          <w:rStyle w:val="BodyText1"/>
          <w:rFonts w:ascii="Georgia" w:hAnsi="Georgia" w:cs="Times New Roman"/>
          <w:sz w:val="22"/>
          <w:szCs w:val="22"/>
        </w:rPr>
        <w:t>ofertës</w:t>
      </w:r>
      <w:r w:rsidR="00E527BA" w:rsidRPr="006871FF">
        <w:rPr>
          <w:rStyle w:val="BodyText1"/>
          <w:rFonts w:ascii="Georgia" w:hAnsi="Georgia" w:cs="Times New Roman"/>
          <w:sz w:val="22"/>
          <w:szCs w:val="22"/>
        </w:rPr>
        <w:t xml:space="preserve"> a premtimi</w:t>
      </w:r>
      <w:r w:rsidR="00A03256" w:rsidRPr="006871FF">
        <w:rPr>
          <w:rStyle w:val="BodyText1"/>
          <w:rFonts w:ascii="Georgia" w:hAnsi="Georgia" w:cs="Times New Roman"/>
          <w:sz w:val="22"/>
          <w:szCs w:val="22"/>
        </w:rPr>
        <w:t>t</w:t>
      </w:r>
      <w:r w:rsidR="00E527BA" w:rsidRPr="006871FF">
        <w:rPr>
          <w:rStyle w:val="BodyText1"/>
          <w:rFonts w:ascii="Georgia" w:hAnsi="Georgia" w:cs="Times New Roman"/>
          <w:sz w:val="22"/>
          <w:szCs w:val="22"/>
        </w:rPr>
        <w:t xml:space="preserve"> që v</w:t>
      </w:r>
      <w:r w:rsidR="00807CEE" w:rsidRPr="006871FF">
        <w:rPr>
          <w:rStyle w:val="BodyText1"/>
          <w:rFonts w:ascii="Georgia" w:hAnsi="Georgia" w:cs="Times New Roman"/>
          <w:sz w:val="22"/>
          <w:szCs w:val="22"/>
        </w:rPr>
        <w:t>jen</w:t>
      </w:r>
      <w:r w:rsidR="00240534" w:rsidRPr="006871FF">
        <w:rPr>
          <w:rStyle w:val="BodyText1"/>
          <w:rFonts w:ascii="Georgia" w:hAnsi="Georgia" w:cs="Times New Roman"/>
          <w:sz w:val="22"/>
          <w:szCs w:val="22"/>
        </w:rPr>
        <w:t xml:space="preserve"> nga përfitimi i parregullt)</w:t>
      </w:r>
      <w:r w:rsidR="00003565" w:rsidRPr="006871FF">
        <w:rPr>
          <w:rStyle w:val="BodyText1"/>
          <w:rFonts w:ascii="Georgia" w:hAnsi="Georgia" w:cs="Times New Roman"/>
          <w:sz w:val="22"/>
          <w:szCs w:val="22"/>
        </w:rPr>
        <w:t>, thënë ndryshe dhe vepër penale materiale.</w:t>
      </w:r>
      <w:r w:rsidR="00DF6D7B" w:rsidRPr="006871FF">
        <w:rPr>
          <w:rStyle w:val="BodyText1"/>
          <w:rFonts w:ascii="Georgia" w:hAnsi="Georgia" w:cs="Times New Roman"/>
          <w:sz w:val="22"/>
          <w:szCs w:val="22"/>
        </w:rPr>
        <w:t xml:space="preserve"> </w:t>
      </w:r>
      <w:r w:rsidR="00003565" w:rsidRPr="006871FF">
        <w:rPr>
          <w:rStyle w:val="BodyText1"/>
          <w:rFonts w:ascii="Georgia" w:hAnsi="Georgia" w:cs="Times New Roman"/>
          <w:sz w:val="22"/>
          <w:szCs w:val="22"/>
        </w:rPr>
        <w:t xml:space="preserve">Ndërsa </w:t>
      </w:r>
      <w:r w:rsidR="0076504F" w:rsidRPr="006871FF">
        <w:rPr>
          <w:rStyle w:val="BodyText1"/>
          <w:rFonts w:ascii="Georgia" w:hAnsi="Georgia" w:cs="Times New Roman"/>
          <w:sz w:val="22"/>
          <w:szCs w:val="22"/>
        </w:rPr>
        <w:t xml:space="preserve">verifikimi i </w:t>
      </w:r>
      <w:r w:rsidR="00DF6D7B" w:rsidRPr="006871FF">
        <w:rPr>
          <w:rStyle w:val="BodyText1"/>
          <w:rFonts w:ascii="Georgia" w:hAnsi="Georgia" w:cs="Times New Roman"/>
          <w:sz w:val="22"/>
          <w:szCs w:val="22"/>
        </w:rPr>
        <w:t>vepri</w:t>
      </w:r>
      <w:r w:rsidR="0076504F" w:rsidRPr="006871FF">
        <w:rPr>
          <w:rStyle w:val="BodyText1"/>
          <w:rFonts w:ascii="Georgia" w:hAnsi="Georgia" w:cs="Times New Roman"/>
          <w:sz w:val="22"/>
          <w:szCs w:val="22"/>
        </w:rPr>
        <w:t>mi</w:t>
      </w:r>
      <w:r w:rsidR="001A39A7" w:rsidRPr="006871FF">
        <w:rPr>
          <w:rStyle w:val="BodyText1"/>
          <w:rFonts w:ascii="Georgia" w:hAnsi="Georgia" w:cs="Times New Roman"/>
          <w:sz w:val="22"/>
          <w:szCs w:val="22"/>
        </w:rPr>
        <w:t>t të</w:t>
      </w:r>
      <w:r w:rsidR="0076504F" w:rsidRPr="006871FF">
        <w:rPr>
          <w:rStyle w:val="BodyText1"/>
          <w:rFonts w:ascii="Georgia" w:hAnsi="Georgia" w:cs="Times New Roman"/>
          <w:sz w:val="22"/>
          <w:szCs w:val="22"/>
        </w:rPr>
        <w:t xml:space="preserve"> kërkimit nuk shoqërohet me </w:t>
      </w:r>
      <w:r w:rsidR="00DF6D7B" w:rsidRPr="006871FF">
        <w:rPr>
          <w:rStyle w:val="BodyText1"/>
          <w:rFonts w:ascii="Georgia" w:hAnsi="Georgia" w:cs="Times New Roman"/>
          <w:sz w:val="22"/>
          <w:szCs w:val="22"/>
        </w:rPr>
        <w:t>nevojë</w:t>
      </w:r>
      <w:r w:rsidR="0076504F" w:rsidRPr="006871FF">
        <w:rPr>
          <w:rStyle w:val="BodyText1"/>
          <w:rFonts w:ascii="Georgia" w:hAnsi="Georgia" w:cs="Times New Roman"/>
          <w:sz w:val="22"/>
          <w:szCs w:val="22"/>
        </w:rPr>
        <w:t>n edhe</w:t>
      </w:r>
      <w:r w:rsidR="00DF6D7B" w:rsidRPr="006871FF">
        <w:rPr>
          <w:rStyle w:val="BodyText1"/>
          <w:rFonts w:ascii="Georgia" w:hAnsi="Georgia" w:cs="Times New Roman"/>
          <w:sz w:val="22"/>
          <w:szCs w:val="22"/>
        </w:rPr>
        <w:t xml:space="preserve"> </w:t>
      </w:r>
      <w:r w:rsidR="0076504F" w:rsidRPr="006871FF">
        <w:rPr>
          <w:rStyle w:val="BodyText1"/>
          <w:rFonts w:ascii="Georgia" w:hAnsi="Georgia" w:cs="Times New Roman"/>
          <w:sz w:val="22"/>
          <w:szCs w:val="22"/>
        </w:rPr>
        <w:t>të verifikimit të</w:t>
      </w:r>
      <w:r w:rsidR="00FF1E9D" w:rsidRPr="006871FF">
        <w:rPr>
          <w:rStyle w:val="BodyText1"/>
          <w:rFonts w:ascii="Georgia" w:hAnsi="Georgia" w:cs="Times New Roman"/>
          <w:sz w:val="22"/>
          <w:szCs w:val="22"/>
        </w:rPr>
        <w:t xml:space="preserve"> pasojës</w:t>
      </w:r>
      <w:r w:rsidR="001A39A7" w:rsidRPr="006871FF">
        <w:rPr>
          <w:rStyle w:val="BodyText1"/>
          <w:rFonts w:ascii="Georgia" w:hAnsi="Georgia" w:cs="Times New Roman"/>
          <w:sz w:val="22"/>
          <w:szCs w:val="22"/>
        </w:rPr>
        <w:t xml:space="preserve"> materiale të begatimit,</w:t>
      </w:r>
      <w:r w:rsidR="00240534" w:rsidRPr="006871FF">
        <w:rPr>
          <w:rStyle w:val="BodyText1"/>
          <w:rFonts w:ascii="Georgia" w:hAnsi="Georgia" w:cs="Times New Roman"/>
          <w:sz w:val="22"/>
          <w:szCs w:val="22"/>
        </w:rPr>
        <w:t xml:space="preserve"> pasi</w:t>
      </w:r>
      <w:r w:rsidR="00FF1E9D" w:rsidRPr="006871FF">
        <w:rPr>
          <w:rStyle w:val="BodyText1"/>
          <w:rFonts w:ascii="Georgia" w:hAnsi="Georgia" w:cs="Times New Roman"/>
          <w:sz w:val="22"/>
          <w:szCs w:val="22"/>
        </w:rPr>
        <w:t xml:space="preserve"> e tillë</w:t>
      </w:r>
      <w:r w:rsidR="00F42CC8" w:rsidRPr="006871FF">
        <w:rPr>
          <w:rStyle w:val="BodyText1"/>
          <w:rFonts w:ascii="Georgia" w:hAnsi="Georgia" w:cs="Times New Roman"/>
          <w:sz w:val="22"/>
          <w:szCs w:val="22"/>
        </w:rPr>
        <w:t xml:space="preserve"> pasojë e veprimeve</w:t>
      </w:r>
      <w:r w:rsidR="00FF1E9D" w:rsidRPr="006871FF">
        <w:rPr>
          <w:rStyle w:val="BodyText1"/>
          <w:rFonts w:ascii="Georgia" w:hAnsi="Georgia" w:cs="Times New Roman"/>
          <w:sz w:val="22"/>
          <w:szCs w:val="22"/>
        </w:rPr>
        <w:t xml:space="preserve"> të kërkimit </w:t>
      </w:r>
      <w:r w:rsidR="00F42CC8" w:rsidRPr="006871FF">
        <w:rPr>
          <w:rStyle w:val="BodyText1"/>
          <w:rFonts w:ascii="Georgia" w:hAnsi="Georgia" w:cs="Times New Roman"/>
          <w:sz w:val="22"/>
          <w:szCs w:val="22"/>
        </w:rPr>
        <w:t xml:space="preserve">është </w:t>
      </w:r>
      <w:r w:rsidR="0072285E" w:rsidRPr="006871FF">
        <w:rPr>
          <w:rStyle w:val="BodyText1"/>
          <w:rFonts w:ascii="Georgia" w:hAnsi="Georgia" w:cs="Times New Roman"/>
          <w:sz w:val="22"/>
          <w:szCs w:val="22"/>
        </w:rPr>
        <w:t xml:space="preserve">shkelja e normës ligjore, </w:t>
      </w:r>
      <w:r w:rsidR="00240534" w:rsidRPr="006871FF">
        <w:rPr>
          <w:rStyle w:val="BodyText1"/>
          <w:rFonts w:ascii="Georgia" w:hAnsi="Georgia" w:cs="Times New Roman"/>
          <w:sz w:val="22"/>
          <w:szCs w:val="22"/>
        </w:rPr>
        <w:t>thënë ndryshe vep.pen. formale</w:t>
      </w:r>
      <w:r w:rsidR="0072285E" w:rsidRPr="006871FF">
        <w:rPr>
          <w:rStyle w:val="BodyText1"/>
          <w:rFonts w:ascii="Georgia" w:hAnsi="Georgia" w:cs="Times New Roman"/>
          <w:sz w:val="22"/>
          <w:szCs w:val="22"/>
        </w:rPr>
        <w:t>.</w:t>
      </w:r>
    </w:p>
    <w:p w:rsidR="00441B23" w:rsidRDefault="00AD47C9" w:rsidP="00441B23">
      <w:pPr>
        <w:pStyle w:val="ListParagraph"/>
        <w:ind w:left="0" w:firstLine="720"/>
        <w:jc w:val="both"/>
        <w:rPr>
          <w:rFonts w:ascii="Georgia" w:hAnsi="Georgia" w:cs="Times New Roman"/>
        </w:rPr>
      </w:pPr>
      <w:r w:rsidRPr="006871FF">
        <w:rPr>
          <w:rFonts w:ascii="Georgia" w:hAnsi="Georgia" w:cs="Times New Roman"/>
          <w:shd w:val="clear" w:color="auto" w:fill="FFFFFF"/>
        </w:rPr>
        <w:t xml:space="preserve">Po ashtu konstatohet se është e parëndësishme nëse </w:t>
      </w:r>
      <w:r w:rsidRPr="006871FF">
        <w:rPr>
          <w:rFonts w:ascii="Georgia" w:hAnsi="Georgia" w:cs="Times New Roman"/>
        </w:rPr>
        <w:t>lihet pa u kryer, vonohet, kryhet në kundërshtim me funksionin a detyrën apo akti kryet siç e kërkon detyra apo funksioni, sepse vlera negative e kësaj vepre penale është ajo e ‘përfitimit të paligjshë</w:t>
      </w:r>
      <w:r w:rsidR="005B4F08" w:rsidRPr="006871FF">
        <w:rPr>
          <w:rFonts w:ascii="Georgia" w:hAnsi="Georgia" w:cs="Times New Roman"/>
        </w:rPr>
        <w:t>m’.</w:t>
      </w:r>
    </w:p>
    <w:p w:rsidR="00441B23" w:rsidRDefault="00E901E1" w:rsidP="00441B23">
      <w:pPr>
        <w:pStyle w:val="ListParagraph"/>
        <w:ind w:left="0" w:firstLine="720"/>
        <w:jc w:val="both"/>
        <w:rPr>
          <w:rFonts w:ascii="Georgia" w:hAnsi="Georgia" w:cs="Times New Roman"/>
        </w:rPr>
      </w:pPr>
      <w:r w:rsidRPr="006871FF">
        <w:rPr>
          <w:rFonts w:ascii="Georgia" w:hAnsi="Georgia" w:cs="Times New Roman"/>
        </w:rPr>
        <w:t>Pasojat shum</w:t>
      </w:r>
      <w:r w:rsidR="00966A79" w:rsidRPr="006871FF">
        <w:rPr>
          <w:rFonts w:ascii="Georgia" w:hAnsi="Georgia" w:cs="Times New Roman"/>
        </w:rPr>
        <w:t>ë</w:t>
      </w:r>
      <w:r w:rsidRPr="006871FF">
        <w:rPr>
          <w:rFonts w:ascii="Georgia" w:hAnsi="Georgia" w:cs="Times New Roman"/>
        </w:rPr>
        <w:t xml:space="preserve"> t</w:t>
      </w:r>
      <w:r w:rsidR="00966A79" w:rsidRPr="006871FF">
        <w:rPr>
          <w:rFonts w:ascii="Georgia" w:hAnsi="Georgia" w:cs="Times New Roman"/>
        </w:rPr>
        <w:t>ë</w:t>
      </w:r>
      <w:r w:rsidRPr="006871FF">
        <w:rPr>
          <w:rFonts w:ascii="Georgia" w:hAnsi="Georgia" w:cs="Times New Roman"/>
        </w:rPr>
        <w:t xml:space="preserve"> d</w:t>
      </w:r>
      <w:r w:rsidR="00966A79" w:rsidRPr="006871FF">
        <w:rPr>
          <w:rFonts w:ascii="Georgia" w:hAnsi="Georgia" w:cs="Times New Roman"/>
        </w:rPr>
        <w:t>ë</w:t>
      </w:r>
      <w:r w:rsidRPr="006871FF">
        <w:rPr>
          <w:rFonts w:ascii="Georgia" w:hAnsi="Georgia" w:cs="Times New Roman"/>
        </w:rPr>
        <w:t>mshme t</w:t>
      </w:r>
      <w:r w:rsidR="00966A79" w:rsidRPr="006871FF">
        <w:rPr>
          <w:rFonts w:ascii="Georgia" w:hAnsi="Georgia" w:cs="Times New Roman"/>
        </w:rPr>
        <w:t>ë</w:t>
      </w:r>
      <w:r w:rsidRPr="006871FF">
        <w:rPr>
          <w:rFonts w:ascii="Georgia" w:hAnsi="Georgia" w:cs="Times New Roman"/>
        </w:rPr>
        <w:t xml:space="preserve"> korrupsionit mbi stabilitetin dhe sigurinë e</w:t>
      </w:r>
      <w:r w:rsidR="00560365" w:rsidRPr="006871FF">
        <w:rPr>
          <w:rFonts w:ascii="Georgia" w:hAnsi="Georgia" w:cs="Times New Roman"/>
        </w:rPr>
        <w:t xml:space="preserve"> shoqërisë</w:t>
      </w:r>
      <w:r w:rsidRPr="006871FF">
        <w:rPr>
          <w:rFonts w:ascii="Georgia" w:hAnsi="Georgia" w:cs="Times New Roman"/>
        </w:rPr>
        <w:t xml:space="preserve">, duke dëmtuar institucionet dhe vlerën e demokracisë, vlerat etike dhe drejtësinë, </w:t>
      </w:r>
      <w:r w:rsidR="00F85CD8" w:rsidRPr="006871FF">
        <w:rPr>
          <w:rFonts w:ascii="Georgia" w:hAnsi="Georgia" w:cs="Times New Roman"/>
        </w:rPr>
        <w:t>ka</w:t>
      </w:r>
      <w:r w:rsidR="006B3418" w:rsidRPr="006871FF">
        <w:rPr>
          <w:rFonts w:ascii="Georgia" w:hAnsi="Georgia" w:cs="Times New Roman"/>
        </w:rPr>
        <w:t xml:space="preserve"> detyruar komunitetin ligjor Ndë</w:t>
      </w:r>
      <w:r w:rsidR="00222C72" w:rsidRPr="006871FF">
        <w:rPr>
          <w:rFonts w:ascii="Georgia" w:hAnsi="Georgia" w:cs="Times New Roman"/>
        </w:rPr>
        <w:t>rkombë</w:t>
      </w:r>
      <w:r w:rsidR="00B94C24" w:rsidRPr="006871FF">
        <w:rPr>
          <w:rFonts w:ascii="Georgia" w:hAnsi="Georgia" w:cs="Times New Roman"/>
        </w:rPr>
        <w:t>tar dhe ai atë Ve</w:t>
      </w:r>
      <w:r w:rsidR="00F85CD8" w:rsidRPr="006871FF">
        <w:rPr>
          <w:rFonts w:ascii="Georgia" w:hAnsi="Georgia" w:cs="Times New Roman"/>
        </w:rPr>
        <w:t>ndas</w:t>
      </w:r>
      <w:r w:rsidR="00B263A8" w:rsidRPr="006871FF">
        <w:rPr>
          <w:rFonts w:ascii="Georgia" w:hAnsi="Georgia" w:cs="Times New Roman"/>
        </w:rPr>
        <w:t xml:space="preserve"> të vendosë që të godasë të dy subjektet e pë</w:t>
      </w:r>
      <w:r w:rsidRPr="006871FF">
        <w:rPr>
          <w:rFonts w:ascii="Georgia" w:hAnsi="Georgia" w:cs="Times New Roman"/>
        </w:rPr>
        <w:t>rfshira në sjelljen kriminale duke parashikuar p</w:t>
      </w:r>
      <w:r w:rsidR="00966A79" w:rsidRPr="006871FF">
        <w:rPr>
          <w:rFonts w:ascii="Georgia" w:hAnsi="Georgia" w:cs="Times New Roman"/>
        </w:rPr>
        <w:t>ë</w:t>
      </w:r>
      <w:r w:rsidRPr="006871FF">
        <w:rPr>
          <w:rFonts w:ascii="Georgia" w:hAnsi="Georgia" w:cs="Times New Roman"/>
        </w:rPr>
        <w:t>r secilin d</w:t>
      </w:r>
      <w:r w:rsidR="00966A79" w:rsidRPr="006871FF">
        <w:rPr>
          <w:rFonts w:ascii="Georgia" w:hAnsi="Georgia" w:cs="Times New Roman"/>
        </w:rPr>
        <w:t>ë</w:t>
      </w:r>
      <w:r w:rsidRPr="006871FF">
        <w:rPr>
          <w:rFonts w:ascii="Georgia" w:hAnsi="Georgia" w:cs="Times New Roman"/>
        </w:rPr>
        <w:t>nimin e tij</w:t>
      </w:r>
      <w:r w:rsidR="005B4F08" w:rsidRPr="006871FF">
        <w:rPr>
          <w:rFonts w:ascii="Georgia" w:hAnsi="Georgia" w:cs="Times New Roman"/>
        </w:rPr>
        <w:t>, siç parashikohet parimisht në nenin 244 Kodi Penal.</w:t>
      </w:r>
    </w:p>
    <w:p w:rsidR="00441B23" w:rsidRDefault="0021776E" w:rsidP="00441B23">
      <w:pPr>
        <w:pStyle w:val="ListParagraph"/>
        <w:ind w:left="0" w:firstLine="720"/>
        <w:jc w:val="both"/>
        <w:rPr>
          <w:rFonts w:ascii="Georgia" w:hAnsi="Georgia" w:cs="Times New Roman"/>
          <w:shd w:val="clear" w:color="auto" w:fill="FFFFFF"/>
        </w:rPr>
      </w:pPr>
      <w:r w:rsidRPr="006871FF">
        <w:rPr>
          <w:rFonts w:ascii="Georgia" w:hAnsi="Georgia" w:cs="Times New Roman"/>
          <w:shd w:val="clear" w:color="auto" w:fill="FFFFFF"/>
        </w:rPr>
        <w:t>Dhe vetëm në funksion të personit që begatohe</w:t>
      </w:r>
      <w:r w:rsidR="00551438" w:rsidRPr="006871FF">
        <w:rPr>
          <w:rFonts w:ascii="Georgia" w:hAnsi="Georgia" w:cs="Times New Roman"/>
          <w:shd w:val="clear" w:color="auto" w:fill="FFFFFF"/>
        </w:rPr>
        <w:t xml:space="preserve">t, pra që merr, kërkon, pranon përfitim të parregullt emërtohet pasiv ai dhe në funksion të personit që begaton, pra që </w:t>
      </w:r>
      <w:r w:rsidR="0004229B" w:rsidRPr="006871FF">
        <w:rPr>
          <w:rFonts w:ascii="Georgia" w:hAnsi="Georgia" w:cs="Times New Roman"/>
          <w:shd w:val="clear" w:color="auto" w:fill="FFFFFF"/>
        </w:rPr>
        <w:t>premton, propozon apo jep, emërtohet aktiv vepra penale e korrupsionit.</w:t>
      </w:r>
    </w:p>
    <w:p w:rsidR="00441B23" w:rsidRDefault="00B37441" w:rsidP="00441B23">
      <w:pPr>
        <w:pStyle w:val="ListParagraph"/>
        <w:ind w:left="0" w:firstLine="720"/>
        <w:jc w:val="both"/>
        <w:rPr>
          <w:rFonts w:ascii="Georgia" w:hAnsi="Georgia" w:cs="Times New Roman"/>
          <w:b/>
          <w:bCs/>
        </w:rPr>
      </w:pPr>
      <w:r>
        <w:rPr>
          <w:rFonts w:ascii="Georgia" w:hAnsi="Georgia" w:cs="Times New Roman"/>
          <w:b/>
          <w:bCs/>
        </w:rPr>
        <w:t>-</w:t>
      </w:r>
      <w:r w:rsidR="0004229B" w:rsidRPr="006871FF">
        <w:rPr>
          <w:rFonts w:ascii="Georgia" w:hAnsi="Georgia" w:cs="Times New Roman"/>
          <w:b/>
          <w:bCs/>
        </w:rPr>
        <w:t>Specifikisht Subjekti</w:t>
      </w:r>
      <w:r w:rsidR="00E06013" w:rsidRPr="006871FF">
        <w:rPr>
          <w:rFonts w:ascii="Georgia" w:hAnsi="Georgia" w:cs="Times New Roman"/>
          <w:b/>
          <w:bCs/>
        </w:rPr>
        <w:t xml:space="preserve"> në korrupsionin </w:t>
      </w:r>
      <w:r w:rsidR="00C17D72" w:rsidRPr="006871FF">
        <w:rPr>
          <w:rFonts w:ascii="Georgia" w:hAnsi="Georgia"/>
          <w:b/>
        </w:rPr>
        <w:t>personave që ushtrojnë funksione publike</w:t>
      </w:r>
      <w:r w:rsidR="004C206B" w:rsidRPr="006871FF">
        <w:rPr>
          <w:rFonts w:ascii="Georgia" w:hAnsi="Georgia" w:cs="Times New Roman"/>
          <w:b/>
          <w:bCs/>
        </w:rPr>
        <w:t>.</w:t>
      </w:r>
    </w:p>
    <w:p w:rsidR="00441B23" w:rsidRDefault="00315568" w:rsidP="00441B23">
      <w:pPr>
        <w:pStyle w:val="ListParagraph"/>
        <w:ind w:left="0" w:firstLine="720"/>
        <w:jc w:val="both"/>
        <w:rPr>
          <w:rFonts w:ascii="Georgia" w:hAnsi="Georgia"/>
        </w:rPr>
      </w:pPr>
      <w:r w:rsidRPr="006871FF">
        <w:rPr>
          <w:rFonts w:ascii="Georgia" w:hAnsi="Georgia"/>
        </w:rPr>
        <w:t>Në këtë pikë, huazuar nga e drejta publike dhe ajo administrative, paraprakisht është për t’u rikujtuar se ‘</w:t>
      </w:r>
      <w:r w:rsidRPr="006871FF">
        <w:rPr>
          <w:rFonts w:ascii="Georgia" w:hAnsi="Georgia"/>
          <w:b/>
        </w:rPr>
        <w:t>aparat shtetëror</w:t>
      </w:r>
      <w:r w:rsidRPr="006871FF">
        <w:rPr>
          <w:rFonts w:ascii="Georgia" w:hAnsi="Georgia"/>
        </w:rPr>
        <w:t>’, është kompleksi i organeve kushtetues që formojnë pushtetin superior që përfaqëson momentin e autoritetit, i cili përfshin në veprimtarinë e tij ushtrimin e funksionit legjislativ, gjyqësor dhe atë ekzekutiv nga organet e tij.  Kjo për të bërë të mundur evidentimin e ndryshimit ndërmjet: ‘</w:t>
      </w:r>
      <w:r w:rsidRPr="006871FF">
        <w:rPr>
          <w:rFonts w:ascii="Georgia" w:hAnsi="Georgia"/>
          <w:b/>
          <w:i/>
        </w:rPr>
        <w:t>funksionit publik/shtetëror</w:t>
      </w:r>
      <w:r w:rsidRPr="006871FF">
        <w:rPr>
          <w:rFonts w:ascii="Georgia" w:hAnsi="Georgia"/>
        </w:rPr>
        <w:t>’ që është aktiviteti i zhvilluar për të kënaqur interesa publike, të mbarë shoqërisë, i disiplinuar nga norma të së drejtës publike dhe veprime autoritare, zakonisht nga aparati shtetëror (dhe jo vetëm) i pajisur me pushtet autoritar që vendos, detyrues apo njëjtësues/certifikues dhe ‘</w:t>
      </w:r>
      <w:r w:rsidRPr="006871FF">
        <w:rPr>
          <w:rFonts w:ascii="Georgia" w:hAnsi="Georgia"/>
          <w:b/>
          <w:i/>
        </w:rPr>
        <w:t>shërbimit publik</w:t>
      </w:r>
      <w:r w:rsidRPr="006871FF">
        <w:rPr>
          <w:rFonts w:ascii="Georgia" w:hAnsi="Georgia"/>
          <w:i/>
        </w:rPr>
        <w:t>’</w:t>
      </w:r>
      <w:r w:rsidRPr="006871FF">
        <w:rPr>
          <w:rFonts w:ascii="Georgia" w:hAnsi="Georgia"/>
        </w:rPr>
        <w:t xml:space="preserve"> që po ashtu, është aktiviteti me tendenca dhuruese, i zhvilluar për të kënaqur interesa publike, i disiplinuar nga norma të së drejtës publike dhe veprime autoritare, zakonisht nga ente/organizma privat (dhe jo vetëm), por i pa-pajisur me pushtet autoritar që vendos, detyrues apo njëjtësues/certifikues.</w:t>
      </w:r>
    </w:p>
    <w:p w:rsidR="00441B23" w:rsidRDefault="00315568" w:rsidP="00441B23">
      <w:pPr>
        <w:pStyle w:val="ListParagraph"/>
        <w:ind w:left="0" w:firstLine="720"/>
        <w:jc w:val="both"/>
        <w:rPr>
          <w:rFonts w:ascii="Georgia" w:hAnsi="Georgia"/>
        </w:rPr>
      </w:pPr>
      <w:r w:rsidRPr="006871FF">
        <w:rPr>
          <w:rFonts w:ascii="Georgia" w:hAnsi="Georgia"/>
        </w:rPr>
        <w:t>Duke parashtruar të përbashkëtat e tyre si ‘disiplinimin e aktivitetit në të njëjtat forma nga norma të së drejtës publike dhe veprime autoritare’;  ‘veprimtari për të kënaqur interesa publike’ &amp; ‘aparat shtetëror apo ent/organizëm privat’; mund të evidentohet ndryshimi se ‘</w:t>
      </w:r>
      <w:r w:rsidRPr="006871FF">
        <w:rPr>
          <w:rFonts w:ascii="Georgia" w:hAnsi="Georgia"/>
          <w:b/>
        </w:rPr>
        <w:t>shërbimi publik</w:t>
      </w:r>
      <w:r w:rsidRPr="006871FF">
        <w:rPr>
          <w:rFonts w:ascii="Georgia" w:hAnsi="Georgia"/>
        </w:rPr>
        <w:t>’ ushtrohet në mungesë të pushtetit autoritar që vendos, detyrues apo njëjtësues/certifikues, tipik ky pushtet i aparatit shtetëror dhe për këtë i ‘</w:t>
      </w:r>
      <w:r w:rsidRPr="006871FF">
        <w:rPr>
          <w:rFonts w:ascii="Georgia" w:hAnsi="Georgia"/>
          <w:b/>
        </w:rPr>
        <w:t>funksionit publik</w:t>
      </w:r>
      <w:r w:rsidRPr="006871FF">
        <w:rPr>
          <w:rFonts w:ascii="Georgia" w:hAnsi="Georgia"/>
        </w:rPr>
        <w:t>’.</w:t>
      </w:r>
    </w:p>
    <w:p w:rsidR="00441B23" w:rsidRDefault="00315568" w:rsidP="00441B23">
      <w:pPr>
        <w:pStyle w:val="ListParagraph"/>
        <w:ind w:left="0" w:firstLine="720"/>
        <w:jc w:val="both"/>
        <w:rPr>
          <w:rFonts w:ascii="Georgia" w:hAnsi="Georgia"/>
        </w:rPr>
      </w:pPr>
      <w:r w:rsidRPr="006871FF">
        <w:rPr>
          <w:rFonts w:ascii="Georgia" w:hAnsi="Georgia"/>
        </w:rPr>
        <w:t>Gjithashtu referuar në interesat publike, por tashmë për nevoja të rëndësishme sociale, dallohet në përbërje të shërbimit publik edhe një nënkategori të tij, ‘</w:t>
      </w:r>
      <w:r w:rsidRPr="006871FF">
        <w:rPr>
          <w:rFonts w:ascii="Georgia" w:hAnsi="Georgia"/>
          <w:b/>
          <w:i/>
        </w:rPr>
        <w:t>shërbimin e nevojshëm publik</w:t>
      </w:r>
      <w:r w:rsidRPr="006871FF">
        <w:rPr>
          <w:rFonts w:ascii="Georgia" w:hAnsi="Georgia"/>
        </w:rPr>
        <w:t>’.  Ky i fundit mbajtës i karakteristikave të vetë shërbimit, ushtrohet prej privatit në emër dhe për llogari të tij, i pa lidhur dhe pa detyrime ndaj aparatit shtetëror, i dallueshëm për nga nevoja dhe rëndësia për interesin publik dhe si i tillë nën kontrollin e Shtetit, duke u lejuar të ushtrojë atë apo dhe duke u ngarkuar për ushtrimin e tij.</w:t>
      </w:r>
    </w:p>
    <w:p w:rsidR="00441B23" w:rsidRDefault="00315568" w:rsidP="00441B23">
      <w:pPr>
        <w:pStyle w:val="ListParagraph"/>
        <w:ind w:left="0" w:firstLine="720"/>
        <w:jc w:val="both"/>
        <w:rPr>
          <w:rFonts w:ascii="Georgia" w:hAnsi="Georgia"/>
        </w:rPr>
      </w:pPr>
      <w:r w:rsidRPr="006871FF">
        <w:rPr>
          <w:rFonts w:ascii="Georgia" w:hAnsi="Georgia"/>
        </w:rPr>
        <w:lastRenderedPageBreak/>
        <w:t>Në rrjedhojë të raportit diferencues të funksionit nga shërbimi publik, personi fizik i cili në fakt ushtron respektivisht veprimtarinë është ‘zyrtari publik’ dhe ‘i ngarkuari me shërbim publik’.  Kështu ‘</w:t>
      </w:r>
      <w:r w:rsidRPr="006871FF">
        <w:rPr>
          <w:rFonts w:ascii="Georgia" w:hAnsi="Georgia"/>
          <w:i/>
        </w:rPr>
        <w:t>zyrtar publik</w:t>
      </w:r>
      <w:r w:rsidRPr="006871FF">
        <w:rPr>
          <w:rFonts w:ascii="Georgia" w:hAnsi="Georgia"/>
        </w:rPr>
        <w:t>’, është ai që ushtron funksion publik legjislativ, gjyqësor apo ekzekutiv, ai që ushtron pushtete autoritare që vendos, detyrues njëjtësues/certifikues në harkun e aparatit shtetëror.  Ndërsa ‘</w:t>
      </w:r>
      <w:r w:rsidRPr="006871FF">
        <w:rPr>
          <w:rFonts w:ascii="Georgia" w:hAnsi="Georgia"/>
          <w:i/>
        </w:rPr>
        <w:t>i ngarkuar me një shërbim publik</w:t>
      </w:r>
      <w:r w:rsidRPr="006871FF">
        <w:rPr>
          <w:rFonts w:ascii="Georgia" w:hAnsi="Georgia"/>
        </w:rPr>
        <w:t xml:space="preserve">’, është ai që dhuron një shërbim publik, pavarësisht për shkak të kujt lloj titulli, i një aktiviteti të disiplinuar nga norma të së drejtës publike dhe nga veprime autoritare, kuptuar këto të fundit si veprime të nxjerrë në ushtrim të pushtetit autoritar të aparatit shtetëror dhe jo si formim dhe shfaqje e vullnetit të tij.  Dhe më tej, dhe për pasojë të trajtimit të mësipërm, na jepet mundësia të dallojmë dhe </w:t>
      </w:r>
      <w:r w:rsidRPr="006871FF">
        <w:rPr>
          <w:rFonts w:ascii="Georgia" w:hAnsi="Georgia"/>
          <w:i/>
        </w:rPr>
        <w:t>personin</w:t>
      </w:r>
      <w:r w:rsidRPr="006871FF">
        <w:rPr>
          <w:rFonts w:ascii="Georgia" w:hAnsi="Georgia"/>
        </w:rPr>
        <w:t xml:space="preserve"> ushtrues të një ‘</w:t>
      </w:r>
      <w:r w:rsidRPr="006871FF">
        <w:rPr>
          <w:rFonts w:ascii="Georgia" w:hAnsi="Georgia"/>
          <w:i/>
        </w:rPr>
        <w:t>shërbimi të nevojshëm publik</w:t>
      </w:r>
      <w:r w:rsidRPr="006871FF">
        <w:rPr>
          <w:rFonts w:ascii="Georgia" w:hAnsi="Georgia"/>
        </w:rPr>
        <w:t>’, i cili kryen apo dhuron veprimtari të rëndësishme e të nevojshme në interes publik.</w:t>
      </w:r>
    </w:p>
    <w:p w:rsidR="00441B23" w:rsidRDefault="00315568" w:rsidP="00441B23">
      <w:pPr>
        <w:pStyle w:val="ListParagraph"/>
        <w:ind w:left="0" w:firstLine="720"/>
        <w:jc w:val="both"/>
        <w:rPr>
          <w:rFonts w:ascii="Georgia" w:hAnsi="Georgia" w:cs="Times New Roman"/>
        </w:rPr>
      </w:pPr>
      <w:r w:rsidRPr="006871FF">
        <w:rPr>
          <w:rFonts w:ascii="Georgia" w:hAnsi="Georgia" w:cs="Times New Roman"/>
        </w:rPr>
        <w:t>Ndarja e veprës penale të Korrupsionit në sektor Privat nga neni 164/a dhe 164/b k.Penal që duket se përfshin dhe subjektet e parashikuar në nenin 312 apo dhe ato në nenin 328 k.Penal, lë të kuptohet se subjektet e parashikuara në veprën penale të Korrupsionit nga nenet 244, 245, 246, 259, 259/a, 260, 319, 319/a, 319/b, 319/c, 319/d dhe 319/e k.Penal, përfshihen në atë të ashtu quajturin sektori Publik.  Për këtë është për tu kuptuar por edhe për tu diskutuar se këto subjekte janë ato që ushtrojnë si funksion publik ashtu dhe ata që ushtrojë shërbim publik sipas ndarjes së mësipërme, ashtu siç dhe subjekte në sektorin Privat mund të jenë edhe ata që ushtrojnë shërbim publik.</w:t>
      </w:r>
    </w:p>
    <w:p w:rsidR="00441B23" w:rsidRDefault="00441B23" w:rsidP="00441B23">
      <w:pPr>
        <w:pStyle w:val="ListParagraph"/>
        <w:ind w:left="0" w:firstLine="720"/>
        <w:jc w:val="both"/>
        <w:rPr>
          <w:rFonts w:ascii="Georgia" w:hAnsi="Georgia" w:cs="Times New Roman"/>
        </w:rPr>
      </w:pPr>
    </w:p>
    <w:p w:rsidR="00441B23" w:rsidRDefault="00B263A8" w:rsidP="00441B23">
      <w:pPr>
        <w:pStyle w:val="ListParagraph"/>
        <w:ind w:left="0" w:firstLine="720"/>
        <w:jc w:val="both"/>
        <w:rPr>
          <w:rFonts w:ascii="Georgia" w:hAnsi="Georgia" w:cs="Times New Roman"/>
          <w:b/>
          <w:bCs/>
        </w:rPr>
      </w:pPr>
      <w:r w:rsidRPr="006871FF">
        <w:rPr>
          <w:rFonts w:ascii="Georgia" w:hAnsi="Georgia" w:cs="Times New Roman"/>
          <w:b/>
          <w:bCs/>
        </w:rPr>
        <w:t>Korrupsioni mjedisor</w:t>
      </w:r>
      <w:r w:rsidR="009606EE" w:rsidRPr="006871FF">
        <w:rPr>
          <w:rStyle w:val="FootnoteReference"/>
          <w:rFonts w:ascii="Georgia" w:hAnsi="Georgia" w:cs="Times New Roman"/>
          <w:b/>
          <w:bCs/>
        </w:rPr>
        <w:footnoteReference w:id="2"/>
      </w:r>
      <w:r w:rsidRPr="006871FF">
        <w:rPr>
          <w:rFonts w:ascii="Georgia" w:hAnsi="Georgia" w:cs="Times New Roman"/>
          <w:b/>
          <w:bCs/>
        </w:rPr>
        <w:t>.</w:t>
      </w:r>
    </w:p>
    <w:p w:rsidR="00ED6E40" w:rsidRDefault="00B263A8" w:rsidP="00ED6E40">
      <w:pPr>
        <w:pStyle w:val="ListParagraph"/>
        <w:ind w:left="0" w:firstLine="720"/>
        <w:jc w:val="both"/>
        <w:rPr>
          <w:rFonts w:ascii="Georgia" w:hAnsi="Georgia" w:cs="Times New Roman"/>
        </w:rPr>
      </w:pPr>
      <w:r w:rsidRPr="006871FF">
        <w:rPr>
          <w:rFonts w:ascii="Georgia" w:hAnsi="Georgia" w:cs="Times New Roman"/>
        </w:rPr>
        <w:t xml:space="preserve">Flitet shpesh (në Vendin tonë) për korrupsion mjedisor ose epidemik, atëherë kur në një sistem të caktuar – ent, artikulim administrativ etj. – korrupsioni nuk është një veprim i izoluar kriminal, por përkundrazi paraqitet tamam si një praktikë reale: një mënyrë funksionimi dhe madje edhe jetese e përhapur, si për të krijuar një induksion të përhershëm drejt kësaj sjellje kriminale.  Shembull tipik është ajo e rasteve të bujshme italiane të viteve ’90, zakonisht të </w:t>
      </w:r>
      <w:r w:rsidR="00DB7D4B" w:rsidRPr="006871FF">
        <w:rPr>
          <w:rFonts w:ascii="Georgia" w:hAnsi="Georgia" w:cs="Times New Roman"/>
        </w:rPr>
        <w:t xml:space="preserve">njohur nën emrin ‘Tangentopoli’, si sistem politik-administrativ në të cilin është praktikë e zakonshme </w:t>
      </w:r>
      <w:r w:rsidR="00B94C24" w:rsidRPr="006871FF">
        <w:rPr>
          <w:rFonts w:ascii="Georgia" w:hAnsi="Georgia" w:cs="Times New Roman"/>
        </w:rPr>
        <w:t>e normale dhënia dhe marrja e r</w:t>
      </w:r>
      <w:r w:rsidR="00DB7D4B" w:rsidRPr="006871FF">
        <w:rPr>
          <w:rFonts w:ascii="Georgia" w:hAnsi="Georgia" w:cs="Times New Roman"/>
        </w:rPr>
        <w:t>yshfeteve.</w:t>
      </w:r>
    </w:p>
    <w:p w:rsidR="00ED6E40" w:rsidRDefault="00ED6E40" w:rsidP="00ED6E40">
      <w:pPr>
        <w:pStyle w:val="ListParagraph"/>
        <w:ind w:left="0"/>
        <w:jc w:val="both"/>
        <w:rPr>
          <w:rFonts w:ascii="Georgia" w:hAnsi="Georgia" w:cstheme="majorBidi"/>
          <w:b/>
          <w:bCs/>
        </w:rPr>
      </w:pPr>
    </w:p>
    <w:p w:rsidR="00ED6E40" w:rsidRDefault="007F6569" w:rsidP="00ED6E40">
      <w:pPr>
        <w:pStyle w:val="ListParagraph"/>
        <w:ind w:left="0"/>
        <w:jc w:val="both"/>
        <w:rPr>
          <w:rFonts w:ascii="Georgia" w:hAnsi="Georgia" w:cstheme="majorBidi"/>
          <w:b/>
          <w:bCs/>
        </w:rPr>
      </w:pPr>
      <w:r w:rsidRPr="00ED6E40">
        <w:rPr>
          <w:rFonts w:ascii="Georgia" w:hAnsi="Georgia" w:cstheme="majorBidi"/>
          <w:b/>
          <w:bCs/>
        </w:rPr>
        <w:t>Ushtrimi i ndikimit të paligjshëm</w:t>
      </w:r>
    </w:p>
    <w:p w:rsidR="00ED6E40" w:rsidRDefault="00D82869" w:rsidP="00ED6E40">
      <w:pPr>
        <w:pStyle w:val="ListParagraph"/>
        <w:ind w:left="0" w:firstLine="360"/>
        <w:jc w:val="both"/>
        <w:rPr>
          <w:rStyle w:val="BodyText1"/>
          <w:rFonts w:ascii="Georgia" w:hAnsi="Georgia"/>
          <w:sz w:val="22"/>
          <w:szCs w:val="22"/>
        </w:rPr>
      </w:pPr>
      <w:r w:rsidRPr="006871FF">
        <w:rPr>
          <w:rFonts w:ascii="Georgia" w:hAnsi="Georgia" w:cstheme="majorBidi"/>
          <w:bCs/>
        </w:rPr>
        <w:t xml:space="preserve">Është një vepër penale </w:t>
      </w:r>
      <w:r w:rsidR="00D9446B" w:rsidRPr="006871FF">
        <w:rPr>
          <w:rFonts w:ascii="Georgia" w:hAnsi="Georgia" w:cstheme="majorBidi"/>
          <w:bCs/>
        </w:rPr>
        <w:t xml:space="preserve">që </w:t>
      </w:r>
      <w:r w:rsidR="00FB0ED4" w:rsidRPr="006871FF">
        <w:rPr>
          <w:rFonts w:ascii="Georgia" w:hAnsi="Georgia" w:cstheme="majorBidi"/>
          <w:bCs/>
        </w:rPr>
        <w:t xml:space="preserve">synon të ndëshkojë ‘ndërmjetësin’ fiktiv </w:t>
      </w:r>
      <w:r w:rsidR="004736C1" w:rsidRPr="006871FF">
        <w:rPr>
          <w:rFonts w:ascii="Georgia" w:hAnsi="Georgia" w:cstheme="majorBidi"/>
          <w:bCs/>
        </w:rPr>
        <w:t xml:space="preserve">të korrupsionit, atë që në veprën penale të korrupsionit </w:t>
      </w:r>
      <w:r w:rsidR="002754F7" w:rsidRPr="006871FF">
        <w:rPr>
          <w:rFonts w:ascii="Georgia" w:hAnsi="Georgia" w:cstheme="majorBidi"/>
          <w:bCs/>
        </w:rPr>
        <w:t>k</w:t>
      </w:r>
      <w:r w:rsidR="00925F83" w:rsidRPr="006871FF">
        <w:rPr>
          <w:rStyle w:val="BodyText1"/>
          <w:rFonts w:ascii="Georgia" w:hAnsi="Georgia"/>
          <w:sz w:val="22"/>
          <w:szCs w:val="22"/>
        </w:rPr>
        <w:t>ërkon</w:t>
      </w:r>
      <w:r w:rsidR="008464F9" w:rsidRPr="006871FF">
        <w:rPr>
          <w:rStyle w:val="BodyText1"/>
          <w:rFonts w:ascii="Georgia" w:hAnsi="Georgia"/>
          <w:sz w:val="22"/>
          <w:szCs w:val="22"/>
        </w:rPr>
        <w:t xml:space="preserve">, </w:t>
      </w:r>
      <w:r w:rsidR="00925F83" w:rsidRPr="006871FF">
        <w:rPr>
          <w:rStyle w:val="BodyText1"/>
          <w:rFonts w:ascii="Georgia" w:hAnsi="Georgia"/>
          <w:sz w:val="22"/>
          <w:szCs w:val="22"/>
        </w:rPr>
        <w:t>merr,</w:t>
      </w:r>
      <w:r w:rsidR="000C3CEB" w:rsidRPr="006871FF">
        <w:rPr>
          <w:rStyle w:val="BodyText1"/>
          <w:rFonts w:ascii="Georgia" w:hAnsi="Georgia"/>
          <w:sz w:val="22"/>
          <w:szCs w:val="22"/>
        </w:rPr>
        <w:t xml:space="preserve"> pranon</w:t>
      </w:r>
      <w:r w:rsidR="00925F83" w:rsidRPr="006871FF">
        <w:rPr>
          <w:rStyle w:val="BodyText1"/>
          <w:rFonts w:ascii="Georgia" w:hAnsi="Georgia"/>
          <w:sz w:val="22"/>
          <w:szCs w:val="22"/>
        </w:rPr>
        <w:t xml:space="preserve"> </w:t>
      </w:r>
      <w:r w:rsidR="00406213" w:rsidRPr="006871FF">
        <w:rPr>
          <w:rStyle w:val="BodyText1"/>
          <w:rFonts w:ascii="Georgia" w:hAnsi="Georgia"/>
          <w:sz w:val="22"/>
          <w:szCs w:val="22"/>
        </w:rPr>
        <w:t>përfitim</w:t>
      </w:r>
      <w:r w:rsidR="00925F83" w:rsidRPr="006871FF">
        <w:rPr>
          <w:rStyle w:val="BodyText1"/>
          <w:rFonts w:ascii="Georgia" w:hAnsi="Georgia"/>
          <w:sz w:val="22"/>
          <w:szCs w:val="22"/>
        </w:rPr>
        <w:t xml:space="preserve"> të parregullt </w:t>
      </w:r>
      <w:r w:rsidR="000C3CEB" w:rsidRPr="006871FF">
        <w:rPr>
          <w:rStyle w:val="BodyText1"/>
          <w:rFonts w:ascii="Georgia" w:hAnsi="Georgia"/>
          <w:sz w:val="22"/>
          <w:szCs w:val="22"/>
        </w:rPr>
        <w:t>për persona të tjerë</w:t>
      </w:r>
      <w:r w:rsidR="002754F7" w:rsidRPr="006871FF">
        <w:rPr>
          <w:rStyle w:val="BodyText1"/>
          <w:rFonts w:ascii="Georgia" w:hAnsi="Georgia"/>
          <w:sz w:val="22"/>
          <w:szCs w:val="22"/>
        </w:rPr>
        <w:t xml:space="preserve"> pa marrëveshje me këta të fundit.</w:t>
      </w:r>
    </w:p>
    <w:p w:rsidR="00ED6E40" w:rsidRDefault="0040184D" w:rsidP="00ED6E40">
      <w:pPr>
        <w:pStyle w:val="ListParagraph"/>
        <w:ind w:left="0" w:firstLine="360"/>
        <w:jc w:val="both"/>
        <w:rPr>
          <w:rFonts w:ascii="Georgia" w:hAnsi="Georgia" w:cstheme="majorBidi"/>
          <w:color w:val="7030A0"/>
        </w:rPr>
      </w:pPr>
      <w:r w:rsidRPr="006871FF">
        <w:rPr>
          <w:rFonts w:ascii="Georgia" w:hAnsi="Georgia" w:cstheme="majorBidi"/>
          <w:color w:val="7030A0"/>
        </w:rPr>
        <w:t xml:space="preserve">Ushtrimi i ndikimit të paligjshëm </w:t>
      </w:r>
      <w:r w:rsidR="00DC7B81" w:rsidRPr="006871FF">
        <w:rPr>
          <w:rFonts w:ascii="Georgia" w:hAnsi="Georgia" w:cstheme="majorBidi"/>
          <w:color w:val="7030A0"/>
        </w:rPr>
        <w:t>në formën e tij</w:t>
      </w:r>
      <w:r w:rsidRPr="006871FF">
        <w:rPr>
          <w:rFonts w:ascii="Georgia" w:hAnsi="Georgia" w:cstheme="majorBidi"/>
          <w:color w:val="7030A0"/>
        </w:rPr>
        <w:t xml:space="preserve"> të </w:t>
      </w:r>
      <w:r w:rsidRPr="006871FF">
        <w:rPr>
          <w:rFonts w:ascii="Georgia" w:hAnsi="Georgia" w:cstheme="majorBidi"/>
          <w:b/>
          <w:color w:val="7030A0"/>
        </w:rPr>
        <w:t>marrjes</w:t>
      </w:r>
      <w:r w:rsidRPr="006871FF">
        <w:rPr>
          <w:rFonts w:ascii="Georgia" w:hAnsi="Georgia" w:cstheme="majorBidi"/>
          <w:color w:val="7030A0"/>
        </w:rPr>
        <w:t xml:space="preserve"> </w:t>
      </w:r>
      <w:r w:rsidR="00267622" w:rsidRPr="006871FF">
        <w:rPr>
          <w:rFonts w:ascii="Georgia" w:hAnsi="Georgia" w:cstheme="majorBidi"/>
          <w:color w:val="7030A0"/>
        </w:rPr>
        <w:t xml:space="preserve">a </w:t>
      </w:r>
      <w:r w:rsidR="00267622" w:rsidRPr="006871FF">
        <w:rPr>
          <w:rFonts w:ascii="Georgia" w:hAnsi="Georgia" w:cstheme="majorBidi"/>
          <w:b/>
          <w:color w:val="7030A0"/>
        </w:rPr>
        <w:t>pranimit</w:t>
      </w:r>
      <w:r w:rsidR="00267622" w:rsidRPr="006871FF">
        <w:rPr>
          <w:rFonts w:ascii="Georgia" w:hAnsi="Georgia" w:cstheme="majorBidi"/>
          <w:color w:val="7030A0"/>
        </w:rPr>
        <w:t xml:space="preserve"> t</w:t>
      </w:r>
      <w:r w:rsidRPr="006871FF">
        <w:rPr>
          <w:rFonts w:ascii="Georgia" w:hAnsi="Georgia" w:cstheme="majorBidi"/>
          <w:color w:val="7030A0"/>
        </w:rPr>
        <w:t xml:space="preserve">ë përfitimit të </w:t>
      </w:r>
      <w:r w:rsidRPr="006871FF">
        <w:rPr>
          <w:rStyle w:val="BodyText1"/>
          <w:rFonts w:ascii="Georgia" w:hAnsi="Georgia"/>
          <w:color w:val="7030A0"/>
          <w:sz w:val="22"/>
          <w:szCs w:val="22"/>
        </w:rPr>
        <w:t>parregullt</w:t>
      </w:r>
      <w:r w:rsidRPr="006871FF">
        <w:rPr>
          <w:rFonts w:ascii="Georgia" w:hAnsi="Georgia" w:cstheme="majorBidi"/>
          <w:color w:val="7030A0"/>
        </w:rPr>
        <w:t xml:space="preserve"> është shfaqje e një vepre penale ku konkurrojnë domosdoshmërish dy persona.</w:t>
      </w:r>
    </w:p>
    <w:p w:rsidR="00ED6E40" w:rsidRDefault="0040184D" w:rsidP="00ED6E40">
      <w:pPr>
        <w:pStyle w:val="ListParagraph"/>
        <w:ind w:left="0" w:firstLine="360"/>
        <w:jc w:val="both"/>
        <w:rPr>
          <w:rStyle w:val="BodyText1"/>
          <w:rFonts w:ascii="Georgia" w:hAnsi="Georgia"/>
          <w:sz w:val="22"/>
          <w:szCs w:val="22"/>
        </w:rPr>
      </w:pPr>
      <w:r w:rsidRPr="006871FF">
        <w:rPr>
          <w:rFonts w:ascii="Georgia" w:hAnsi="Georgia" w:cstheme="majorBidi"/>
          <w:color w:val="7030A0"/>
        </w:rPr>
        <w:t>Ai konstatohet kur njëri</w:t>
      </w:r>
      <w:r w:rsidRPr="006871FF">
        <w:rPr>
          <w:rFonts w:ascii="Georgia" w:hAnsi="Georgia" w:cstheme="majorBidi"/>
          <w:noProof/>
          <w:color w:val="7030A0"/>
        </w:rPr>
        <w:t xml:space="preserve"> jep</w:t>
      </w:r>
      <w:r w:rsidR="007B3204" w:rsidRPr="006871FF">
        <w:rPr>
          <w:rFonts w:ascii="Georgia" w:hAnsi="Georgia" w:cstheme="majorBidi"/>
          <w:noProof/>
          <w:color w:val="7030A0"/>
        </w:rPr>
        <w:t>, propozon</w:t>
      </w:r>
      <w:r w:rsidRPr="006871FF">
        <w:rPr>
          <w:rFonts w:ascii="Georgia" w:hAnsi="Georgia" w:cstheme="majorBidi"/>
          <w:noProof/>
          <w:color w:val="7030A0"/>
        </w:rPr>
        <w:t xml:space="preserve"> apo premton</w:t>
      </w:r>
      <w:r w:rsidR="00331DB0" w:rsidRPr="006871FF">
        <w:rPr>
          <w:rFonts w:ascii="Georgia" w:hAnsi="Georgia" w:cstheme="majorBidi"/>
          <w:noProof/>
          <w:color w:val="7030A0"/>
        </w:rPr>
        <w:t xml:space="preserve"> çfarëdo përfitim</w:t>
      </w:r>
      <w:r w:rsidRPr="006871FF">
        <w:rPr>
          <w:rFonts w:ascii="Georgia" w:hAnsi="Georgia" w:cstheme="majorBidi"/>
          <w:noProof/>
          <w:color w:val="7030A0"/>
        </w:rPr>
        <w:t xml:space="preserve"> të parregullt, </w:t>
      </w:r>
      <w:r w:rsidR="00331DB0" w:rsidRPr="006871FF">
        <w:rPr>
          <w:rStyle w:val="BodyText1"/>
          <w:rFonts w:ascii="Georgia" w:hAnsi="Georgia"/>
          <w:sz w:val="22"/>
          <w:szCs w:val="22"/>
        </w:rPr>
        <w:t>personit që premton ose siguron se është në gjendje të ushtrojë ndikim të paligjshëm në kryerjen e detyrës dhe marrjen e vendimeve nga personat që ushtrojnë funksione publike</w:t>
      </w:r>
      <w:r w:rsidR="006C02A2" w:rsidRPr="006871FF">
        <w:rPr>
          <w:rFonts w:ascii="Georgia" w:hAnsi="Georgia" w:cstheme="majorBidi"/>
          <w:noProof/>
          <w:color w:val="7030A0"/>
        </w:rPr>
        <w:t xml:space="preserve"> </w:t>
      </w:r>
      <w:r w:rsidR="00FD30B6" w:rsidRPr="006871FF">
        <w:rPr>
          <w:rFonts w:ascii="Georgia" w:hAnsi="Georgia" w:cstheme="majorBidi"/>
          <w:noProof/>
          <w:color w:val="7030A0"/>
        </w:rPr>
        <w:t xml:space="preserve">dhe ky i fundit </w:t>
      </w:r>
      <w:r w:rsidRPr="006871FF">
        <w:rPr>
          <w:rFonts w:ascii="Georgia" w:hAnsi="Georgia" w:cstheme="majorBidi"/>
          <w:b/>
          <w:color w:val="7030A0"/>
        </w:rPr>
        <w:t>merr</w:t>
      </w:r>
      <w:r w:rsidR="006C02A2" w:rsidRPr="006871FF">
        <w:rPr>
          <w:rFonts w:ascii="Georgia" w:hAnsi="Georgia" w:cstheme="majorBidi"/>
          <w:b/>
          <w:color w:val="7030A0"/>
        </w:rPr>
        <w:t xml:space="preserve"> a pranon</w:t>
      </w:r>
      <w:r w:rsidRPr="006871FF">
        <w:rPr>
          <w:rFonts w:ascii="Georgia" w:hAnsi="Georgia" w:cstheme="majorBidi"/>
          <w:b/>
          <w:color w:val="7030A0"/>
        </w:rPr>
        <w:t xml:space="preserve"> </w:t>
      </w:r>
      <w:r w:rsidRPr="006871FF">
        <w:rPr>
          <w:rFonts w:ascii="Georgia" w:hAnsi="Georgia" w:cstheme="majorBidi"/>
          <w:noProof/>
          <w:color w:val="7030A0"/>
        </w:rPr>
        <w:t xml:space="preserve">çfardo përfitim të parregullt </w:t>
      </w:r>
      <w:r w:rsidR="002679BC" w:rsidRPr="006871FF">
        <w:rPr>
          <w:rFonts w:ascii="Georgia" w:hAnsi="Georgia" w:cstheme="majorBidi"/>
          <w:noProof/>
          <w:color w:val="7030A0"/>
        </w:rPr>
        <w:t xml:space="preserve">për </w:t>
      </w:r>
      <w:r w:rsidR="002679BC" w:rsidRPr="006871FF">
        <w:rPr>
          <w:rStyle w:val="BodyText1"/>
          <w:rFonts w:ascii="Georgia" w:hAnsi="Georgia"/>
          <w:sz w:val="22"/>
          <w:szCs w:val="22"/>
        </w:rPr>
        <w:t>kryerjen e detyrës dhe marrjen e vendimeve nga personat që ushtrojnë funksione publike.</w:t>
      </w:r>
    </w:p>
    <w:p w:rsidR="00ED6E40" w:rsidRDefault="0040184D" w:rsidP="00ED6E40">
      <w:pPr>
        <w:pStyle w:val="ListParagraph"/>
        <w:ind w:left="0" w:firstLine="360"/>
        <w:jc w:val="both"/>
        <w:rPr>
          <w:rFonts w:ascii="Georgia" w:hAnsi="Georgia" w:cstheme="majorBidi"/>
          <w:color w:val="7030A0"/>
          <w:shd w:val="clear" w:color="auto" w:fill="FFFFFF"/>
        </w:rPr>
      </w:pPr>
      <w:r w:rsidRPr="006871FF">
        <w:rPr>
          <w:rFonts w:ascii="Georgia" w:hAnsi="Georgia" w:cstheme="majorBidi"/>
          <w:color w:val="7030A0"/>
          <w:shd w:val="clear" w:color="auto" w:fill="FFFFFF"/>
        </w:rPr>
        <w:t>Konstatohet në këto raste ‘marrëveshja’ ndërmjet palëve, pra sidoqoftë si personi aktiv ashtu dhe ai pasiv, bien dakord.</w:t>
      </w:r>
    </w:p>
    <w:p w:rsidR="00ED6E40" w:rsidRDefault="0040184D" w:rsidP="00ED6E40">
      <w:pPr>
        <w:pStyle w:val="ListParagraph"/>
        <w:ind w:left="0" w:firstLine="360"/>
        <w:jc w:val="both"/>
        <w:rPr>
          <w:rFonts w:ascii="Georgia" w:hAnsi="Georgia" w:cstheme="majorBidi"/>
          <w:color w:val="7030A0"/>
        </w:rPr>
      </w:pPr>
      <w:r w:rsidRPr="006871FF">
        <w:rPr>
          <w:rFonts w:ascii="Georgia" w:hAnsi="Georgia" w:cstheme="majorBidi"/>
          <w:color w:val="7030A0"/>
        </w:rPr>
        <w:t xml:space="preserve">Ndërsa në formën e tij të </w:t>
      </w:r>
      <w:r w:rsidRPr="006871FF">
        <w:rPr>
          <w:rFonts w:ascii="Georgia" w:hAnsi="Georgia" w:cstheme="majorBidi"/>
          <w:b/>
          <w:color w:val="7030A0"/>
        </w:rPr>
        <w:t>kërkimit</w:t>
      </w:r>
      <w:r w:rsidR="00B24C47" w:rsidRPr="006871FF">
        <w:rPr>
          <w:rFonts w:ascii="Georgia" w:hAnsi="Georgia" w:cstheme="majorBidi"/>
          <w:b/>
          <w:color w:val="7030A0"/>
        </w:rPr>
        <w:t>, premtimit a propozimit</w:t>
      </w:r>
      <w:r w:rsidRPr="006871FF">
        <w:rPr>
          <w:rFonts w:ascii="Georgia" w:hAnsi="Georgia" w:cstheme="majorBidi"/>
          <w:color w:val="7030A0"/>
        </w:rPr>
        <w:t xml:space="preserve"> të përfitimit të paligjshëm ose të premtimit për përfitim të paligjshëm, është shfaqje e një vepre penale ku konkurrimi i dy personave nuk është i domosdoshëm, për shkak se personi tjetër të cilit i kërkohet</w:t>
      </w:r>
      <w:r w:rsidR="00DD566B" w:rsidRPr="006871FF">
        <w:rPr>
          <w:rFonts w:ascii="Georgia" w:hAnsi="Georgia" w:cstheme="majorBidi"/>
          <w:color w:val="7030A0"/>
        </w:rPr>
        <w:t>, i propozohet apo i premtohet</w:t>
      </w:r>
      <w:r w:rsidRPr="006871FF">
        <w:rPr>
          <w:rFonts w:ascii="Georgia" w:hAnsi="Georgia" w:cstheme="majorBidi"/>
          <w:color w:val="7030A0"/>
        </w:rPr>
        <w:t xml:space="preserve"> ‘edhe’ mund të refuzojë kërkimin</w:t>
      </w:r>
      <w:r w:rsidR="00FC571B" w:rsidRPr="006871FF">
        <w:rPr>
          <w:rFonts w:ascii="Georgia" w:hAnsi="Georgia" w:cstheme="majorBidi"/>
          <w:color w:val="7030A0"/>
        </w:rPr>
        <w:t xml:space="preserve"> e </w:t>
      </w:r>
      <w:r w:rsidR="00FC571B" w:rsidRPr="006871FF">
        <w:rPr>
          <w:rStyle w:val="BodyText1"/>
          <w:rFonts w:ascii="Georgia" w:hAnsi="Georgia"/>
          <w:sz w:val="22"/>
          <w:szCs w:val="22"/>
        </w:rPr>
        <w:t>përfitimit të parregullt të atij që premton</w:t>
      </w:r>
      <w:r w:rsidR="00A830D3" w:rsidRPr="006871FF">
        <w:rPr>
          <w:rStyle w:val="BodyText1"/>
          <w:rFonts w:ascii="Georgia" w:hAnsi="Georgia"/>
          <w:sz w:val="22"/>
          <w:szCs w:val="22"/>
        </w:rPr>
        <w:t xml:space="preserve"> ose siguron</w:t>
      </w:r>
      <w:r w:rsidR="00FC571B" w:rsidRPr="006871FF">
        <w:rPr>
          <w:rStyle w:val="BodyText1"/>
          <w:rFonts w:ascii="Georgia" w:hAnsi="Georgia"/>
          <w:sz w:val="22"/>
          <w:szCs w:val="22"/>
        </w:rPr>
        <w:t xml:space="preserve"> aftësinë për të ushtruar ndikim të paligjshëm në kryerjen e detyrës nga persona që ushtrojnë funksione publike</w:t>
      </w:r>
      <w:r w:rsidR="00A830D3" w:rsidRPr="006871FF">
        <w:rPr>
          <w:rStyle w:val="BodyText1"/>
          <w:rFonts w:ascii="Georgia" w:hAnsi="Georgia"/>
          <w:sz w:val="22"/>
          <w:szCs w:val="22"/>
        </w:rPr>
        <w:t xml:space="preserve">, apo refuzon </w:t>
      </w:r>
      <w:r w:rsidR="00DD566B" w:rsidRPr="006871FF">
        <w:rPr>
          <w:rFonts w:ascii="Georgia" w:hAnsi="Georgia" w:cstheme="majorBidi"/>
          <w:color w:val="7030A0"/>
        </w:rPr>
        <w:t>propozimin a premtimin</w:t>
      </w:r>
      <w:r w:rsidR="004C658D" w:rsidRPr="006871FF">
        <w:rPr>
          <w:rFonts w:ascii="Georgia" w:hAnsi="Georgia" w:cstheme="majorBidi"/>
          <w:color w:val="7030A0"/>
        </w:rPr>
        <w:t xml:space="preserve"> për përfitim të parregullt të</w:t>
      </w:r>
      <w:r w:rsidRPr="006871FF">
        <w:rPr>
          <w:rFonts w:ascii="Georgia" w:hAnsi="Georgia" w:cstheme="majorBidi"/>
          <w:color w:val="7030A0"/>
        </w:rPr>
        <w:t xml:space="preserve"> </w:t>
      </w:r>
      <w:r w:rsidR="001D290A" w:rsidRPr="006871FF">
        <w:rPr>
          <w:rFonts w:ascii="Georgia" w:hAnsi="Georgia" w:cstheme="majorBidi"/>
          <w:color w:val="7030A0"/>
        </w:rPr>
        <w:t xml:space="preserve">atij që </w:t>
      </w:r>
      <w:r w:rsidR="004C658D" w:rsidRPr="006871FF">
        <w:rPr>
          <w:rFonts w:ascii="Georgia" w:hAnsi="Georgia" w:cstheme="majorBidi"/>
          <w:color w:val="7030A0"/>
        </w:rPr>
        <w:t>kërkon ushtrimin ndikimin e paligjshëm</w:t>
      </w:r>
      <w:r w:rsidR="00F438CF" w:rsidRPr="006871FF">
        <w:rPr>
          <w:rFonts w:ascii="Georgia" w:hAnsi="Georgia" w:cstheme="majorBidi"/>
          <w:color w:val="7030A0"/>
        </w:rPr>
        <w:t>.</w:t>
      </w:r>
    </w:p>
    <w:p w:rsidR="00ED6E40" w:rsidRDefault="0040184D" w:rsidP="00ED6E40">
      <w:pPr>
        <w:pStyle w:val="ListParagraph"/>
        <w:ind w:left="0" w:firstLine="360"/>
        <w:jc w:val="both"/>
        <w:rPr>
          <w:rFonts w:ascii="Georgia" w:hAnsi="Georgia" w:cstheme="majorBidi"/>
          <w:color w:val="7030A0"/>
          <w:shd w:val="clear" w:color="auto" w:fill="FFFFFF"/>
        </w:rPr>
      </w:pPr>
      <w:r w:rsidRPr="006871FF">
        <w:rPr>
          <w:rFonts w:ascii="Georgia" w:hAnsi="Georgia" w:cstheme="majorBidi"/>
          <w:color w:val="7030A0"/>
        </w:rPr>
        <w:lastRenderedPageBreak/>
        <w:t xml:space="preserve">Ai konstatohet </w:t>
      </w:r>
      <w:r w:rsidR="00836EF7" w:rsidRPr="006871FF">
        <w:rPr>
          <w:rFonts w:ascii="Georgia" w:hAnsi="Georgia" w:cstheme="majorBidi"/>
          <w:color w:val="7030A0"/>
        </w:rPr>
        <w:t xml:space="preserve">si </w:t>
      </w:r>
      <w:r w:rsidRPr="006871FF">
        <w:rPr>
          <w:rFonts w:ascii="Georgia" w:hAnsi="Georgia" w:cstheme="majorBidi"/>
          <w:color w:val="7030A0"/>
        </w:rPr>
        <w:t xml:space="preserve">kur nxitës është vetë </w:t>
      </w:r>
      <w:r w:rsidR="00836EF7" w:rsidRPr="006871FF">
        <w:rPr>
          <w:rFonts w:ascii="Georgia" w:hAnsi="Georgia" w:cstheme="majorBidi"/>
          <w:color w:val="7030A0"/>
        </w:rPr>
        <w:t>personi që përfiton në mënyrë të parregullt ashtu dhe kur nxitës është personi i cili ka nevojë që të ushtrohet ndikimi i paligjshëm.</w:t>
      </w:r>
      <w:r w:rsidR="00F438CF" w:rsidRPr="006871FF">
        <w:rPr>
          <w:rFonts w:ascii="Georgia" w:hAnsi="Georgia" w:cstheme="majorBidi"/>
          <w:color w:val="7030A0"/>
        </w:rPr>
        <w:t xml:space="preserve">  </w:t>
      </w:r>
      <w:r w:rsidRPr="006871FF">
        <w:rPr>
          <w:rFonts w:ascii="Georgia" w:hAnsi="Georgia" w:cstheme="majorBidi"/>
          <w:color w:val="7030A0"/>
          <w:shd w:val="clear" w:color="auto" w:fill="FFFFFF"/>
        </w:rPr>
        <w:t>Jo domosdoshmërish konstatohet në këto raste ‘marrëveshja’ ndërmjet palëve.</w:t>
      </w:r>
    </w:p>
    <w:p w:rsidR="00ED6E40" w:rsidRDefault="0072020A" w:rsidP="00ED6E40">
      <w:pPr>
        <w:pStyle w:val="ListParagraph"/>
        <w:ind w:left="0" w:firstLine="360"/>
        <w:jc w:val="both"/>
        <w:rPr>
          <w:rStyle w:val="BodyText1"/>
          <w:rFonts w:ascii="Georgia" w:hAnsi="Georgia"/>
          <w:color w:val="7030A0"/>
          <w:sz w:val="22"/>
          <w:szCs w:val="22"/>
        </w:rPr>
      </w:pPr>
      <w:r w:rsidRPr="006871FF">
        <w:rPr>
          <w:rFonts w:ascii="Georgia" w:hAnsi="Georgia" w:cstheme="majorBidi"/>
          <w:color w:val="7030A0"/>
        </w:rPr>
        <w:t>Kështu verifikimi i ‘veprimeve’ të marrjes a pranimit</w:t>
      </w:r>
      <w:r w:rsidR="009B732F" w:rsidRPr="006871FF">
        <w:rPr>
          <w:rFonts w:ascii="Georgia" w:hAnsi="Georgia" w:cstheme="majorBidi"/>
          <w:color w:val="7030A0"/>
        </w:rPr>
        <w:t xml:space="preserve"> ose të dhënies</w:t>
      </w:r>
      <w:r w:rsidRPr="006871FF">
        <w:rPr>
          <w:rFonts w:ascii="Georgia" w:hAnsi="Georgia" w:cstheme="majorBidi"/>
          <w:color w:val="7030A0"/>
        </w:rPr>
        <w:t xml:space="preserve"> janë shprehje e drejtpërdrejtë e ‘pasojës’ materiale që është ajo e begatimit </w:t>
      </w:r>
      <w:r w:rsidRPr="006871FF">
        <w:rPr>
          <w:rStyle w:val="BodyText1"/>
          <w:rFonts w:ascii="Georgia" w:hAnsi="Georgia"/>
          <w:color w:val="7030A0"/>
          <w:sz w:val="22"/>
          <w:szCs w:val="22"/>
        </w:rPr>
        <w:t xml:space="preserve">të përfitimi të parregullt, thënë ndryshe dhe vepër penale materiale. </w:t>
      </w:r>
      <w:r w:rsidR="00EF4F52" w:rsidRPr="006871FF">
        <w:rPr>
          <w:rStyle w:val="BodyText1"/>
          <w:rFonts w:ascii="Georgia" w:hAnsi="Georgia"/>
          <w:color w:val="7030A0"/>
          <w:sz w:val="22"/>
          <w:szCs w:val="22"/>
        </w:rPr>
        <w:t xml:space="preserve"> </w:t>
      </w:r>
      <w:r w:rsidRPr="006871FF">
        <w:rPr>
          <w:rStyle w:val="BodyText1"/>
          <w:rFonts w:ascii="Georgia" w:hAnsi="Georgia"/>
          <w:color w:val="7030A0"/>
          <w:sz w:val="22"/>
          <w:szCs w:val="22"/>
        </w:rPr>
        <w:t>Ndërsa verifikimi i vepri</w:t>
      </w:r>
      <w:r w:rsidR="00EF4F52" w:rsidRPr="006871FF">
        <w:rPr>
          <w:rStyle w:val="BodyText1"/>
          <w:rFonts w:ascii="Georgia" w:hAnsi="Georgia"/>
          <w:color w:val="7030A0"/>
          <w:sz w:val="22"/>
          <w:szCs w:val="22"/>
        </w:rPr>
        <w:t>meve</w:t>
      </w:r>
      <w:r w:rsidRPr="006871FF">
        <w:rPr>
          <w:rStyle w:val="BodyText1"/>
          <w:rFonts w:ascii="Georgia" w:hAnsi="Georgia"/>
          <w:color w:val="7030A0"/>
          <w:sz w:val="22"/>
          <w:szCs w:val="22"/>
        </w:rPr>
        <w:t xml:space="preserve"> të</w:t>
      </w:r>
      <w:r w:rsidR="00767196" w:rsidRPr="006871FF">
        <w:rPr>
          <w:rStyle w:val="BodyText1"/>
          <w:rFonts w:ascii="Georgia" w:hAnsi="Georgia"/>
          <w:color w:val="7030A0"/>
          <w:sz w:val="22"/>
          <w:szCs w:val="22"/>
        </w:rPr>
        <w:t xml:space="preserve"> premtimit, propozimit apo të kërkimit</w:t>
      </w:r>
      <w:r w:rsidRPr="006871FF">
        <w:rPr>
          <w:rStyle w:val="BodyText1"/>
          <w:rFonts w:ascii="Georgia" w:hAnsi="Georgia"/>
          <w:color w:val="7030A0"/>
          <w:sz w:val="22"/>
          <w:szCs w:val="22"/>
        </w:rPr>
        <w:t xml:space="preserve"> nuk shoqërohet me nevojën edhe të verifikimit të pasojës materiale të begatimit, pasi e tillë</w:t>
      </w:r>
      <w:r w:rsidR="00767196" w:rsidRPr="006871FF">
        <w:rPr>
          <w:rStyle w:val="BodyText1"/>
          <w:rFonts w:ascii="Georgia" w:hAnsi="Georgia"/>
          <w:color w:val="7030A0"/>
          <w:sz w:val="22"/>
          <w:szCs w:val="22"/>
        </w:rPr>
        <w:t xml:space="preserve"> pasojë e këtyre </w:t>
      </w:r>
      <w:r w:rsidRPr="006871FF">
        <w:rPr>
          <w:rStyle w:val="BodyText1"/>
          <w:rFonts w:ascii="Georgia" w:hAnsi="Georgia"/>
          <w:color w:val="7030A0"/>
          <w:sz w:val="22"/>
          <w:szCs w:val="22"/>
        </w:rPr>
        <w:t>veprimeve është shkelja e normës ligjore, thënë ndryshe vep.pen. formale.</w:t>
      </w:r>
    </w:p>
    <w:p w:rsidR="00ED6E40" w:rsidRDefault="0072020A" w:rsidP="00ED6E40">
      <w:pPr>
        <w:pStyle w:val="ListParagraph"/>
        <w:ind w:left="0" w:firstLine="360"/>
        <w:jc w:val="both"/>
        <w:rPr>
          <w:rFonts w:ascii="Georgia" w:hAnsi="Georgia" w:cstheme="majorBidi"/>
          <w:color w:val="7030A0"/>
        </w:rPr>
      </w:pPr>
      <w:r w:rsidRPr="006871FF">
        <w:rPr>
          <w:rFonts w:ascii="Georgia" w:hAnsi="Georgia" w:cstheme="majorBidi"/>
          <w:color w:val="7030A0"/>
          <w:shd w:val="clear" w:color="auto" w:fill="FFFFFF"/>
        </w:rPr>
        <w:t>Po ashtu konstatohet se është e parëndë</w:t>
      </w:r>
      <w:r w:rsidR="003C6920" w:rsidRPr="006871FF">
        <w:rPr>
          <w:rFonts w:ascii="Georgia" w:hAnsi="Georgia" w:cstheme="majorBidi"/>
          <w:color w:val="7030A0"/>
          <w:shd w:val="clear" w:color="auto" w:fill="FFFFFF"/>
        </w:rPr>
        <w:t>sishme</w:t>
      </w:r>
      <w:r w:rsidR="003C6920" w:rsidRPr="006871FF">
        <w:rPr>
          <w:rStyle w:val="BodyText1"/>
          <w:rFonts w:ascii="Georgia" w:hAnsi="Georgia"/>
          <w:sz w:val="22"/>
          <w:szCs w:val="22"/>
        </w:rPr>
        <w:t xml:space="preserve"> nëse është kryer ushtrimi i ndikimit ose kanë ardhur apo jo pasojat e dëshiruara </w:t>
      </w:r>
      <w:r w:rsidRPr="006871FF">
        <w:rPr>
          <w:rFonts w:ascii="Georgia" w:hAnsi="Georgia" w:cstheme="majorBidi"/>
          <w:color w:val="7030A0"/>
        </w:rPr>
        <w:t>sepse vlera negative</w:t>
      </w:r>
      <w:r w:rsidR="003C6920" w:rsidRPr="006871FF">
        <w:rPr>
          <w:rFonts w:ascii="Georgia" w:hAnsi="Georgia" w:cstheme="majorBidi"/>
          <w:color w:val="7030A0"/>
        </w:rPr>
        <w:t xml:space="preserve"> edhe</w:t>
      </w:r>
      <w:r w:rsidRPr="006871FF">
        <w:rPr>
          <w:rFonts w:ascii="Georgia" w:hAnsi="Georgia" w:cstheme="majorBidi"/>
          <w:color w:val="7030A0"/>
        </w:rPr>
        <w:t xml:space="preserve"> e kësaj vepre penale është ajo e ‘përfitimit të paligjshëm’.</w:t>
      </w:r>
    </w:p>
    <w:p w:rsidR="004743A5" w:rsidRDefault="00831794" w:rsidP="004743A5">
      <w:pPr>
        <w:pStyle w:val="ListParagraph"/>
        <w:ind w:left="0" w:firstLine="360"/>
        <w:jc w:val="both"/>
        <w:rPr>
          <w:rStyle w:val="BodyText1"/>
          <w:rFonts w:ascii="Georgia" w:hAnsi="Georgia"/>
          <w:sz w:val="22"/>
          <w:szCs w:val="22"/>
        </w:rPr>
      </w:pPr>
      <w:r w:rsidRPr="006871FF">
        <w:rPr>
          <w:rStyle w:val="BodyText1"/>
          <w:rFonts w:ascii="Georgia" w:hAnsi="Georgia"/>
          <w:sz w:val="22"/>
          <w:szCs w:val="22"/>
        </w:rPr>
        <w:t xml:space="preserve">Si në veprën penale të </w:t>
      </w:r>
      <w:r w:rsidR="006D4362" w:rsidRPr="006871FF">
        <w:rPr>
          <w:rStyle w:val="BodyText1"/>
          <w:rFonts w:ascii="Georgia" w:hAnsi="Georgia"/>
          <w:sz w:val="22"/>
          <w:szCs w:val="22"/>
        </w:rPr>
        <w:t>‘</w:t>
      </w:r>
      <w:r w:rsidRPr="006871FF">
        <w:rPr>
          <w:rStyle w:val="BodyText1"/>
          <w:rFonts w:ascii="Georgia" w:hAnsi="Georgia"/>
          <w:sz w:val="22"/>
          <w:szCs w:val="22"/>
        </w:rPr>
        <w:t>Ushtrimit të ndikimit të paligjshëm</w:t>
      </w:r>
      <w:r w:rsidR="006D4362" w:rsidRPr="006871FF">
        <w:rPr>
          <w:rStyle w:val="BodyText1"/>
          <w:rFonts w:ascii="Georgia" w:hAnsi="Georgia"/>
          <w:sz w:val="22"/>
          <w:szCs w:val="22"/>
        </w:rPr>
        <w:t>’</w:t>
      </w:r>
      <w:r w:rsidRPr="006871FF">
        <w:rPr>
          <w:rStyle w:val="BodyText1"/>
          <w:rFonts w:ascii="Georgia" w:hAnsi="Georgia"/>
          <w:sz w:val="22"/>
          <w:szCs w:val="22"/>
        </w:rPr>
        <w:t xml:space="preserve"> ashtu dhe në atë të </w:t>
      </w:r>
      <w:r w:rsidR="006D4362" w:rsidRPr="006871FF">
        <w:rPr>
          <w:rStyle w:val="BodyText1"/>
          <w:rFonts w:ascii="Georgia" w:hAnsi="Georgia"/>
          <w:sz w:val="22"/>
          <w:szCs w:val="22"/>
        </w:rPr>
        <w:t>‘</w:t>
      </w:r>
      <w:r w:rsidRPr="006871FF">
        <w:rPr>
          <w:rStyle w:val="BodyText1"/>
          <w:rFonts w:ascii="Georgia" w:hAnsi="Georgia"/>
          <w:sz w:val="22"/>
          <w:szCs w:val="22"/>
        </w:rPr>
        <w:t>Korrup</w:t>
      </w:r>
      <w:r w:rsidR="00D608BF" w:rsidRPr="006871FF">
        <w:rPr>
          <w:rStyle w:val="BodyText1"/>
          <w:rFonts w:ascii="Georgia" w:hAnsi="Georgia"/>
          <w:sz w:val="22"/>
          <w:szCs w:val="22"/>
        </w:rPr>
        <w:t>sionit</w:t>
      </w:r>
      <w:r w:rsidR="006D4362" w:rsidRPr="006871FF">
        <w:rPr>
          <w:rStyle w:val="BodyText1"/>
          <w:rFonts w:ascii="Georgia" w:hAnsi="Georgia"/>
          <w:sz w:val="22"/>
          <w:szCs w:val="22"/>
        </w:rPr>
        <w:t>’</w:t>
      </w:r>
      <w:r w:rsidR="00D609F6" w:rsidRPr="006871FF">
        <w:rPr>
          <w:rStyle w:val="BodyText1"/>
          <w:rFonts w:ascii="Georgia" w:hAnsi="Georgia"/>
          <w:sz w:val="22"/>
          <w:szCs w:val="22"/>
        </w:rPr>
        <w:t xml:space="preserve"> përfitimi i parregullt </w:t>
      </w:r>
      <w:r w:rsidR="00FC5DB5" w:rsidRPr="006871FF">
        <w:rPr>
          <w:rStyle w:val="BodyText1"/>
          <w:rFonts w:ascii="Georgia" w:hAnsi="Georgia"/>
          <w:sz w:val="22"/>
          <w:szCs w:val="22"/>
        </w:rPr>
        <w:t xml:space="preserve">mund të jetë ‘për vete ose persona të tjerë’.  Për këtë në rastin </w:t>
      </w:r>
      <w:r w:rsidR="00EC5ED5" w:rsidRPr="006871FF">
        <w:rPr>
          <w:rStyle w:val="BodyText1"/>
          <w:rFonts w:ascii="Georgia" w:hAnsi="Georgia"/>
          <w:sz w:val="22"/>
          <w:szCs w:val="22"/>
        </w:rPr>
        <w:t xml:space="preserve">e veprës penale të Korrupsionit </w:t>
      </w:r>
      <w:r w:rsidR="00E91798" w:rsidRPr="006871FF">
        <w:rPr>
          <w:rStyle w:val="BodyText1"/>
          <w:rFonts w:ascii="Georgia" w:hAnsi="Georgia"/>
          <w:sz w:val="22"/>
          <w:szCs w:val="22"/>
        </w:rPr>
        <w:t xml:space="preserve">kur </w:t>
      </w:r>
      <w:r w:rsidR="00FC5DB5" w:rsidRPr="006871FF">
        <w:rPr>
          <w:rStyle w:val="BodyText1"/>
          <w:rFonts w:ascii="Georgia" w:hAnsi="Georgia"/>
          <w:sz w:val="22"/>
          <w:szCs w:val="22"/>
        </w:rPr>
        <w:t xml:space="preserve">‘personi tjetër </w:t>
      </w:r>
      <w:r w:rsidR="00F86A88" w:rsidRPr="006871FF">
        <w:rPr>
          <w:rStyle w:val="BodyText1"/>
          <w:rFonts w:ascii="Georgia" w:hAnsi="Georgia"/>
          <w:sz w:val="22"/>
          <w:szCs w:val="22"/>
        </w:rPr>
        <w:t>në favor të të cilit kërkohet, merret apo pranohet përfitimi i</w:t>
      </w:r>
      <w:r w:rsidR="00FC36B9" w:rsidRPr="006871FF">
        <w:rPr>
          <w:rStyle w:val="BodyText1"/>
          <w:rFonts w:ascii="Georgia" w:hAnsi="Georgia"/>
          <w:sz w:val="22"/>
          <w:szCs w:val="22"/>
        </w:rPr>
        <w:t xml:space="preserve"> paligjshëm’ nuk është pjesë e marrëveshjes për të kër</w:t>
      </w:r>
      <w:r w:rsidR="00D27E50" w:rsidRPr="006871FF">
        <w:rPr>
          <w:rStyle w:val="BodyText1"/>
          <w:rFonts w:ascii="Georgia" w:hAnsi="Georgia"/>
          <w:sz w:val="22"/>
          <w:szCs w:val="22"/>
        </w:rPr>
        <w:t>kuar,</w:t>
      </w:r>
      <w:r w:rsidR="00FC36B9" w:rsidRPr="006871FF">
        <w:rPr>
          <w:rStyle w:val="BodyText1"/>
          <w:rFonts w:ascii="Georgia" w:hAnsi="Georgia"/>
          <w:sz w:val="22"/>
          <w:szCs w:val="22"/>
        </w:rPr>
        <w:t xml:space="preserve"> marrë, </w:t>
      </w:r>
      <w:r w:rsidR="00D27E50" w:rsidRPr="006871FF">
        <w:rPr>
          <w:rStyle w:val="BodyText1"/>
          <w:rFonts w:ascii="Georgia" w:hAnsi="Georgia"/>
          <w:sz w:val="22"/>
          <w:szCs w:val="22"/>
        </w:rPr>
        <w:t xml:space="preserve">a pranuar përfitimin e paligjshëm, </w:t>
      </w:r>
      <w:r w:rsidR="002860F5" w:rsidRPr="006871FF">
        <w:rPr>
          <w:rStyle w:val="BodyText1"/>
          <w:rFonts w:ascii="Georgia" w:hAnsi="Georgia"/>
          <w:sz w:val="22"/>
          <w:szCs w:val="22"/>
        </w:rPr>
        <w:t xml:space="preserve">ndaj tij nuk verifikohet inkriminimi.  Në alternativë shfaqet në këtë rast </w:t>
      </w:r>
      <w:r w:rsidR="009764E3" w:rsidRPr="006871FF">
        <w:rPr>
          <w:rStyle w:val="BodyText1"/>
          <w:rFonts w:ascii="Georgia" w:hAnsi="Georgia"/>
          <w:sz w:val="22"/>
          <w:szCs w:val="22"/>
        </w:rPr>
        <w:t xml:space="preserve">inkrimimi sipas </w:t>
      </w:r>
      <w:r w:rsidR="007C0053" w:rsidRPr="006871FF">
        <w:rPr>
          <w:rStyle w:val="BodyText1"/>
          <w:rFonts w:ascii="Georgia" w:hAnsi="Georgia"/>
          <w:sz w:val="22"/>
          <w:szCs w:val="22"/>
        </w:rPr>
        <w:t xml:space="preserve">veprës penale të </w:t>
      </w:r>
      <w:r w:rsidR="009764E3" w:rsidRPr="006871FF">
        <w:rPr>
          <w:rStyle w:val="BodyText1"/>
          <w:rFonts w:ascii="Georgia" w:hAnsi="Georgia"/>
          <w:sz w:val="22"/>
          <w:szCs w:val="22"/>
        </w:rPr>
        <w:t>‘Ushtrimit të ndikimit të paligjshëm</w:t>
      </w:r>
      <w:r w:rsidR="007C0053" w:rsidRPr="006871FF">
        <w:rPr>
          <w:rStyle w:val="BodyText1"/>
          <w:rFonts w:ascii="Georgia" w:hAnsi="Georgia"/>
          <w:sz w:val="22"/>
          <w:szCs w:val="22"/>
        </w:rPr>
        <w:t xml:space="preserve"> ndaj personave që ushtrojnë funksione publike’</w:t>
      </w:r>
      <w:r w:rsidR="000F78BB" w:rsidRPr="006871FF">
        <w:rPr>
          <w:rStyle w:val="BodyText1"/>
          <w:rFonts w:ascii="Georgia" w:hAnsi="Georgia"/>
          <w:sz w:val="22"/>
          <w:szCs w:val="22"/>
        </w:rPr>
        <w:t xml:space="preserve"> të atij që ka </w:t>
      </w:r>
      <w:r w:rsidR="000F78BB" w:rsidRPr="006871FF">
        <w:rPr>
          <w:rStyle w:val="BodyText1"/>
          <w:rFonts w:ascii="Georgia" w:hAnsi="Georgia"/>
          <w:b/>
          <w:color w:val="0000CC"/>
          <w:sz w:val="22"/>
          <w:szCs w:val="22"/>
        </w:rPr>
        <w:t>kërkuar</w:t>
      </w:r>
      <w:r w:rsidR="000F78BB" w:rsidRPr="006871FF">
        <w:rPr>
          <w:rStyle w:val="BodyText1"/>
          <w:rFonts w:ascii="Georgia" w:hAnsi="Georgia"/>
          <w:sz w:val="22"/>
          <w:szCs w:val="22"/>
        </w:rPr>
        <w:t xml:space="preserve">, </w:t>
      </w:r>
      <w:r w:rsidR="000F78BB" w:rsidRPr="006871FF">
        <w:rPr>
          <w:rStyle w:val="BodyText1"/>
          <w:rFonts w:ascii="Georgia" w:hAnsi="Georgia"/>
          <w:b/>
          <w:color w:val="7030A0"/>
          <w:sz w:val="22"/>
          <w:szCs w:val="22"/>
        </w:rPr>
        <w:t>marrë ose pranuar</w:t>
      </w:r>
      <w:r w:rsidR="00D608BF" w:rsidRPr="006871FF">
        <w:rPr>
          <w:rStyle w:val="BodyText1"/>
          <w:rFonts w:ascii="Georgia" w:hAnsi="Georgia"/>
          <w:sz w:val="22"/>
          <w:szCs w:val="22"/>
        </w:rPr>
        <w:t>.</w:t>
      </w:r>
    </w:p>
    <w:p w:rsidR="004743A5" w:rsidRDefault="004743A5" w:rsidP="004743A5">
      <w:pPr>
        <w:pStyle w:val="ListParagraph"/>
        <w:ind w:left="0" w:firstLine="360"/>
        <w:jc w:val="both"/>
        <w:rPr>
          <w:rStyle w:val="BodyText1"/>
          <w:rFonts w:ascii="Georgia" w:hAnsi="Georgia"/>
          <w:sz w:val="22"/>
          <w:szCs w:val="22"/>
        </w:rPr>
      </w:pPr>
    </w:p>
    <w:p w:rsidR="004743A5" w:rsidRDefault="007C11B8" w:rsidP="004743A5">
      <w:pPr>
        <w:pStyle w:val="ListParagraph"/>
        <w:ind w:left="0" w:firstLine="360"/>
        <w:jc w:val="both"/>
        <w:rPr>
          <w:rFonts w:ascii="Georgia" w:hAnsi="Georgia"/>
          <w:b/>
        </w:rPr>
      </w:pPr>
      <w:r w:rsidRPr="00ED3304">
        <w:rPr>
          <w:rFonts w:ascii="Georgia" w:hAnsi="Georgia" w:cstheme="majorBidi"/>
          <w:b/>
          <w:color w:val="FF0000"/>
          <w:sz w:val="40"/>
          <w:szCs w:val="40"/>
        </w:rPr>
        <w:t>2.</w:t>
      </w:r>
      <w:r w:rsidRPr="00ED3304">
        <w:rPr>
          <w:rFonts w:ascii="Georgia" w:hAnsi="Georgia" w:cstheme="majorBidi"/>
          <w:b/>
          <w:color w:val="FF0000"/>
        </w:rPr>
        <w:tab/>
      </w:r>
      <w:r w:rsidRPr="00ED3304">
        <w:rPr>
          <w:rFonts w:ascii="Georgia" w:hAnsi="Georgia"/>
          <w:b/>
          <w:color w:val="FF0000"/>
        </w:rPr>
        <w:t>Veçori të hetimeve pro-aktive në luftën kundër tyre në aspektin kombëtar dhe ndërkombëtar</w:t>
      </w:r>
      <w:r w:rsidRPr="006871FF">
        <w:rPr>
          <w:rFonts w:ascii="Georgia" w:hAnsi="Georgia"/>
          <w:b/>
        </w:rPr>
        <w:t>.</w:t>
      </w:r>
    </w:p>
    <w:p w:rsidR="004743A5" w:rsidRDefault="00ED5777" w:rsidP="004743A5">
      <w:pPr>
        <w:pStyle w:val="ListParagraph"/>
        <w:ind w:left="0"/>
        <w:jc w:val="center"/>
        <w:rPr>
          <w:rFonts w:ascii="Georgia" w:hAnsi="Georgia"/>
          <w:b/>
        </w:rPr>
      </w:pPr>
      <w:r w:rsidRPr="006871FF">
        <w:rPr>
          <w:rFonts w:ascii="Georgia" w:hAnsi="Georgia"/>
          <w:b/>
        </w:rPr>
        <w:t>Organet për hetimet paraprake</w:t>
      </w:r>
    </w:p>
    <w:p w:rsidR="004743A5" w:rsidRDefault="00ED5777" w:rsidP="004743A5">
      <w:pPr>
        <w:pStyle w:val="ListParagraph"/>
        <w:ind w:left="0" w:firstLine="360"/>
        <w:jc w:val="both"/>
        <w:rPr>
          <w:rFonts w:ascii="Georgia" w:hAnsi="Georgia"/>
        </w:rPr>
      </w:pPr>
      <w:r w:rsidRPr="006871FF">
        <w:rPr>
          <w:rFonts w:ascii="Georgia" w:hAnsi="Georgia"/>
        </w:rPr>
        <w:t>Është thënë se hetimet janë mjete nëpërmjet të cilave kërkohet të arrihet në ushtrimin apo jo të ndjekjes penale</w:t>
      </w:r>
      <w:r w:rsidRPr="006871FF">
        <w:rPr>
          <w:rFonts w:ascii="Georgia" w:hAnsi="Georgia"/>
          <w:i/>
        </w:rPr>
        <w:t>/actio puniendi</w:t>
      </w:r>
      <w:r w:rsidRPr="006871FF">
        <w:rPr>
          <w:rFonts w:ascii="Georgia" w:hAnsi="Georgia"/>
        </w:rPr>
        <w:t>.  Që do të thotë se rezultatet e përfituara nga ato bëjnë të mundur mbështetjen apo jo të akuzës në gjykim.  Duke ditur se mbështetje e pretendimit akuzator të prokurorit në gjykim është të provuarit e tij si dhe në referim edhe të ‘aftësisë’ së përcaktuar nga ligjvënësi se «gjatë hetimeve paraprake provat merren nga organi që procedon» (§1, neni 151 Kpp) qartë dilet në konkluzionin se hetimet paraprake janë mjete që synojnë të përfitojnë prova të ekzistencës së faktit penal dhe të fajësisë së të hetuarit, të afta për të mbështetur akuzën në procesin penal para gjykatës.  Ato vihen në lëvizje menjëherë sapo merret njoftimi i veprës penale dhe si pjesë e procedimit penal, ato kanë të njëjtin start me të, përveç rasteve përjashtues siç ai i arrestimit në flagrancë, nga ku ato fillojnë edhe më parë.  Ato janë ‘paraprake’ përkundrejt ndjekjes penale në gjykatë, për çka në lidhje organike me ‘nevojën’ e ushtrimit të saj, si shfaqje e zbatimit uniform të ligjit në deklarimin kushtetues se «të gjithë janë të barabartë përpara ligjit» (§1, neni 18 Kusht.), nga ku suksesi sigurohet, së paku deri në këtë stad të zhvillimit, nëpërmjet një veprimtarie paraprake në gjetjen e burimeve të provave dhe të vetë provave të papërsëritshme fajësuese, që lejojnë ushtrimin e ndjekjes penale.  Hetimet paraprake kanë për qëllim zbatimin e s drejtës, ato janë qartësisht të drejtuara në nevojën e ushtrimit të ndjekjes penale (§1, neni 277 Kpp), funksion primar kushtetues (§1, neni 148 Kusht.) dhe ligjor (neni 277 Kpp, neni 304 Kpp, §1, neni 24 Kpp &amp; neni 3, OFPRSh) i prokurorit, në rolin e tij si inkuizitor.</w:t>
      </w:r>
    </w:p>
    <w:p w:rsidR="004743A5" w:rsidRDefault="00ED5777" w:rsidP="004743A5">
      <w:pPr>
        <w:pStyle w:val="ListParagraph"/>
        <w:ind w:left="0" w:firstLine="360"/>
        <w:jc w:val="both"/>
        <w:rPr>
          <w:rFonts w:ascii="Georgia" w:hAnsi="Georgia"/>
        </w:rPr>
      </w:pPr>
      <w:r w:rsidRPr="006871FF">
        <w:rPr>
          <w:rFonts w:ascii="Georgia" w:hAnsi="Georgia"/>
        </w:rPr>
        <w:t xml:space="preserve">Megjithatë, menjëherë pas njoftimit të veprës penale – detyrimisht dhe pa shmangie i shënuar në regjistrin e njoftimit të veprave penale (§1, neni 278 Kpp) – përpara prokurorit ngrihet alternativa e verifikimit të këtij njoftimi, në kuptimin që përmban apo jo ai vërtetësi.  Kjo detyron atë të përmbushë veprime të nevojshme të cilat jo vetëm mund të shpien në pathemelësinë e njoftimit, siç është rasti kur fakti nuk parashikohet nga ligji si vepër penale apo kur del qartë që fakti nuk ekziston, por edhe në pamundësinë e vazhdimit të procedimit, siç është rasti kur personi që ka kryer faktin penal ka vdekur, mungon ankimi i të dëmtuarit ose ai e tërheq ankimin apo vepra penale është shuar ose është dhënë amnisti (neni 290 </w:t>
      </w:r>
      <w:r w:rsidRPr="006871FF">
        <w:rPr>
          <w:rFonts w:ascii="Georgia" w:hAnsi="Georgia"/>
        </w:rPr>
        <w:lastRenderedPageBreak/>
        <w:t>Kpp), situatë kjo e cila nuk lejon vazhdimin e procedimit administrativ të Prokurorisë, të ushtruar nga organi i ndryshëm nga ai gjyqësor dhe kështu dhe të hetimeve paraprake.</w:t>
      </w:r>
    </w:p>
    <w:p w:rsidR="004743A5" w:rsidRDefault="00ED5777" w:rsidP="004743A5">
      <w:pPr>
        <w:pStyle w:val="ListParagraph"/>
        <w:ind w:left="0" w:firstLine="360"/>
        <w:jc w:val="both"/>
        <w:rPr>
          <w:rFonts w:ascii="Georgia" w:hAnsi="Georgia"/>
        </w:rPr>
      </w:pPr>
      <w:r w:rsidRPr="006871FF">
        <w:rPr>
          <w:rFonts w:ascii="Georgia" w:hAnsi="Georgia"/>
        </w:rPr>
        <w:t>Mbasi për prokurorin kapërcehet që në fillim kjo pengesë, ahere hetimet e mëtejshme përqendrohen pikërisht në ushtrimin e suksesshëm të ndjekjes penale</w:t>
      </w:r>
      <w:r w:rsidRPr="006871FF">
        <w:rPr>
          <w:rFonts w:ascii="Georgia" w:hAnsi="Georgia"/>
          <w:i/>
        </w:rPr>
        <w:t>/actio puniendi</w:t>
      </w:r>
      <w:r w:rsidRPr="006871FF">
        <w:rPr>
          <w:rFonts w:ascii="Georgia" w:hAnsi="Georgia"/>
        </w:rPr>
        <w:t>.  Në veprimet apo veprimtarinë e prokurorit, të përmbushur edhe drejtpërdrejt nga Pol.gjyq. të cilën ai e drejton, – në përmbushje të hetimeve të nevojshme që lidhen me ushtrimin e ndjekjes penale, brenda kompetencave të caktuara (§1, neni 277 Kpp) – përfshihen si veprime tipike të parashikuara veçanërisht nga ligji procedural penal, siç për shembull, njohje apo kontrolle, ashtu dhe veprime të cilat nuk janë parashikuar veçanërisht nga ligji procedural penal, siç jepet shpesh si shembull, ‘ndjekja’ e të dyshuarit.  Veprimtaria e prokurorit dhe e Pol.gjyq. përqendrohet në kërkimin e burimit të provës, siç për dëshmitarin ashtu dhe në marrjen e provës, siç për ekspertimin.  Sepse arrihet qëllimi për të cilat ato zhvillohen, hetimet paraprake tashmë përfundojnë detyrimisht me ushtrimin e ndjekjes penale</w:t>
      </w:r>
      <w:r w:rsidRPr="006871FF">
        <w:rPr>
          <w:rFonts w:ascii="Georgia" w:hAnsi="Georgia"/>
          <w:i/>
        </w:rPr>
        <w:t>/actio puniendi</w:t>
      </w:r>
      <w:r w:rsidRPr="006871FF">
        <w:rPr>
          <w:rFonts w:ascii="Georgia" w:hAnsi="Georgia"/>
        </w:rPr>
        <w:t xml:space="preserve"> sipas kërkesës për dërgimin e çështjes në gjyq përjashtimisht me kërkesën për pushimin e akuzës për krime (neni 329/a Kpp) dhe me pushimin e çështjes për kundërvajtje (neni 328 Kpp), që për këtë shfaqet një dyshim i fortë kushtetues, kur është prokurori ai që ‘vlerëson’ se qëndron së paku njëra nga situatat e radhitura në nenin 328 Kpp.</w:t>
      </w:r>
    </w:p>
    <w:p w:rsidR="004743A5" w:rsidRDefault="00ED5777" w:rsidP="004743A5">
      <w:pPr>
        <w:pStyle w:val="ListParagraph"/>
        <w:ind w:left="0" w:firstLine="360"/>
        <w:jc w:val="both"/>
        <w:rPr>
          <w:rFonts w:ascii="Georgia" w:hAnsi="Georgia"/>
        </w:rPr>
      </w:pPr>
      <w:r w:rsidRPr="006871FF">
        <w:rPr>
          <w:rFonts w:ascii="Georgia" w:hAnsi="Georgia"/>
        </w:rPr>
        <w:t xml:space="preserve">Organe të hetimeve paraprake paraqiten si prokurori ashtu dhe Pol.gjyq., të cilat për këtë, gjatë kësaj faze, ushtrojnë procedimin penal administrativ.  Si të tilla, ndërkohë që për veprime të Pol.gjyq. ushtrohet kontroll nga prokurori (neni 33 Kpp, neni 4 &amp; §1, neni 13 OFPGj), për veprimtari të rëndësishme të prokurorit, parashikohet një kontroll i gjykatës mbi sjelljen e ligjshme të tyre, nga ku në të njëjtën kohë sigurohen apo garantohen edhe të drejtat e të hetuarit.  Por është prokurori ai që «drejton hetimet dhe ka në dispozicion Pol.gjyq.» (§2, neni 277 Kpp), çka do të thotë se është ai titullari i tyre dhe Pol.gjyq. nën varësinë funksionale të tij.  Ndërsa nga ana tjetër apo paralelisht, në një situatë gati autonome, gjithnjë në funksion të hetimeve, Pol.gjyq., i njihet veprimtaria me iniciativë që «[...] të kryejë hetime dhe të grumbullojë gjithçka që i shërben zbatimit të ligjit penal» (§1, neni 30 Kpp) «edhe pas referimit të veprës penale [...]» (§1, neni 294 Kpp), çka ka rritur së tepërmi rëndësinë e saj, nga ku rritja e përgjegjësisë për përmbushjen e hulumtimeve shpie në aktivizimin më të devotshëm dhe efikas të tyre.  Është e përputhur, dhe nuk ka se si të vështirësohet kjo veprimtari e Pol.gjyq., po të kihet parasysh se, ajo duhet të kryhet paralelisht me «[...] çdo veprim të urdhëruar ose të deleguar posaçërisht nga prokurori [...]» (§2, neni 294 Kpp).  Është qartësisht e ndarë veprimtaria detyruese e Policisë (së Shtetit) që «parandalon, [...] veprat penale dhe autorët e dyshuar të kryerjes së tyre [...]» (shkronja ‘c’, §1, neni 17 PSh) në funksion të misionit për «[...] ruajtjen e rendit e të sigurisë publike [...]» (neni 2 PSh) nga veprimtaria e Policisë (Gjyqësore) për të marrë dijeni për veprat penale, parandalimin e pasojave të mëtejshme për shkak të tyre, kryerjen e veprime hetimore të plota e të gjithanshme (neni 3 OFPGj) dhe në përgjithësi për hetimin e krimit.  E para i përket funksionit dhe drejtimit nga vetë Policia e Shtetit si institucion i administratës shtetërore (§1, neni 4 PSh), «[...] unike, e centralizuar, e organizuar në nivel qendror dhe vendor» (§1, neni 19 PSh) sipas «sistemit të gradave – i cili – përcakton hierarkinë dhe nivelin e menaxhimit në Policinë e Shtetit» (§1, neni 50 PSh).  Ndërsa e dyta i përket detyrës – pra jashtë misionit për ruajtjen e rendit dhe sigurisë publike (neni 2 PSh) – ku Policia, tashmë gjyqësore, «[...] zbulon dhe heton, në përputhje me legjislacionin penal dhe procedural penal, veprat penale dhe autorët e dyshuar të kryerjes së tyre» (shkronja ‘c’, §1, neni 17 PSh).  Detyrë të cilin e ushtron «nën varësinë e prokurorit dhe drejtuar e kontrolluar prej tij» (§1, neni 4 OFPGj), me urdhërim a delegim (shkronja ‘d’, §1, neni 3 OFPGj), e përputhur me normimin se «prokurori dhe Pol.gjyq. zhvillojnë, brenda kompetencave të caktuara, hetimet e nevojshme që lidhen me ushtrimin e ndjekjes penale – dhe se – </w:t>
      </w:r>
      <w:r w:rsidRPr="006871FF">
        <w:rPr>
          <w:rFonts w:ascii="Georgia" w:hAnsi="Georgia"/>
        </w:rPr>
        <w:lastRenderedPageBreak/>
        <w:t>prokurori drejton hetimet dhe ka në dispozicion Pol.gjyq.» (§1 dhe 2, neni 277 Kpp), i cili është ‘legjislacioni procedural penal’.</w:t>
      </w:r>
    </w:p>
    <w:p w:rsidR="004743A5" w:rsidRDefault="00ED5777" w:rsidP="004743A5">
      <w:pPr>
        <w:pStyle w:val="ListParagraph"/>
        <w:ind w:left="0" w:firstLine="360"/>
        <w:jc w:val="both"/>
        <w:rPr>
          <w:rFonts w:ascii="Georgia" w:hAnsi="Georgia"/>
        </w:rPr>
      </w:pPr>
      <w:r w:rsidRPr="006871FF">
        <w:rPr>
          <w:rFonts w:ascii="Georgia" w:hAnsi="Georgia"/>
        </w:rPr>
        <w:t>Kështu që, kur është fjala për veprimtari ‘parandaluese e krimit &amp; mbrojtjes e rendit e sigurisë publike’, nuk mund të flitet për autoritet të prokurorit, siç në të kundërt, kur është fjala pas kryerjes së krimit, kur tashmë parandalimi ka dështuar dhe dëmi apo shqetësimi social është ndjerë, roli dhe veprimtaria e Policisë (së Shtetit), si mision i saj ka përfunduar dhe menjëherë del në pah roli i Prokurorit dhe ngrihet roli dhe aktivizohet veprimtaria e Policisë (Gjyqësore), sipas rastit me iniciativë apo kryesisht nga vetë ajo (neni 30 Kpp &amp; neni 3 OFPGj) dhe gjithsesi nën drejtimin e prokurorit (§2, neni 277 Kpp &amp; neni 4 OFPGj), si zotërues</w:t>
      </w:r>
      <w:r w:rsidRPr="006871FF">
        <w:rPr>
          <w:rFonts w:ascii="Georgia" w:hAnsi="Georgia"/>
          <w:i/>
        </w:rPr>
        <w:t>/dominus</w:t>
      </w:r>
      <w:r w:rsidRPr="006871FF">
        <w:rPr>
          <w:rFonts w:ascii="Georgia" w:hAnsi="Georgia"/>
        </w:rPr>
        <w:t xml:space="preserve"> i hetimeve paraprake.</w:t>
      </w:r>
    </w:p>
    <w:p w:rsidR="004743A5" w:rsidRDefault="00ED5777" w:rsidP="004743A5">
      <w:pPr>
        <w:pStyle w:val="ListParagraph"/>
        <w:ind w:left="0" w:firstLine="360"/>
        <w:jc w:val="both"/>
        <w:rPr>
          <w:rFonts w:ascii="Georgia" w:hAnsi="Georgia"/>
        </w:rPr>
      </w:pPr>
      <w:r w:rsidRPr="006871FF">
        <w:rPr>
          <w:rFonts w:ascii="Georgia" w:hAnsi="Georgia"/>
        </w:rPr>
        <w:t>Si dy organe qartësisht të veçuara Policia dhe Prokuroria, të dyja dhe njëkohësisht, «[...] zhvillojnë, brenda kompetencave të caktuara, hetimet e nevojshme që lidhen me ushtrimin e ndjekjes penale» (§1, neni 277 Kpp), nga ku është Prokurori ai që «[...] drejton hetimet dhe ka në dispozicion Pol.gjyq.» (§2, neni 277 Kpp).  Qëllimi i njëjtë dhe i përbashkët, lejon më së miri dhe është qëndrimi më i përshtatshëm, nga ku veprimtaria me iniciativë apo kryesisht e Pol.gjyq. përputhet tërësisht me drejtimin dhe disponimin e saj nga prokurori.  Kjo e fundit, shfaqet tashmë si tipar i zotësisë më të madhe profesionale që ka prokurori i cili këtë e posedon pikërisht për shkak të specializimit më të gjerë dhe më të thellë që ai ka në fushën ligjore dhe të hulumtimit.  Ndërsa organi i Policisë, pikërisht sepse zotëron aftësi më të madhe profesionale në një tjetër fushë, që i posedon për shkak të specializimit më të gjerë dhe më të thellë që ka në parandalimin e veprave penale (shkronja ‘c’, §1, neni 17 PSh) e kështu në ruajtjen e rendit e të sigurisë publike (neni 2 PSh), luan rolin e mbështetësit me iniciativë dhe njëkohësisht të drejtuar nga Prokuroria, pa humbur aspak rëndësinë e tij.</w:t>
      </w:r>
    </w:p>
    <w:p w:rsidR="004743A5" w:rsidRDefault="00ED5777" w:rsidP="004743A5">
      <w:pPr>
        <w:pStyle w:val="ListParagraph"/>
        <w:ind w:left="0" w:firstLine="360"/>
        <w:jc w:val="both"/>
        <w:rPr>
          <w:rFonts w:ascii="Georgia" w:hAnsi="Georgia"/>
        </w:rPr>
      </w:pPr>
      <w:r w:rsidRPr="006871FF">
        <w:rPr>
          <w:rFonts w:ascii="Georgia" w:hAnsi="Georgia"/>
        </w:rPr>
        <w:t>«Prokuroria i ushtron funksionet e saj në mënyrë të pavarur nëpërmjet prokurorëve» (§2, neni 3, OFPRSh), funksione që përmbushen në hetimet paraprake, nga prokurorët pranë gjykatave të shkallës së parë (shkronja ‘a’, §1, neni 25 Kpp), të cilët po ashtu, pranë të njëjtave gjykata ushtrojnë dhe ndjekjen penale</w:t>
      </w:r>
      <w:r w:rsidRPr="006871FF">
        <w:rPr>
          <w:rFonts w:ascii="Georgia" w:hAnsi="Georgia"/>
          <w:i/>
        </w:rPr>
        <w:t>/actio puniendi</w:t>
      </w:r>
      <w:r w:rsidRPr="006871FF">
        <w:rPr>
          <w:rFonts w:ascii="Georgia" w:hAnsi="Georgia"/>
        </w:rPr>
        <w:t>, në përfundim të tyre.  Sipas të njëjtës përkatësi territoriale, në të cilën përfshihet gjykata e shkallës së parë përkatëse, e cila i përgjigjet gjykatës së rrethit gjyqësor, Policia e Shtetit në nivel Vendor, e organizuar në struktura  organizative  hierarkike  në  nivel  drejtorie,  sektori,  komisariati,</w:t>
      </w:r>
      <w:r w:rsidR="004743A5">
        <w:rPr>
          <w:rFonts w:ascii="Georgia" w:hAnsi="Georgia"/>
        </w:rPr>
        <w:t xml:space="preserve"> </w:t>
      </w:r>
      <w:r w:rsidRPr="006871FF">
        <w:rPr>
          <w:rFonts w:ascii="Georgia" w:hAnsi="Georgia"/>
        </w:rPr>
        <w:t>seksioni, stacioni dhe poste policie (§4, neni 19 PSh), organizohet në detyrën e zbulimit dhe hetimit Pol.gjyq., sipas ndarjes në ‘seksion’ (neni 8 OFPGj), ‘shërbim’ (neni 6 OFPGj)</w:t>
      </w:r>
      <w:r w:rsidRPr="006871FF">
        <w:rPr>
          <w:rStyle w:val="FootnoteReference"/>
          <w:rFonts w:ascii="Georgia" w:hAnsi="Georgia"/>
        </w:rPr>
        <w:footnoteReference w:id="3"/>
      </w:r>
      <w:r w:rsidRPr="006871FF">
        <w:rPr>
          <w:rFonts w:ascii="Georgia" w:hAnsi="Georgia"/>
        </w:rPr>
        <w:t xml:space="preserve"> dhe ‘organe të përgjithshme’ (neni 18 PSh).</w:t>
      </w:r>
    </w:p>
    <w:p w:rsidR="007824BD" w:rsidRDefault="00ED5777" w:rsidP="007824BD">
      <w:pPr>
        <w:pStyle w:val="ListParagraph"/>
        <w:ind w:left="0" w:firstLine="360"/>
        <w:jc w:val="both"/>
        <w:rPr>
          <w:rFonts w:ascii="Georgia" w:hAnsi="Georgia"/>
        </w:rPr>
      </w:pPr>
      <w:r w:rsidRPr="006871FF">
        <w:rPr>
          <w:rFonts w:ascii="Georgia" w:hAnsi="Georgia"/>
        </w:rPr>
        <w:t>Për shkak të parashikimit të §2, të nenit 75/b të Kpp, në të cilën normohet kompetenca e GjyKoKriOr, hetimet paraprake të nevojshme që lidhen me ushtrimin e ndjekjes penale ndaj subjekteve dhe për veprat penale që në të parashikohen, «[...] ushtrohen në të gjitha shkallët e gjykimit nga prokurorët e Prokurorisë së Posaçme» (§3, neni 25 Kpp).</w:t>
      </w:r>
    </w:p>
    <w:p w:rsidR="007824BD" w:rsidRDefault="007824BD" w:rsidP="007824BD">
      <w:pPr>
        <w:pStyle w:val="ListParagraph"/>
        <w:ind w:left="0" w:firstLine="360"/>
        <w:jc w:val="center"/>
        <w:rPr>
          <w:rFonts w:ascii="Georgia" w:hAnsi="Georgia"/>
          <w:b/>
        </w:rPr>
      </w:pPr>
    </w:p>
    <w:p w:rsidR="007824BD" w:rsidRDefault="00ED5F8B" w:rsidP="007824BD">
      <w:pPr>
        <w:pStyle w:val="ListParagraph"/>
        <w:ind w:left="0" w:firstLine="360"/>
        <w:jc w:val="center"/>
        <w:rPr>
          <w:rFonts w:ascii="Georgia" w:hAnsi="Georgia"/>
          <w:b/>
        </w:rPr>
      </w:pPr>
      <w:r w:rsidRPr="006871FF">
        <w:rPr>
          <w:rFonts w:ascii="Georgia" w:hAnsi="Georgia"/>
          <w:b/>
        </w:rPr>
        <w:t>Përgjithësisht</w:t>
      </w:r>
    </w:p>
    <w:p w:rsidR="007824BD" w:rsidRDefault="00ED5F8B" w:rsidP="007824BD">
      <w:pPr>
        <w:pStyle w:val="ListParagraph"/>
        <w:ind w:left="0" w:firstLine="360"/>
        <w:jc w:val="both"/>
        <w:rPr>
          <w:rFonts w:ascii="Georgia" w:hAnsi="Georgia"/>
        </w:rPr>
      </w:pPr>
      <w:r w:rsidRPr="006871FF">
        <w:rPr>
          <w:rFonts w:ascii="Georgia" w:hAnsi="Georgia"/>
        </w:rPr>
        <w:t xml:space="preserve">Dijenia për ekzistencën apo kryerjen e një fakti penalisht të ndëshkueshëm është baza e fillimit të procedimit penal, burimi nga i cili merr nxitje aktiviteti hulumtues i organeve të specializuara të administratës shtetërore.  Mbi konsideratat se ‘drejtësia’ është dhënia secilit atë që është e vetja, aktualizim i të drejtës objektive &amp; subjektive, prioritet i çdo shoqërie që aspiron të shohë të siguruar drejtësinë sociale (liri dhe barazi);   se gjyqësia është njëri prej tre pushteteve të Shtetit, që ka për objekt të sqarojë, verifikojë dhe të aktualizojë të drejtën dhe gjykata e ngarkuar me këtë funksion, veçanërisht në lëndën tonë, të zbatojë të drejtën penale;   dhe se gjyqësia penale, aktualizohet në një proces penal që është pjesë apo fazë e procedimit penal (në kuptimin e përgjithshëm), si konditë e përcaktimit të veprës penale dhe e sanksionit përkatës (neni 30 Kusht.), dijenia për veprën penale e cila procedimin penal vë </w:t>
      </w:r>
      <w:r w:rsidRPr="006871FF">
        <w:rPr>
          <w:rFonts w:ascii="Georgia" w:hAnsi="Georgia"/>
        </w:rPr>
        <w:lastRenderedPageBreak/>
        <w:t>në lëvizje, merr një rëndësi të jashtëzakonshme dhe paraqitet si instrumenti i parë që synon të arrihet zbatimi i të drejtës, duke bërë që ligjvënësi të aktivizojë të gjitha burimet e mundshme të përfitimit apo marrjes së saj.  Citohet se «prokurori dhe policia marrin dijeni për veprën penale me iniciativën e vet dhe me njoftimin e bërë nga të tjerët» (neni 280 Kpp), duke lejuar kështu të përfitohet njohja e faktit penal, qoftë nëpërmjet aktivizimit me iniciativë të organeve të ngarkuara për hetimet paraprake, qoftë dhe nëpërmjet pritjes, nga ana e tyre, e lajmit të veprës penale</w:t>
      </w:r>
      <w:r w:rsidRPr="006871FF">
        <w:rPr>
          <w:rFonts w:ascii="Georgia" w:hAnsi="Georgia"/>
          <w:i/>
        </w:rPr>
        <w:t>/notitia criminis</w:t>
      </w:r>
      <w:r w:rsidRPr="006871FF">
        <w:rPr>
          <w:rFonts w:ascii="Georgia" w:hAnsi="Georgia"/>
        </w:rPr>
        <w:t xml:space="preserve"> nga kushdo që e transmeton atë.  Kështu ndërsa kërkesa për dërgimin e çështjes në gjykim është nxitësja që vë në lëvizje procesin penal e kështu ushtrimi i ndjekjes penale, marrja dijeni për veprën penale ka të njëjtin funksion për hetimet paraprake, nxitësja e tyre.</w:t>
      </w:r>
    </w:p>
    <w:p w:rsidR="007824BD" w:rsidRDefault="00ED5F8B" w:rsidP="007824BD">
      <w:pPr>
        <w:pStyle w:val="ListParagraph"/>
        <w:ind w:left="0" w:firstLine="360"/>
        <w:jc w:val="both"/>
        <w:rPr>
          <w:rFonts w:ascii="Georgia" w:hAnsi="Georgia"/>
        </w:rPr>
      </w:pPr>
      <w:r w:rsidRPr="006871FF">
        <w:rPr>
          <w:rFonts w:ascii="Georgia" w:hAnsi="Georgia"/>
        </w:rPr>
        <w:t>Duke ngritur në nivel të detyrimit ligjor dhënien e lajmit të veprës penale, penalisht të ndëshkueshëm në rast të moskallëzimit (neni 300 kPenal), ligjvënësi shpreson që, – jo vetëm për shkak të ndërgjegjësimit por edhe për shkak të detyrimit, – çdo kush të japë lajmin e veprës penale, për të cilin janë në pritje Pol.gjyq. dhe prokurori.  Por në vështrim të llojeve të veprave penale dhe karakteristikave të tyre, është vërejtur se vetëm ato vepra penale që, pasoja materiale haptazi publikisht lënë – të ashtu quajturat vepra penale me vendngjarje – njoftohen me kallëzimet e bëra ‘nga të tjerët’, ndërkohë që për veprat e tjera penale të cilave u mungon materialiteti i hapur publik dhe janë të fshehta, kallëzimet si formë e lajmit nuk arrijnë të japin njoftim.  Për çka, është formuar si detyrim ligjor, i ushtrimit të funksionit hulumtues, ‘iniciativa’ e Pol.gjyq. dhe e prokurorit, nëpërmjet të cilës duhet të merret njoftimi për veprën penale.  Në përputhje me këto dy mënyra të marrjes së dijenisë për veprën penale, ligjvënësi ka përshtatur instrumentet tipikë të ‘kallëzimit’ nga nëpunësi publik, nga personeli mjekësor, nga shtetasit/qytetarët, dhe ‘ankimin e të dëmtuarit’ penal – ky i fundit edhe me aftësinë edhe të kushtit të procedimit – si forma të njoftimit të veprës penale</w:t>
      </w:r>
      <w:r w:rsidRPr="006871FF">
        <w:rPr>
          <w:rFonts w:ascii="Georgia" w:hAnsi="Georgia"/>
          <w:i/>
        </w:rPr>
        <w:t>/notitia criminis</w:t>
      </w:r>
      <w:r w:rsidRPr="006871FF">
        <w:rPr>
          <w:rFonts w:ascii="Georgia" w:hAnsi="Georgia"/>
        </w:rPr>
        <w:t xml:space="preserve"> nga të tjerët.  Ndërsa në pamundësi të përcaktimit të ‘iniciativës’ së organeve të hetimit, përfitimi i dijenisë, për veprat penale nëpërmjet kësaj iniciative, arrihet me mjete a-tipike, instrumente të cilat nuk janë të normuara nga ligjvënësi aq sa shpesh njësohet lajmi i veprës penale</w:t>
      </w:r>
      <w:r w:rsidRPr="006871FF">
        <w:rPr>
          <w:rFonts w:ascii="Georgia" w:hAnsi="Georgia"/>
          <w:i/>
        </w:rPr>
        <w:t>/notitia criminis</w:t>
      </w:r>
      <w:r w:rsidRPr="006871FF">
        <w:rPr>
          <w:rFonts w:ascii="Georgia" w:hAnsi="Georgia"/>
        </w:rPr>
        <w:t xml:space="preserve"> me vetë dijeninë e përfitimit të saj.</w:t>
      </w:r>
    </w:p>
    <w:p w:rsidR="007824BD" w:rsidRDefault="00ED5F8B" w:rsidP="007824BD">
      <w:pPr>
        <w:pStyle w:val="ListParagraph"/>
        <w:ind w:left="0" w:firstLine="360"/>
        <w:jc w:val="both"/>
        <w:rPr>
          <w:rFonts w:ascii="Georgia" w:hAnsi="Georgia"/>
        </w:rPr>
      </w:pPr>
      <w:r w:rsidRPr="006871FF">
        <w:rPr>
          <w:rFonts w:ascii="Georgia" w:hAnsi="Georgia"/>
        </w:rPr>
        <w:t>Përfitimi apo marrja e dijenisë për veprën penale nuk kursen asnjërin nga të dy organet e ngarkuara për hetimet paraprake – përveçse kur është organi gjyqësor civil apo administrativ ai që kallëzon (§3, neni 281 Kpp) – për çka si lajmi nga të tjerët ashtu dhe iniciativa, respektivisht merren dhe ushtrohen, pa dallim si nga Pol.gjyq. ashtu dhe nga prokurori.  Por për shkak të titullit të akuzës që mban prokurori, për çka dhe drejtues i hetimeve paraprake, ai është i ngarkuar, ndër të tjera edhe me ‘shënimin’ në një regjistër të posaçëm të çdo njoftimi të veprës penale (§1, neni 287 Kpp), kështu që në se njoftimi i veprës penale vjen në dijeni të Pol.gjyq., detyron këtë të fundit të japë referim prokurorit për të, sipas rastit «[...] pa vonesë por jo më vonë se 72 orë [...]» (§1 &amp; 2, neni 293 Kpp). apo «[...] menjëherë edhe me gojë [...]» (§2, neni 293 Kpp).</w:t>
      </w:r>
    </w:p>
    <w:p w:rsidR="007824BD" w:rsidRDefault="00ED5F8B" w:rsidP="007824BD">
      <w:pPr>
        <w:pStyle w:val="ListParagraph"/>
        <w:ind w:left="0" w:firstLine="360"/>
        <w:jc w:val="both"/>
        <w:rPr>
          <w:rFonts w:ascii="Georgia" w:hAnsi="Georgia"/>
        </w:rPr>
      </w:pPr>
      <w:r w:rsidRPr="006871FF">
        <w:rPr>
          <w:rFonts w:ascii="Georgia" w:hAnsi="Georgia"/>
        </w:rPr>
        <w:t>E njëjta dispozitë (neni 300 kPenal) që normon detyrimin e çdo kujt për të bërë kallëzim, në paragraf të dytë përjashton nga ky detyrim, çdo person që faktin me karakteristika të paligjshmërisë penale, e ka përfituar apo thithur për shkak apo gjatë ‘</w:t>
      </w:r>
      <w:r w:rsidRPr="006871FF">
        <w:rPr>
          <w:rFonts w:ascii="Georgia" w:hAnsi="Georgia"/>
          <w:i/>
        </w:rPr>
        <w:t>shërbimit publik</w:t>
      </w:r>
      <w:r w:rsidRPr="006871FF">
        <w:rPr>
          <w:rFonts w:ascii="Georgia" w:hAnsi="Georgia"/>
        </w:rPr>
        <w:t>’ që ka për detyrë të kryejë ose për shkak apo gjatë ‘</w:t>
      </w:r>
      <w:r w:rsidRPr="006871FF">
        <w:rPr>
          <w:rFonts w:ascii="Georgia" w:hAnsi="Georgia"/>
          <w:i/>
        </w:rPr>
        <w:t>shërbimit të nevojshëm publik</w:t>
      </w:r>
      <w:r w:rsidRPr="006871FF">
        <w:rPr>
          <w:rFonts w:ascii="Georgia" w:hAnsi="Georgia"/>
        </w:rPr>
        <w:t>’ që si profesion ushtron.  Kështu duke pasur parasysh njohjet nga e drejta publike dhe ajo administrative të përmendura edhe më parë, ‘shërbimi publik’ si aktiviteti i disiplinuar sipas të njëjtave formave të funksionit publik, por në mungesë të pushteteve tipike të tij dhe jo i zhvilluar si profesion i thjeshtë, i zakonshëm apo vetëm material, i ngarkohet personit si ‘</w:t>
      </w:r>
      <w:r w:rsidRPr="006871FF">
        <w:rPr>
          <w:rFonts w:ascii="Georgia" w:hAnsi="Georgia"/>
          <w:i/>
        </w:rPr>
        <w:t>detyrë</w:t>
      </w:r>
      <w:r w:rsidRPr="006871FF">
        <w:rPr>
          <w:rFonts w:ascii="Georgia" w:hAnsi="Georgia"/>
        </w:rPr>
        <w:t>’ për ta përmbushur.  Ndërsa ‘shërbim i nevojshëm publik’ si aktivitet që për shkak të ligjit, publiku është i detyruar ta përfitojë atë dhe që kërkon kualifikim/diplomim të veçantë nga Shteti, pa të cilin i njëjti ligj ndalon ushtrimin e tij, ushtrohet si ‘</w:t>
      </w:r>
      <w:r w:rsidRPr="006871FF">
        <w:rPr>
          <w:rFonts w:ascii="Georgia" w:hAnsi="Georgia"/>
          <w:i/>
        </w:rPr>
        <w:t>profesion</w:t>
      </w:r>
      <w:r w:rsidRPr="006871FF">
        <w:rPr>
          <w:rFonts w:ascii="Georgia" w:hAnsi="Georgia"/>
        </w:rPr>
        <w:t xml:space="preserve">’.  Për çka dhe dispozita e dytë e nenit 300 kPenal – e cila përjashton nga detyrimi i kallëzimit personin që është i detyruar të ruajë një sekret të njohur për shkak të detyrës apo profesionit – i referohet </w:t>
      </w:r>
      <w:r w:rsidRPr="006871FF">
        <w:rPr>
          <w:rFonts w:ascii="Georgia" w:hAnsi="Georgia"/>
        </w:rPr>
        <w:lastRenderedPageBreak/>
        <w:t>pikërisht atyre që respektivisht ‘shërbim publik’ janë ngarkuar me detyrë të kryejnë dhe ‘shërbim të nevojshëm publik’ ushtrojnë si profesion.</w:t>
      </w:r>
    </w:p>
    <w:p w:rsidR="007824BD" w:rsidRDefault="00ED5F8B" w:rsidP="007824BD">
      <w:pPr>
        <w:pStyle w:val="ListParagraph"/>
        <w:ind w:left="0" w:firstLine="360"/>
        <w:jc w:val="both"/>
        <w:rPr>
          <w:rFonts w:ascii="Georgia" w:hAnsi="Georgia"/>
        </w:rPr>
      </w:pPr>
      <w:r w:rsidRPr="006871FF">
        <w:rPr>
          <w:rFonts w:ascii="Georgia" w:hAnsi="Georgia"/>
        </w:rPr>
        <w:t>Kështu, pa qenë nevoja për tu futur në komente të së drejtës penale në lidhje me dispozitën e nenit 300 të kPenal, por vetëm për të evidentuar nga pikëpamja procedurale personat që mbartin detyrimin e kallëzimit të krimit, rezulton se, pa asnjë përjashtim,  të  tillë  janë,  ata  që  një  ‘</w:t>
      </w:r>
      <w:r w:rsidRPr="006871FF">
        <w:rPr>
          <w:rFonts w:ascii="Georgia" w:hAnsi="Georgia"/>
          <w:i/>
        </w:rPr>
        <w:t>funksion publik</w:t>
      </w:r>
      <w:r w:rsidRPr="006871FF">
        <w:rPr>
          <w:rFonts w:ascii="Georgia" w:hAnsi="Georgia"/>
        </w:rPr>
        <w:t>’</w:t>
      </w:r>
      <w:r w:rsidR="00C71143" w:rsidRPr="006871FF">
        <w:rPr>
          <w:rFonts w:ascii="Georgia" w:hAnsi="Georgia"/>
        </w:rPr>
        <w:t xml:space="preserve"> </w:t>
      </w:r>
      <w:r w:rsidRPr="006871FF">
        <w:rPr>
          <w:rFonts w:ascii="Georgia" w:hAnsi="Georgia"/>
        </w:rPr>
        <w:t>ushtrojnë – duke kujtuar se është i tillë funksioni i disiplinuar nga normat e së drejtës publike dhe veprime autoritare, karakterizuar nga funksioni dhe manifestimi i vullnetit të administratës publike ose nga zhvillimi i saj nëpërmjet pushteteve autoritare ose verifikuese/certifikuese – të cilët edhe pse – sipas parashikimit të nenit 160 të Kpp – kanë të drejtën e ngritjes së sekretit për të mos dëshmuar, nuk e gëzojnë një t</w:t>
      </w:r>
      <w:r w:rsidR="007824BD">
        <w:rPr>
          <w:rFonts w:ascii="Georgia" w:hAnsi="Georgia"/>
        </w:rPr>
        <w:t>ë tillë për kallëzimin e krimit.</w:t>
      </w:r>
    </w:p>
    <w:p w:rsidR="00ED5F8B" w:rsidRPr="007824BD" w:rsidRDefault="00ED5F8B" w:rsidP="007824BD">
      <w:pPr>
        <w:pStyle w:val="ListParagraph"/>
        <w:ind w:left="0" w:firstLine="360"/>
        <w:jc w:val="both"/>
        <w:rPr>
          <w:rFonts w:ascii="Georgia" w:hAnsi="Georgia"/>
        </w:rPr>
      </w:pPr>
      <w:r w:rsidRPr="006871FF">
        <w:rPr>
          <w:rFonts w:ascii="Georgia" w:hAnsi="Georgia"/>
        </w:rPr>
        <w:t>Ky konkluzion nuk është tërësisht i pranuar paqësisht.  Për ata që e mbrojnë, argumenti është e qartë se, përjashtimi nga detyrimi për të kallëzuar krimin, sepse është i tillë, duhet shprehimisht të jetë i parashikuar nga normat ligjore, në të kundërt, nuk mund të përfshihet në një të tillë rasti analog apo i ngjashëm.  Sepse rasti analog apo i ngjashëm që nuk normohet si përjashtim, domosdo është i normuar sipas parimit të përgjithshëm.  Ndërsa për ata që dakord me të nuk janë, nën idenë e përfshirjes në një të vetëm, si të ‘funksionit publik’ ashtu dhe të ‘shërbimit publik’, pretendojnë se çdo person që ushtron secilin prej tyre, është i ngarkuar me ‘detyrë’, për çka dhe i përjashtuar nga detyrimi për të bërë kallëzim, nëse ata janë të detyruar të ruajnë një sekret të njohur për shkak të ‘detyrës’.  Gjithsesi, në lëndën tonë, nëse një përjashtim i tillë ka vend apo jo, ai gjen aplikim pikërisht në nenin 281 të Kpp, ku parashikohet forma dhe mënyra e përmbushjes së ‘kallëzimit’ nga ‘nëpunësit publikë’, siç dhe përjashtimi për shkak të profesionit gjen aplikim në rastin e nenit 282 të Kpp, nga ‘personeli mjekësor’.</w:t>
      </w:r>
    </w:p>
    <w:p w:rsidR="00232AEA" w:rsidRPr="006871FF" w:rsidRDefault="00232AEA" w:rsidP="00BF3273">
      <w:pPr>
        <w:pStyle w:val="NoSpacing"/>
        <w:jc w:val="center"/>
        <w:rPr>
          <w:rFonts w:ascii="Georgia" w:hAnsi="Georgia" w:cstheme="minorBidi"/>
          <w:b/>
          <w:lang w:val="sq-AL"/>
        </w:rPr>
      </w:pPr>
      <w:r w:rsidRPr="006871FF">
        <w:rPr>
          <w:rFonts w:ascii="Georgia" w:hAnsi="Georgia" w:cstheme="minorBidi"/>
          <w:b/>
          <w:lang w:val="sq-AL"/>
        </w:rPr>
        <w:t>Prokurori ‘drejton’ veprimtarinë hetimore</w:t>
      </w:r>
    </w:p>
    <w:p w:rsidR="00232AEA" w:rsidRPr="006871FF" w:rsidRDefault="00232AEA" w:rsidP="00232AEA">
      <w:pPr>
        <w:pStyle w:val="NoSpacing"/>
        <w:ind w:firstLine="567"/>
        <w:jc w:val="both"/>
        <w:rPr>
          <w:rFonts w:ascii="Georgia" w:hAnsi="Georgia" w:cstheme="minorBidi"/>
          <w:lang w:val="sq-AL"/>
        </w:rPr>
      </w:pPr>
      <w:r w:rsidRPr="006871FF">
        <w:rPr>
          <w:rFonts w:ascii="Georgia" w:hAnsi="Georgia" w:cstheme="minorBidi"/>
          <w:lang w:val="sq-AL"/>
        </w:rPr>
        <w:t xml:space="preserve">Përveç detyrimit kushtetues të ushtrimit të ndjekjes penale (§1, neni 148 Kusht.), si neni 277 Kpp ashtu dhe §1, neni 304 Kpp, që parashikon se përveçse «[...] drejton veprimtarinë hetimore – prokurori – kryen vetë çdo veprim hetimor që çmon të nevojshëm», gjejnë një përputhje të plotë me çka §1, neni 148 Kusht. parashikon se «[...] prokuroria kryen edhe detyra të tjera të caktuara me ligj».  Pra është ligji procedural penal ai që i njeh Prokurorisë, dhe me këtë rast edhe prokurorit, titullin e përmbushjes së veprimtarisë hetimore si dhe sepse edhe Pol.gjyq. është ngarkuar me një veprimtari të tillë (§1, neni 277 Kpp), po ashtu ligji i njeh Prokurorisë titullin e drejtimit të kësaj veprimtarie.  Shprehet kjo edhe në ligjin specifik të OFPRSh si edhe në atë të OFPGj.  Gjen ky kombinim normativ harmoni të plotë me qëllimin e hetimeve paraprake që është ‘ushtrimi i ndjekjes penale’ dhe me titullarin e përmbushjes së këtij qëllimi, ‘Prokurorin’.  Kështu ndërsa për Prokurorin ‘veprimtaria hetimore’ është parësore në funksionin e tij, për Policinë e Shtetit sepse ajo «[...] ka për mision ruajtjen e rendit e të sigurisë publike, garantimin e zbatimit të ligjit, në përputhje me Kushtetutën dhe aktet ndërkombëtare, duke respektuar të drejtat dhe liritë e njeriut» (neni 2 PSh), pra veprimtari parandaluese e kryerjes së veprave penale, veprimtaria hetimore – si veprimtari pas kryerjes së veprës penale – është dytësore.  Është kombinuar ky normim ligjor, për shkak se Policia ka një shtrirje apo mbulim me organikën e saj në të gjithë territorit të Republikës dhe se gjithashtu ajo drejtpërdrejt vepron në terren, çka rrit shanset dhe mundësitë të ketë njohje të plotë dhe të saktë.  Pra ndërsa për Prokurorinë ‘veprimtaria hetimore’ është kërkesë primare dhe për Policinë një kërkesë sekondare, nën prezumimin se aftësitë profesionale janë më të spikatura në funksionin kryesor të çdo organi, si dhe sepse zhvillohet ajo veprimtari hetimore që lidhet me ushtrimin e ndjekjes penale – që është funksion kushtetues i prokurorit – vetëkuptohet se i përket Prokurorisë të ndërmarrë rolin e drejtimit të ‘veprimtarisë hetimore’.  Kështu prokurori, si subjekt jo vetëm i fazës së hetimit paraprak, por edhe i procesit, ka prirje të përmbushë me qëllime dhe synime më të përpikta e konkrete, atë veprimtari hetimore që lidhet dhe është në funksion të drejtpërdrejtë të procesit që vetë ai inicion dhe që për këtë vetë ai sukses kërkon.  Për çka, ndërsa marrja përsipër e drejtimit dhe e përmbushjes së veprimtarisë hetimore, për prokurorin është </w:t>
      </w:r>
      <w:r w:rsidRPr="006871FF">
        <w:rPr>
          <w:rFonts w:ascii="Georgia" w:hAnsi="Georgia" w:cstheme="minorBidi"/>
          <w:lang w:val="sq-AL"/>
        </w:rPr>
        <w:lastRenderedPageBreak/>
        <w:t>vlerësim, në të kundërt mossuksesi në proces, për të është dështim.  Prokurori është përgjegjës si i sqarimit të faktit dhe individualizimit të fajtorit, ashtu dhe i mosnjohjes së tyre.  Pol.gjyq. edhe pse e ngarkuar nga ligji për përmbushjen e veprimeve të nevojshme hetimore, duke qenë nën kushtet e drejtimit të kësaj veprimtarie nga prokurori, nuk ngarkohet me barrën e përgjegjësisë së drejtpërdrejtë për to.</w:t>
      </w:r>
    </w:p>
    <w:p w:rsidR="00232AEA" w:rsidRPr="006871FF" w:rsidRDefault="00232AEA" w:rsidP="00232AEA">
      <w:pPr>
        <w:pStyle w:val="NoSpacing"/>
        <w:ind w:firstLine="567"/>
        <w:jc w:val="both"/>
        <w:rPr>
          <w:rFonts w:ascii="Georgia" w:hAnsi="Georgia" w:cstheme="minorBidi"/>
          <w:lang w:val="sq-AL"/>
        </w:rPr>
      </w:pPr>
      <w:r w:rsidRPr="006871FF">
        <w:rPr>
          <w:rFonts w:ascii="Georgia" w:hAnsi="Georgia" w:cstheme="minorBidi"/>
          <w:lang w:val="sq-AL"/>
        </w:rPr>
        <w:t>Përkundrejt Pol.gjyq., megjithëse si instrumente të përmbushjes së rolit drejtues, por edhe si për të treguar dominim të plotë, prokurorit i është njohur si pushteti i urdhërimit, delegimit (§2, neni 30 Kpp) dhe autorizimit të çdo veprimtarie hetimore – përjashtuar ekzekutimin e mjeteve të kërkimit të provës si këqyrje, kontroll apo sekuestro pas saj, në zyrat e mbrojtësve (§3, neni 52 Kpp) – ashtu dhe pushteti i kontrollit (neni 13 OFPGj &amp; shkronja ‘gj’ dhe ‘k’, §1, neni 42</w:t>
      </w:r>
      <w:r w:rsidRPr="006871FF">
        <w:rPr>
          <w:rFonts w:ascii="Georgia" w:hAnsi="Georgia" w:cstheme="minorBidi"/>
          <w:bCs/>
          <w:lang w:val="sq-AL"/>
        </w:rPr>
        <w:t xml:space="preserve"> OFPRSh</w:t>
      </w:r>
      <w:r w:rsidRPr="006871FF">
        <w:rPr>
          <w:rFonts w:ascii="Georgia" w:hAnsi="Georgia" w:cstheme="minorBidi"/>
          <w:lang w:val="sq-AL"/>
        </w:rPr>
        <w:t>) të çdo veprimtarie hetimore të përmbushur nga ajo si pasojë e urdhërimit, delegimit apo dhe të iniciativës së saj, duke garantuar në të njëjtën kohë edhe ligjshmërinë e veprimtarisë së Pol.gjyq..</w:t>
      </w:r>
    </w:p>
    <w:p w:rsidR="00232AEA" w:rsidRPr="006871FF" w:rsidRDefault="00232AEA" w:rsidP="00232AEA">
      <w:pPr>
        <w:pStyle w:val="NoSpacing"/>
        <w:ind w:firstLine="567"/>
        <w:jc w:val="both"/>
        <w:rPr>
          <w:rFonts w:ascii="Georgia" w:hAnsi="Georgia" w:cstheme="minorBidi"/>
          <w:lang w:val="sq-AL"/>
        </w:rPr>
      </w:pPr>
      <w:r w:rsidRPr="006871FF">
        <w:rPr>
          <w:rFonts w:ascii="Georgia" w:hAnsi="Georgia" w:cstheme="minorBidi"/>
          <w:lang w:val="sq-AL"/>
        </w:rPr>
        <w:t>Nëpërmjet ‘urdhrave’ zakonisht përmbushet ajo veprimtari që më së shpeshti është e përgjithshme, e cila ndikohet nga nevoja të çastit dhe të terrenit konkret.  Ajo përputhet pikërisht me atë që vetë me iniciativë të saj Pol.gjyq. përmbush në kushtet e autonomisë dhe që në rastet e urdhërimit, ky i fundit shërben si një lloj përkujdesje dhe rifreskimi i asaj çka parimisht duhet të përmbushet nga Pol.gjyq..  Për çfarë, veprimet e përmbushura sipas urdhërimit të prokurorit ndjekin të njëjtën procedurë dhe rregull të përmbushjes së tyre siç ato të treguara në dispozitat e neneve 293-303 Kpp.</w:t>
      </w:r>
    </w:p>
    <w:p w:rsidR="00232AEA" w:rsidRPr="006871FF" w:rsidRDefault="00232AEA" w:rsidP="00232AEA">
      <w:pPr>
        <w:pStyle w:val="NoSpacing"/>
        <w:ind w:firstLine="567"/>
        <w:jc w:val="both"/>
        <w:rPr>
          <w:rFonts w:ascii="Georgia" w:hAnsi="Georgia" w:cstheme="minorBidi"/>
          <w:lang w:val="sq-AL"/>
        </w:rPr>
      </w:pPr>
      <w:r w:rsidRPr="006871FF">
        <w:rPr>
          <w:rFonts w:ascii="Georgia" w:hAnsi="Georgia" w:cstheme="minorBidi"/>
          <w:lang w:val="sq-AL"/>
        </w:rPr>
        <w:t>Nëpërmjet ‘delegimit posaçërisht’, ushtrohet drejtimi i hetimeve të nevojshme që lidhen me ushtrimin e veprës penale, që konsiston në ekzekutimin e veprimeve të caktuar veçanërisht, por gjithsesi pa nënkuptuar edhe delegimin e pushteteve që ligja ja rezervon pikërisht prokurorit.  Për shembull, nëse Pol.gjyq. i delegohet posaçërisht marrja në pyetje të të pandehurit, asnjë dispozitë nuk favorizon edhe delegimin e pushtetit të prokurorit për të paralajmëruar se – tashmë Pol.gjyq. – mund të urdhërojë shoqërimin e detyrueshëm në rast mosparaqitje, pa pasur pengesë të ligjshme (shkronja ‘ç’, §2, neni 308 Kpp).  Edhe në këto raste Pol.gjyq. veprimtarinë e saj e ushtron sipas funksionit të saj, veçse tashmë duke ‘respektuar dispozitat për caktimin dhe pjesëmarrjen e mbrojtësit në veprimet hetimore’ (§2, neni 304 Kpp), njësoj siç edhe prokurori për të njëjtët</w:t>
      </w:r>
      <w:r w:rsidRPr="006871FF">
        <w:rPr>
          <w:rFonts w:ascii="Georgia" w:hAnsi="Georgia" w:cstheme="minorBidi"/>
          <w:bCs/>
          <w:lang w:val="sq-AL"/>
        </w:rPr>
        <w:t xml:space="preserve"> </w:t>
      </w:r>
      <w:r w:rsidRPr="006871FF">
        <w:rPr>
          <w:rFonts w:ascii="Georgia" w:hAnsi="Georgia" w:cstheme="minorBidi"/>
          <w:lang w:val="sq-AL"/>
        </w:rPr>
        <w:t>veprime.</w:t>
      </w:r>
    </w:p>
    <w:p w:rsidR="00232AEA" w:rsidRPr="006871FF" w:rsidRDefault="00232AEA" w:rsidP="00BF3273">
      <w:pPr>
        <w:pStyle w:val="NoSpacing"/>
        <w:ind w:firstLine="567"/>
        <w:jc w:val="both"/>
        <w:rPr>
          <w:rFonts w:ascii="Georgia" w:hAnsi="Georgia" w:cstheme="minorBidi"/>
          <w:lang w:val="sq-AL"/>
        </w:rPr>
      </w:pPr>
      <w:r w:rsidRPr="006871FF">
        <w:rPr>
          <w:rFonts w:ascii="Georgia" w:hAnsi="Georgia" w:cstheme="minorBidi"/>
          <w:lang w:val="sq-AL"/>
        </w:rPr>
        <w:t>I ndryshëm është rasti i ‘delegimit të procedimit për veprime të veçanta’ prokurorit të një rrethi tjetër, i cili sepse ushtron dhe ka atributet e prokurorit nga i cili është deleguar veprimi i veçantë, njësoj ushtron pushtetin e prokurorit edhe në përmbushjen e veprimeve të deleguara.  Për këtë arsye,</w:t>
      </w:r>
      <w:r w:rsidR="00BF3273">
        <w:rPr>
          <w:rFonts w:ascii="Georgia" w:hAnsi="Georgia" w:cstheme="minorBidi"/>
          <w:lang w:val="sq-AL"/>
        </w:rPr>
        <w:t xml:space="preserve"> </w:t>
      </w:r>
      <w:r w:rsidRPr="006871FF">
        <w:rPr>
          <w:rFonts w:ascii="Georgia" w:hAnsi="Georgia" w:cstheme="minorBidi"/>
          <w:lang w:val="sq-AL"/>
        </w:rPr>
        <w:t>shkaqet e ngutjes apo të rëndësishme, motivojnë prokurorin e deleguar të rrethit tjetër për të kryer ai me iniciativën e tij «[...] çdo veprim të domosdoshëm për qëllimet e hetimit» (§3, neni 304 Kpp) të cilit i përket veprimi i deleguar nga prokurori delegues.</w:t>
      </w:r>
    </w:p>
    <w:p w:rsidR="00232AEA" w:rsidRPr="006871FF" w:rsidRDefault="00232AEA" w:rsidP="00232AEA">
      <w:pPr>
        <w:pStyle w:val="NoSpacing"/>
        <w:ind w:firstLine="567"/>
        <w:jc w:val="both"/>
        <w:rPr>
          <w:rFonts w:ascii="Georgia" w:hAnsi="Georgia" w:cstheme="minorBidi"/>
          <w:lang w:val="sq-AL"/>
        </w:rPr>
      </w:pPr>
      <w:r w:rsidRPr="006871FF">
        <w:rPr>
          <w:rFonts w:ascii="Georgia" w:hAnsi="Georgia" w:cstheme="minorBidi"/>
          <w:lang w:val="sq-AL"/>
        </w:rPr>
        <w:t>Ndërsa ‘kontrolli’ i veprimtarisë së Pol.gjyq. edhe pse jo drejtpërdrejt në funksion të drejtimit të veprimtarisë hetimore të Pol.gjyq., duke u orientuar në garantim të ligjshmërisë së tyre, po ashtu ndikon në drejtimin e hetimeve.  Për shembull, në kontrollin e ‘ndalimit’ (neni 257 Kpp), sidoqoftë ai i vlefshëm apo jo, njëkohësisht përcaktohet edhe drejtimi i mëtejshëm i hetimeve.  Ai së bashku me sistemin e kontrollit të jashtëm që ushtron mbrojtësi i të hetuarit, japin një garanci më shumë të ligjshmërisë së hetimeve.</w:t>
      </w:r>
    </w:p>
    <w:p w:rsidR="00232AEA" w:rsidRPr="006871FF" w:rsidRDefault="00232AEA" w:rsidP="00232AEA">
      <w:pPr>
        <w:pStyle w:val="NoSpacing"/>
        <w:ind w:firstLine="567"/>
        <w:jc w:val="both"/>
        <w:rPr>
          <w:rFonts w:ascii="Georgia" w:hAnsi="Georgia" w:cstheme="minorBidi"/>
          <w:lang w:val="sq-AL"/>
        </w:rPr>
      </w:pPr>
      <w:r w:rsidRPr="006871FF">
        <w:rPr>
          <w:rFonts w:ascii="Georgia" w:hAnsi="Georgia" w:cstheme="minorBidi"/>
          <w:lang w:val="sq-AL"/>
        </w:rPr>
        <w:t>Po ashtu edhe ‘autorizimi’ për veprimtarinë e Pol.gjyq. në simulimin e veprimeve të caktuar, në infiltrimin në përbërje të grupit kriminal dhe në dorëzimin e kontrolluar.</w:t>
      </w:r>
    </w:p>
    <w:p w:rsidR="00BF3273" w:rsidRDefault="00BF3273" w:rsidP="00232AEA">
      <w:pPr>
        <w:pStyle w:val="NoSpacing"/>
        <w:jc w:val="center"/>
        <w:rPr>
          <w:rFonts w:ascii="Georgia" w:hAnsi="Georgia" w:cstheme="minorBidi"/>
          <w:b/>
          <w:lang w:val="sq-AL"/>
        </w:rPr>
      </w:pPr>
    </w:p>
    <w:p w:rsidR="00232AEA" w:rsidRPr="006871FF" w:rsidRDefault="00232AEA" w:rsidP="00232AEA">
      <w:pPr>
        <w:pStyle w:val="NoSpacing"/>
        <w:jc w:val="center"/>
        <w:rPr>
          <w:rFonts w:ascii="Georgia" w:hAnsi="Georgia" w:cstheme="minorBidi"/>
          <w:b/>
          <w:lang w:val="sq-AL"/>
        </w:rPr>
      </w:pPr>
      <w:r w:rsidRPr="006871FF">
        <w:rPr>
          <w:rFonts w:ascii="Georgia" w:hAnsi="Georgia" w:cstheme="minorBidi"/>
          <w:b/>
          <w:lang w:val="sq-AL"/>
        </w:rPr>
        <w:t>Prokurori kryen ‘vetë’</w:t>
      </w:r>
    </w:p>
    <w:p w:rsidR="00232AEA" w:rsidRPr="006871FF" w:rsidRDefault="00232AEA" w:rsidP="00232AEA">
      <w:pPr>
        <w:pStyle w:val="NoSpacing"/>
        <w:ind w:firstLine="567"/>
        <w:jc w:val="both"/>
        <w:rPr>
          <w:rFonts w:ascii="Georgia" w:hAnsi="Georgia" w:cstheme="minorBidi"/>
          <w:lang w:val="sq-AL"/>
        </w:rPr>
      </w:pPr>
      <w:r w:rsidRPr="006871FF">
        <w:rPr>
          <w:rFonts w:ascii="Georgia" w:hAnsi="Georgia" w:cstheme="minorBidi"/>
          <w:lang w:val="sq-AL"/>
        </w:rPr>
        <w:t xml:space="preserve">Menjëherë pas marrjes dijeni për veprën penale, me iniciativën e vet (§1, neni 280 Kpp), apo nga Pol.gjyq. nëpërmjet referimit pa vonesë, por jo më vonë se 72 orë me shkrim (§1, neni 293 Kpp) apo menjëherë me gojë (§2, neni 293 Kpp), prokurori ka në dorë drejtimin e hetimeve paraprake, për të cilat drejtpërdrejtë ai mban përgjegjësi.  Nëpërmjet veprimeve konkrete ai përmbush vetë veprimtari, të cilat i çmon të duhura e oportune.  Lidhja e nevojshme dhe e domosdoshme me ushtrimin e ndjekjes penale, bën të përshtatet veprimtaria e tij me rastin konkret.  Vlerësimi i rëndësisë së çdo procedimi, i seriozitetit dhe i thellësisë së detajuar të veprimtarisë, qëllimi i përfundimit me sukses dhe i ngarkesës së </w:t>
      </w:r>
      <w:r w:rsidRPr="006871FF">
        <w:rPr>
          <w:rFonts w:ascii="Georgia" w:hAnsi="Georgia" w:cstheme="minorBidi"/>
          <w:lang w:val="sq-AL"/>
        </w:rPr>
        <w:lastRenderedPageBreak/>
        <w:t>procedimeve, mbeten në maturinë e prokurorit, duke dhënë shpesh idenë, se ai ‘përzgjedh’ procedimin penal të cilin vetë do të përmbushë.  Është e kuptueshme se mbi këtë bazë vlerësimesh prokurori përcakton të procedojë apo jo për veprime të veçanta që ai çmon se janë të nevojshme dhe që lidhen me ushtrimin e ndjekjes penale (§1, neni 277 Kpp).  Për çka as renditja në normë (§1, neni 304 Kpp) e ‘drejtimit’ më parë se ‘kryerja vetë’ dhe as përdorimi i lidhëses ‘dhe’, nuk përcaktojnë as përparësinë e ‘drejtimit të veprimtarisë së Pol.gjyq.’ ndaj ‘kryerjes vetë pa ndihmën e saj’ të veprimtarisë hetimore, siç nuk përcaktojnë as detyrimisht kryerjen e të dyja këtyre veprimtarive, nga prokurori.</w:t>
      </w:r>
    </w:p>
    <w:p w:rsidR="00232AEA" w:rsidRPr="006871FF" w:rsidRDefault="00232AEA" w:rsidP="00232AEA">
      <w:pPr>
        <w:pStyle w:val="NoSpacing"/>
        <w:ind w:firstLine="567"/>
        <w:jc w:val="both"/>
        <w:rPr>
          <w:rFonts w:ascii="Georgia" w:hAnsi="Georgia" w:cstheme="minorBidi"/>
          <w:lang w:val="sq-AL"/>
        </w:rPr>
      </w:pPr>
      <w:r w:rsidRPr="006871FF">
        <w:rPr>
          <w:rFonts w:ascii="Georgia" w:hAnsi="Georgia" w:cstheme="minorBidi"/>
          <w:lang w:val="sq-AL"/>
        </w:rPr>
        <w:t xml:space="preserve">Në diferencë nga Pol.gjyq., veprimtarinë e së cilës nëpërmjet disiplinimit të asaj që ajo me iniciativën e vet është e lejuar të përmbushë, prokurori është i lirë të përmbushë çdo veprimtari hetimore që çmon të nevojshme, e gjitha në funksion dhe e lidhur me qëllimin primar të tij për ushtrimin e ndjekjes penale.  Mos kufizimi i hetimeve nëpërmjet kryerjes së çdo lloj veprimtarie të nevojshme që lidhet me ushtrimin e ndjekjes penale, e përcakton gjithashtu edhe mos tipizimi i provave.  Edhe më parë është përmendur se disiplinimi apo tipizimi i mjeteve të kërkimit të provës nuk ka karakter shterues.  Siç parashikimi për marrjen e një prove «[...] që nuk rregullohet me ligj [...]» (§2, neni 149 Kpp) është parashikim i mohimit të përshtatjes së parimit të taksativitetit të llojeve të provave vetëm në ato të tipizuara apo disiplinuara nga ligji procedural penal, edhe mjetet për kërkimin e tyre, mund të jenë të tilla, pra që nuk janë rregulluar gjithashtu nga ligji.  Një lloj prove e panjohur në karakteristikat e saj, është e arsyeshme që të mendohet se edhe veprimtaria për ‘kërkimin’ e saj të mos njihet dhe për këtë të jetë e ndryshme nga ato që ka parashikuar ligji në këqyrjen, kontrollin, përgjimin, sekuestron, blerjen e simuluar, infiltrimin a dorëzimin e kontrolluar.  Kështu nëse tipike janë ‘këqyrja’, ‘kontrolli, ‘përgjimi’, ‘sekuestro provuese’, ‘veprimi simulues’, ‘infiltrimi’ apo ‘dorëzimi i kontrolluar’, pa emër apo a-tipike dhe sidoqoftë të pakufizuara janë ato veprimtari që konsistojnë në ‘kërkimin’ e provës, që së paku </w:t>
      </w:r>
      <w:r w:rsidRPr="006871FF">
        <w:rPr>
          <w:rFonts w:ascii="Georgia" w:hAnsi="Georgia" w:cstheme="minorBidi"/>
          <w:lang w:val="sq-AL" w:eastAsia="en-US"/>
        </w:rPr>
        <w:t xml:space="preserve">«[...] </w:t>
      </w:r>
      <w:r w:rsidRPr="006871FF">
        <w:rPr>
          <w:rFonts w:ascii="Georgia" w:hAnsi="Georgia" w:cstheme="minorBidi"/>
          <w:lang w:val="sq-AL"/>
        </w:rPr>
        <w:t>nuk cenon lirinë e vullnetit të personit [...]» (§2, neni 149 Kpp) dhe që nuk formohen si praktika që përdorin «[...] metoda ose teknika për të ndikuar mbi lirinë e vullnetit ose për të ndryshuar aftësinë e kujtesës e të vlerësimit të fakteve» (§2, neni 38 Kpp) dhe që gjithsesi nuk formojnë cenim më të rëndë të së drejtës së privatësisë dhe të pronës se sa mjetet e tipizuara të kërkimit të provës.  Kështu sepse është i lejuar të përfitojë çdo lloj prove – të tipizuara apo jo të rregulluar me ligj – që jep njohje mbi faktin penal dhe autorin e mundshëm, prokurori është i lejuar të përdorë për të kërkuar e përfituar ato, përveçse të mjeteve tipike siç këqyrja, kontrolli, sekuestro, përgjimet, infiltrimi dhe veprimi simulues, edhe çdo veprim apo instrument tjetër që nga ligji nuk është rregulluar.</w:t>
      </w:r>
    </w:p>
    <w:p w:rsidR="00232AEA" w:rsidRPr="006871FF" w:rsidRDefault="00232AEA" w:rsidP="00232AEA">
      <w:pPr>
        <w:pStyle w:val="NoSpacing"/>
        <w:ind w:firstLine="567"/>
        <w:jc w:val="both"/>
        <w:rPr>
          <w:rFonts w:ascii="Georgia" w:hAnsi="Georgia" w:cstheme="minorBidi"/>
          <w:lang w:val="sq-AL"/>
        </w:rPr>
      </w:pPr>
      <w:r w:rsidRPr="006871FF">
        <w:rPr>
          <w:rFonts w:ascii="Georgia" w:hAnsi="Georgia" w:cstheme="minorBidi"/>
          <w:lang w:val="sq-AL"/>
        </w:rPr>
        <w:t xml:space="preserve">Duke qenë një subjekt në fazën e hetimit paraprak, i cili vepron nën trysninë që krijon mbrojtja e interesit të përgjithshëm publik (§2, neni 4 OFPRSh) nga njëra anë dhe nga ana tjetër respektimi i parimeve të procedimit të drejtë, të barabartë e të rregullt dhe mbrojtja e të drejtave dhe lirive themelore të njeriut (§2, neni 4 OFPRSh), situatë kjo që është shkak i ‘objektivitetit’ të tij, prokurori «[...] kryen hetime edhe për verifikimin e fakteve ose rrethanave në favor të personit ndaj të cilit zhvillohen hetime [...]» (§1, neni 304 Kpp).  Detyrimi i tij qëndron në </w:t>
      </w:r>
      <w:r w:rsidRPr="006871FF">
        <w:rPr>
          <w:rFonts w:ascii="Georgia" w:hAnsi="Georgia" w:cstheme="minorBidi"/>
          <w:i/>
          <w:lang w:val="sq-AL"/>
        </w:rPr>
        <w:t>respektimin</w:t>
      </w:r>
      <w:r w:rsidRPr="006871FF">
        <w:rPr>
          <w:rFonts w:ascii="Georgia" w:hAnsi="Georgia" w:cstheme="minorBidi"/>
          <w:lang w:val="sq-AL"/>
        </w:rPr>
        <w:t xml:space="preserve"> e mbrojtjes së të hetuarit dhe jo në </w:t>
      </w:r>
      <w:r w:rsidRPr="006871FF">
        <w:rPr>
          <w:rFonts w:ascii="Georgia" w:hAnsi="Georgia" w:cstheme="minorBidi"/>
          <w:i/>
          <w:lang w:val="sq-AL"/>
        </w:rPr>
        <w:t>mbrojtjen</w:t>
      </w:r>
      <w:r w:rsidRPr="006871FF">
        <w:rPr>
          <w:rFonts w:ascii="Georgia" w:hAnsi="Georgia" w:cstheme="minorBidi"/>
          <w:lang w:val="sq-AL"/>
        </w:rPr>
        <w:t xml:space="preserve"> e të drejtave dhe interesave të ligjshme të tij, objekt i mbrojtjes së avokatit profesionist.  Por gjithsesi, prokurori megjithëse drejtohet në mundësinë e dënimit të të hetuarit, pikërisht nën ndikimin e pozicionit të tij objektiv, nën petkun e respektimit të mbrojtjes së të hetuarit, ai nuk mund të shpërfillë ato të dhëna që japin dije për situata që janë në favor të të hetuarit, për çka dhe të hetojë për verifikimin e tyre duke i dhënë hetimeve të tillë drejtim që arrin ti konservojnë ato.  Kështu në raste ekstreme verifikimi i fakteve a rrethanave të favorshme të të hetuarit që dhe mund ta shkarkojnë atë nga dyshimi, bën të shëndetshëm vetë veprimtarinë hetimore, duke u drejtuar tashmë në identifikim të një tjetër personi e kështu në hetime objektive.  Si situatë tipike e hetimit në verifikim të rrethanave në favor të të hetuarit mund të përmendet pretendimi i alibisë së të hetuarit, pretendim i cili, sepse është fakt apo rrethanë në favor të të hetuarit, detyron prokurorin të hetojë në verifikim të saj.</w:t>
      </w:r>
    </w:p>
    <w:p w:rsidR="00232AEA" w:rsidRPr="006871FF" w:rsidRDefault="00232AEA" w:rsidP="00BF3273">
      <w:pPr>
        <w:pStyle w:val="NoSpacing"/>
        <w:ind w:firstLine="567"/>
        <w:jc w:val="both"/>
        <w:rPr>
          <w:rFonts w:ascii="Georgia" w:hAnsi="Georgia" w:cstheme="minorBidi"/>
          <w:lang w:val="sq-AL"/>
        </w:rPr>
      </w:pPr>
      <w:r w:rsidRPr="006871FF">
        <w:rPr>
          <w:rFonts w:ascii="Georgia" w:hAnsi="Georgia" w:cstheme="minorBidi"/>
          <w:lang w:val="sq-AL"/>
        </w:rPr>
        <w:t xml:space="preserve">Ndërkohë duhet të evidentohet se jo me çdo mënyrë një drejtim i tillë i duhet dhënë hetimeve, pra jo çdo kërkesë e mbrojtjes së të pandehurit mund të justifikojë shpenzimin e energjive në kërkim të të dhënave që favorizojnë pozicionin e të hetuarit.  Rëndësia efektive e </w:t>
      </w:r>
      <w:r w:rsidRPr="006871FF">
        <w:rPr>
          <w:rFonts w:ascii="Georgia" w:hAnsi="Georgia" w:cstheme="minorBidi"/>
          <w:lang w:val="sq-AL"/>
        </w:rPr>
        <w:lastRenderedPageBreak/>
        <w:t>tyre përcakton dhe qëndrimin e prokurorit, duke evidentuar se jo absolutisht provat mund të futen në gjykim vetëm nëpërmjet veprimtarisë së prokurorit në hetimet paraprake, sepse një tjetër mundësi e përfitimit të tyre është edhe ajo e ‘sigurimit të provës’ në kushtet e nenit 316 të Kpp, e shfrytëzueshme edhe për të hetuarin apo mbrojtësin e tij, në kushtet e urgjencës apo të pamundësisë për tu përsëritur.</w:t>
      </w:r>
    </w:p>
    <w:p w:rsidR="00ED5777" w:rsidRPr="00ED3304" w:rsidRDefault="00232AEA" w:rsidP="00ED3304">
      <w:pPr>
        <w:pStyle w:val="NoSpacing"/>
        <w:ind w:firstLine="567"/>
        <w:jc w:val="both"/>
        <w:rPr>
          <w:rFonts w:ascii="Georgia" w:hAnsi="Georgia" w:cstheme="minorBidi"/>
          <w:lang w:val="sq-AL"/>
        </w:rPr>
      </w:pPr>
      <w:r w:rsidRPr="006871FF">
        <w:rPr>
          <w:rFonts w:ascii="Georgia" w:hAnsi="Georgia" w:cstheme="minorBidi"/>
          <w:lang w:val="sq-AL"/>
        </w:rPr>
        <w:t>Pushteti absolut i prokurorit jo vetëm bie mbi hetimet paraprake, por edhe shtrihet në të gjithë territorin e Republikës, pa njohur kufij territorial të rretheve gjyqësore.  Ai nuk është i penguar që vetë të përmbushë të gjitha veprimet e nevojshme në një rreth tjetër (§3, neni 304 Kpp).  Mbetet në vlerësimin e matur të tij mundësia e delegimit të veprimeve të veçanta, sipas kompetencës lëndore përkatëse, prokurorit’ pranë gjykatës së rrethit tjetër gjyqësor, për të cilin din se në kushtet e ngutjes apo të shkaqeve të rëndësishme, si vetë ai, kryen më tej me iniciativë, çdo veprim të domosdoshëm për qëllimet e hetimit (§3, neni 304 Kpp).  Në fakt disiplinimi ‘sipas kompetencës lëndore përkatëse’, merr të mirëqenë shpërndarje në lëndë edhe të gjykatave të Posaçme e pranë tyre prokurorëve të tillë, siç në fakt nuk është i organizuar sistemi gjyqësor.  Për këtë mbetet të delegohen përmbushja e veprimeve sipas kompetencës territoriale, duke dalë në pah dhe pamundësia e delegimit të tyre nga prokurori i Prokurorisë së Posaçme sepse të tilla në rrethet e tjera nuk ka.</w:t>
      </w:r>
    </w:p>
    <w:p w:rsidR="00CA431F" w:rsidRPr="007824BD" w:rsidRDefault="00741E82" w:rsidP="007824BD">
      <w:pPr>
        <w:pStyle w:val="NoSpacing"/>
        <w:jc w:val="center"/>
        <w:rPr>
          <w:rFonts w:ascii="Georgia" w:hAnsi="Georgia" w:cstheme="minorBidi"/>
          <w:b/>
          <w:lang w:val="sq-AL"/>
        </w:rPr>
      </w:pPr>
      <w:r w:rsidRPr="007824BD">
        <w:rPr>
          <w:rFonts w:ascii="Georgia" w:hAnsi="Georgia" w:cstheme="minorBidi"/>
          <w:b/>
          <w:lang w:val="sq-AL"/>
        </w:rPr>
        <w:t>Veprimtaria  me  Iniciative  e</w:t>
      </w:r>
      <w:r w:rsidR="00CA431F" w:rsidRPr="007824BD">
        <w:rPr>
          <w:rFonts w:ascii="Georgia" w:hAnsi="Georgia" w:cstheme="minorBidi"/>
          <w:b/>
          <w:lang w:val="sq-AL"/>
        </w:rPr>
        <w:t xml:space="preserve">  Pol.gjyq.</w:t>
      </w:r>
    </w:p>
    <w:p w:rsidR="00CA431F" w:rsidRPr="006871FF" w:rsidRDefault="00CA431F" w:rsidP="00275B16">
      <w:pPr>
        <w:pStyle w:val="NoSpacing"/>
        <w:jc w:val="center"/>
        <w:rPr>
          <w:rFonts w:ascii="Georgia" w:hAnsi="Georgia" w:cstheme="minorBidi"/>
          <w:b/>
          <w:lang w:val="sq-AL"/>
        </w:rPr>
      </w:pPr>
      <w:r w:rsidRPr="006871FF">
        <w:rPr>
          <w:rFonts w:ascii="Georgia" w:hAnsi="Georgia" w:cstheme="minorBidi"/>
          <w:b/>
          <w:lang w:val="sq-AL"/>
        </w:rPr>
        <w:t>Përgjithësisht</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t>Përcaktimi i funksionit (neni 30 Kpp) dhe përcaktimi si organ që zhvillon hetimet paraprake (§1, neni 277 Kpp), e individualizon Pol.gjyq. si një subjekt të veçantë të procedimit penal, kryesisht në fazën e parë të tij.  Individualizimi dhe veçantia e këtij subjekti, më tej shoqërohet edhe me përcaktimin e ushtrimit të funksioneve të saj me iniciativën e vet, duke i dhënë për këtë një autonomi të qartë dhe të padyshimtë përkundrejt prokurorit, titullar i hetimeve paraprake dhe i ndjekjes penale.  Gjithsesi është fjala për autonomi të ushtrimit të funksionit hulumtues dhe jo për pavarësi të tij, kjo sepse në përfundim të hetimeve të nevojshme Pol.gjyq., në asnjë rast nuk mund të ngrejë në emër të saj dhe pa vlerësimin e prokurorit, një akuzë penale në gjykatë.  Siç është vërejtur hetimet zhvillohen në lidhje me ushtrimin e ndjekjes penale dhe zhvillimi i tyre jashtë këtij qëllimi formohen si situatë persekutimi – apo shqip të përndjekjes – për personin mbi të cilin bien.</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t xml:space="preserve">Mbi bazën e funksionit të ngarkuar nga ligji, cilësisë së organit dhe autonomisë së përcaktuar, Pol.gjyq. i përmbush ato në ushtrim të veprimeve hetimore me </w:t>
      </w:r>
      <w:r w:rsidRPr="006871FF">
        <w:rPr>
          <w:rFonts w:ascii="Georgia" w:hAnsi="Georgia" w:cstheme="minorBidi"/>
          <w:i/>
          <w:lang w:val="sq-AL"/>
        </w:rPr>
        <w:t>iniciativën</w:t>
      </w:r>
      <w:r w:rsidRPr="006871FF">
        <w:rPr>
          <w:rFonts w:ascii="Georgia" w:hAnsi="Georgia" w:cstheme="minorBidi"/>
          <w:lang w:val="sq-AL"/>
        </w:rPr>
        <w:t xml:space="preserve"> e saj dhe me </w:t>
      </w:r>
      <w:r w:rsidRPr="006871FF">
        <w:rPr>
          <w:rFonts w:ascii="Georgia" w:hAnsi="Georgia" w:cstheme="minorBidi"/>
          <w:i/>
          <w:lang w:val="sq-AL"/>
        </w:rPr>
        <w:t>urdhër</w:t>
      </w:r>
      <w:r w:rsidRPr="006871FF">
        <w:rPr>
          <w:rFonts w:ascii="Georgia" w:hAnsi="Georgia" w:cstheme="minorBidi"/>
          <w:lang w:val="sq-AL"/>
        </w:rPr>
        <w:t xml:space="preserve"> apo </w:t>
      </w:r>
      <w:r w:rsidRPr="006871FF">
        <w:rPr>
          <w:rFonts w:ascii="Georgia" w:hAnsi="Georgia" w:cstheme="minorBidi"/>
          <w:i/>
          <w:lang w:val="sq-AL"/>
        </w:rPr>
        <w:t>delegim</w:t>
      </w:r>
      <w:r w:rsidRPr="006871FF">
        <w:rPr>
          <w:rFonts w:ascii="Georgia" w:hAnsi="Georgia" w:cstheme="minorBidi"/>
          <w:lang w:val="sq-AL"/>
        </w:rPr>
        <w:t xml:space="preserve"> të prokurorit.  Kështu ndërsa iniciativa e saj është shprehje e autonomisë, urdhërimi apo delegimi është shprehje e varësisë së saj.</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t xml:space="preserve">Si një organ që procedon në fazën e hetimit paraprak autonom dhe i drejtuar nga prokurori, Pol.gjyq. mund të kryejë të gjitha veprimet </w:t>
      </w:r>
      <w:r w:rsidRPr="006871FF">
        <w:rPr>
          <w:rFonts w:ascii="Georgia" w:hAnsi="Georgia" w:cstheme="minorBidi"/>
          <w:i/>
          <w:lang w:val="sq-AL"/>
        </w:rPr>
        <w:t>tipike</w:t>
      </w:r>
      <w:r w:rsidRPr="006871FF">
        <w:rPr>
          <w:rFonts w:ascii="Georgia" w:hAnsi="Georgia" w:cstheme="minorBidi"/>
          <w:lang w:val="sq-AL"/>
        </w:rPr>
        <w:t xml:space="preserve"> e taksativisht të përcaktuara nga ligji, si për kërkimin e provës (neni 198 – 226 Kpp) e për marrjen e saj (§1, neni 151 Kpp), për shembull ‘ballafaqimi’ (neni 169 Kpp), ‘njohjet’ (neni 171 Kpp), ‘eksperimenti’ (neni 176 Kpp) apo ‘provat materiale’ (neni 187 Kpp), ashtu dhe të kryejë të gjitha veprimet për kërkimin e identifikimin e burimit të provës dhe marrjen e tij, për shembull ‘marrja e të dhënave’ (neni 297 Kpp), nga pmtrrdqh, nga palët private dhe nga të bashkëpandehurit, ‘</w:t>
      </w:r>
      <w:r w:rsidRPr="006871FF">
        <w:rPr>
          <w:rFonts w:ascii="Georgia" w:hAnsi="Georgia" w:cstheme="minorBidi"/>
          <w:bCs/>
          <w:lang w:val="sq-AL"/>
        </w:rPr>
        <w:t xml:space="preserve">të dhëna mbi personin ndaj të cilit zhvillohen hetimet’ (neni 296 Kpp), siç dhe ‘caktimi i ekspertit’ (§3, neni 294 Kpp), eksperti.  </w:t>
      </w:r>
      <w:r w:rsidRPr="006871FF">
        <w:rPr>
          <w:rFonts w:ascii="Georgia" w:hAnsi="Georgia" w:cstheme="minorBidi"/>
          <w:lang w:val="sq-AL"/>
        </w:rPr>
        <w:t xml:space="preserve">Madje edhe më herët ajo mund të përmbushë edhe ‘arrestin në flagrancë’ (neni 251 Kpp) si dhe të gjitha detyrimet e rrjedhura prej tij (neni 255 Kpp) ashtu siç dhe ‘ndalimin’ në raste të ngutshme (§2, neni 253 Kpp).  Po ashtu ajo mund të kryejë edhe të gjitha veprimet </w:t>
      </w:r>
      <w:r w:rsidRPr="006871FF">
        <w:rPr>
          <w:rFonts w:ascii="Georgia" w:hAnsi="Georgia" w:cstheme="minorBidi"/>
          <w:i/>
          <w:lang w:val="sq-AL"/>
        </w:rPr>
        <w:t>a-tipike</w:t>
      </w:r>
      <w:r w:rsidRPr="006871FF">
        <w:rPr>
          <w:rFonts w:ascii="Georgia" w:hAnsi="Georgia" w:cstheme="minorBidi"/>
          <w:lang w:val="sq-AL"/>
        </w:rPr>
        <w:t xml:space="preserve"> të papërcaktuara që i përkojnë kërkimit të provës së parregulluar nga ligji, të cilat në më të shumtën e rasteve, kërkojnë përdorimin e mjeteve të kërkimit të tyre, gjithashtu të parregulluara nga ligji, për shembull të dhënat e marra nga informatorët e Pol.gjyq., për të cilët normon dhe §5 §6 i nenit 160 të Kpp.</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t xml:space="preserve">Siç lehtë mund të evidentohet, çka është përmendur më sipër, është rregulluar nga ligjin procedural penal ende më parë se normimi i Kreut IV, Titullit VI, të Pjesës së Dytë, i cili në nenet 293-303 të Kpp – përjashtuar nenet 294/a, 294/b &amp; 294/c futur me ligjin nr.9187/2004 dhe 35/2017, të cilët parashikojnë veprimtarinë e Pol.gjyq. me delegim të domosdoshëm të prokurorit, – përveçse rregullon veprimtarinë procedurale penale në ritmin dhe vargun e saj, por dhe veçanërisht përcakton atë veprimtari të Pol.gjyq., të cilën, ajo </w:t>
      </w:r>
      <w:r w:rsidRPr="006871FF">
        <w:rPr>
          <w:rFonts w:ascii="Georgia" w:hAnsi="Georgia" w:cstheme="minorBidi"/>
          <w:lang w:val="sq-AL"/>
        </w:rPr>
        <w:lastRenderedPageBreak/>
        <w:t>mund ta përmbushë me ‘iniciativën e saj’ si përcaktim i kompetencave të caktuara (§1, neni 277 Kpp), në kuadrin e atributeve dhe autonomisë së këtij organi.  Për çka është e rëndësishme të dallohet se Pol.gjyq., ndërsa parimisht mund të përmbushë të gjitha veprimet e nevojshme të tipizuara apo jo të parashikuara në Pjesën e Parë të Kpp, ajo me iniciativën e saj, mund të përmbushë vetëm ato që Kreu IV, Titulli VI (përjashtuar nenet 294/a &amp; 294/b) normon.  Mbetet për këtë, që veprimtarinë tjetër – jashtë çka Kreu IV, Titulli VI normon, përfshirë nenet 294/a dhe 294/b të Kpp – Pol.gjyq. të mund ta përmbushë, sipas rastit, vetëm në kushtet e ‘urdhërimit’ apo ‘delegimit’ të prokurorit.</w:t>
      </w:r>
    </w:p>
    <w:p w:rsidR="00CA431F" w:rsidRPr="006871FF" w:rsidRDefault="00CA431F" w:rsidP="00275B16">
      <w:pPr>
        <w:pStyle w:val="NoSpacing"/>
        <w:jc w:val="center"/>
        <w:rPr>
          <w:rFonts w:ascii="Georgia" w:hAnsi="Georgia" w:cstheme="minorBidi"/>
          <w:b/>
          <w:lang w:val="sq-AL"/>
        </w:rPr>
      </w:pPr>
      <w:r w:rsidRPr="006871FF">
        <w:rPr>
          <w:rFonts w:ascii="Georgia" w:hAnsi="Georgia" w:cstheme="minorBidi"/>
          <w:b/>
          <w:lang w:val="sq-AL"/>
        </w:rPr>
        <w:t>‘Referimi’ i veprës penale tek prokurori</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t>E ndërthurur në vargun, ritmin dhe kompetencën e atribuuar, veprimtaria e Pol.gjyq. disiplinohet që në momentin e ‘marrjes së njoftimit për veprën penale’, me përdorimin e instrumentit të ‘referimit’ të saj tek prokurori, duke treguar kështu se edhe fillimi i veprimtarisë hulumtuese në fazën e hetimeve paraprake formohet dhe qëndron nën varësinë e detyrueshme të Pol.gjyq. nga prokurori.  Siç është përmendur të gjitha instrumentet e marrjes dijeni të veprës penale apo çdo lajm i veprës penale</w:t>
      </w:r>
      <w:r w:rsidRPr="006871FF">
        <w:rPr>
          <w:rFonts w:ascii="Georgia" w:hAnsi="Georgia" w:cstheme="minorBidi"/>
          <w:i/>
          <w:lang w:val="sq-AL"/>
        </w:rPr>
        <w:t>/notitia criminis</w:t>
      </w:r>
      <w:r w:rsidRPr="006871FF">
        <w:rPr>
          <w:rFonts w:ascii="Georgia" w:hAnsi="Georgia" w:cstheme="minorBidi"/>
          <w:lang w:val="sq-AL"/>
        </w:rPr>
        <w:t>, si ‘kallëzimi’ nga nëpunësit publik, ai nga personeli mjekësor, ai nga shtetasit apo ‘ankimi’ i të dëmtuarit penal, mund ti jepen apo të merren, përveçse nga prokurori, edhe nga Pol.gjyq..  Po ashtu në kuptim të përmbajtjes së nenit 287 të Kpp që disponon detyrimin e shënimit në regjistër të prokurorit, për çdo njoftim të veprës penale dhe në zbatim të detyrimit që ka Pol.gjyq. për referimin tek prokurori të njoftimit për një vepër penale, ligjvënësi ka përcaktuar, ndër të tjera, mjaft qartë, se regjistri i shënimit të veprave penale, apo ai për të cilin disiplinon neni 287 Kpp, qëndron pranë prokurorit.  Për çka, nuk ka ndonjë tjetër regjistër apo të barasvlershëm me të, i cili qëndron pranë organit të Pol.gjyq. edhe pse ai vetë është pritës i njoftimeve të veprës penale.  Rrjedhimisht, «me marrjen e njoftimit – si me iniciativën e vet ashtu dhe nga të tjerët (§1, neni 280 Kpp) – Pol.gjyq., pa vonesë, i referon prokurorit» (§1, neni 293 Kpp), i cili sepse e ka në funksionin e tij institucional drejtimin e hetimeve paraprake, është i detyruar të bëjë shënimin në regjistër të çdo njoftim të veprës penale «që i vjen – nga Pol.gjyq. apo të tjerët – ose që ka marrë me iniciativën e vet» (§1, neni 287 Kpp).</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t>Në vështrim të qëllimit që realizon dhe përmbajtjes që ka ‘referimi’ (§1, neni 293 Kpp) i Pol.gjyq. tek prokurori, ai formohet jo vetëm si instrument i detyrueshëm i komunikimit në kuadrin e ushtrimit të funksionit, por edhe si ‘kallëzim nga nëpunësi publik’ (neni 281 Kpp), siç i tillë është çdo pjesëtar i personelit të Pol.gjyq..  Rrjedhimisht, sepse është detyrim ligjor për pol.gjyq referimi a njoftimi i prokurorit pa vonesë (§1 &amp; 2, neni 293 Kpp), mosrespektimi i tij, luhatet nga si formë e shkeljes disiplinore e lehtë e mosveprimit të punonjësit të Pol.gjyq., që pas sjell zvarritje të procesit hetimor (shkronja ‘a’, §2, neni 14/a OFPGj) apo shkeljes disiplinore shumë të rëndë të mosveprimit në kundërshtim me dispozitat urdhëruese të Kpp, me pasoja për hetimin e çështjes (shkronja ‘ç’, §4, neni 14/a OFPGj), deri në përgjegjësi penale në formën e shpërdorimit të detyrës (neni 248 kPenal).</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t>Nga ana tjetër, jo vetëm qëndron detyrimi i Pol.gjyq. për të ‘referuar’ dijen e faktit kriminal tek prokurori, por dhe detyrimi që ai të jepet «[...] pa vonesë, por jo më vonë se 72 orë [...]» (§1, neni 293 Kpp), për ato vepra penale që nuk janë të rënda dhe të jepet ‘menjëherë’ me gojë, për ato vepra që të rënda janë, për çka dhe alarm shoqëror shkaktojnë (§2, neni 293 Kpp), pa u përjashtuar detyrimi i referimit me shkrim.  Përcaktimi në shprehjen ‘pa vonesë’ është i ndryshëm nga ai ‘menjëherë’ dhe përfshin kohën e nevojshme për të përpiluar në shkrim elementet thelbësore të faktit dhe elementet e tjera që janë mbledhur deri më atëherë (§1, neni 293 Kpp), duke vërejtur se në të, mund të përfshihet si koha e nevojshme e veprimtarisë penguese e ardhjes së pasojave të mëtejshme të veprës penale, ashtu dhe ajo e çdo veprimtarie që në funksion të Pol.gjyq. është dhe që urgjente paraqitet, siç për shembull mund të jetë ‘ndjekja aty për aty e autorit të prezumuar të veprës penale’.  Ndërsa përcaktimi i ‘menjëhershmërisë’ së referimit, përfshin ngushtësisht në maksimum, kohën e nevojshme për përpilimin me shkrim të veprimit dhe në minimum apo në alternativë, kohën që nevojitet për të realizuar lidhjen në dhënien e referimit me gojë dhe pa formalitete.  Nga çka kuptohet që kjo e fundit sidoqoftë duhet të realizohet njëkohësisht edhe gjatë përmbushjes së veprimtarisë penguese të ardhjes së pasojave të mëtejshme të veprës penale siç dhe të çdo veprimtarie që urgjente paraqitet.</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lastRenderedPageBreak/>
        <w:t>Në përmbajtjen e veprimit të referimit të veprës penale, qoftë ai me shkrim ashtu dhe ai me gojë, duhet të gjejë pasqyrim «[...] elementet thelbësore të faktit dhe elementet e tjera [...] burimet e provës dhe veprimet e kryera [...] dhe provat e marra [...]» (§1, neni 293 Kpp).  Po ashtu, nëse njihen, pra kur është e mundur, në të paraqiten apo tregohen edhe gjeneralitetet, banesa dhe çdo gjë që vlen për identifikimin e personit ndaj të cilit zhvillohen hetimet, siç dhe të atyre që janë në gjendje të tregojnë rrethanat e faktit, apo dhe  të personit të dëmtuar nga vepra penale, përveçse dita dhe ora në të cilën Pol.gjyq. ka marrë dijeni për veprën penale, pa neglizhuar dhe tregimin e ditës dhe orës në të cilën ka marrë dijeni për veprën penale që referon.</w:t>
      </w:r>
    </w:p>
    <w:p w:rsidR="00CA431F" w:rsidRPr="006871FF" w:rsidRDefault="00CA431F" w:rsidP="00741E82">
      <w:pPr>
        <w:pStyle w:val="NoSpacing"/>
        <w:ind w:firstLine="567"/>
        <w:jc w:val="both"/>
        <w:rPr>
          <w:rFonts w:ascii="Georgia" w:hAnsi="Georgia" w:cstheme="minorBidi"/>
          <w:lang w:val="sq-AL"/>
        </w:rPr>
      </w:pPr>
      <w:r w:rsidRPr="006871FF">
        <w:rPr>
          <w:rFonts w:ascii="Georgia" w:hAnsi="Georgia" w:cstheme="minorBidi"/>
          <w:lang w:val="sq-AL"/>
        </w:rPr>
        <w:t>Nga normimi se në veprimin e ‘referimit’ të veprës penale gjen vend tregimi i elementëve të tjerë ‘që janë mbledhur deri atëherë’, del në pah një</w:t>
      </w:r>
      <w:r w:rsidR="00741E82" w:rsidRPr="006871FF">
        <w:rPr>
          <w:rFonts w:ascii="Georgia" w:hAnsi="Georgia" w:cstheme="minorBidi"/>
          <w:lang w:val="sq-AL"/>
        </w:rPr>
        <w:t xml:space="preserve"> </w:t>
      </w:r>
      <w:r w:rsidRPr="006871FF">
        <w:rPr>
          <w:rFonts w:ascii="Georgia" w:hAnsi="Georgia" w:cstheme="minorBidi"/>
          <w:lang w:val="sq-AL"/>
        </w:rPr>
        <w:t xml:space="preserve">mundësi e spikatur e veprimtarisë së Pol.gjyq. e lidhur drejtpërdrejt me ushtrimin e funksionit me ‘iniciativën e saj’.  Kjo tregon se ndërmjet hapësirës kohore të ushtrimit të misionit të ‘policisë’, detyrës së parandalimit të veprave penale (shkronja ‘c’, §1, neni 17 PSh), në ruajtje të rendit dhe sigurisë publike (shkronja ‘b’, §1, neni 17 PSh), në mbrojtje të jetës, shëndetit, pronës publike dhe private (shkronja ‘a’, §1, neni 17 PSh), deri në momentin e përpilimit të veprimit të ‘referimit’ të veprës penale, me iniciativën e vet, Pol.gjyq. mund dhe/ose duhet të jetë e informuar edhe për ‘elementë të tjerë’, në të cilët përfshihen ata që bëjnë të mundur ‘identifikimin e personit ndaj të cilit zhvillohen hetimet, të personit të dëmtuar dhe të atyre që janë në gjendje të tregojnë rrethanat e faktit’.  Në kuptim të ‘identitetit personal’, nga ku përcaktimi i veçorive fizike të personit apo individualizimi i tij, si rregull, para ndjek përcaktimin e veçorive ligjore apo identifikimin, ky i fundit aktivizohet, pasi më parë është </w:t>
      </w:r>
      <w:r w:rsidRPr="006871FF">
        <w:rPr>
          <w:rFonts w:ascii="Georgia" w:hAnsi="Georgia" w:cstheme="minorBidi"/>
          <w:iCs/>
          <w:lang w:val="sq-AL"/>
        </w:rPr>
        <w:t xml:space="preserve">veçuar individi autor i mundshëm, i dëmtuar apo ai që është </w:t>
      </w:r>
      <w:r w:rsidRPr="006871FF">
        <w:rPr>
          <w:rFonts w:ascii="Georgia" w:hAnsi="Georgia" w:cstheme="minorBidi"/>
          <w:lang w:val="sq-AL"/>
        </w:rPr>
        <w:t>në gjendje të tregojnë rrethanat e faktit,</w:t>
      </w:r>
      <w:r w:rsidRPr="006871FF">
        <w:rPr>
          <w:rFonts w:ascii="Georgia" w:hAnsi="Georgia" w:cstheme="minorBidi"/>
          <w:iCs/>
          <w:lang w:val="sq-AL"/>
        </w:rPr>
        <w:t xml:space="preserve"> nga tërësia e njerëzve të tjerë, pikërisht nëpërmjet të dhënave që nxirren nga </w:t>
      </w:r>
      <w:r w:rsidRPr="006871FF">
        <w:rPr>
          <w:rFonts w:ascii="Georgia" w:hAnsi="Georgia" w:cstheme="minorBidi"/>
          <w:lang w:val="sq-AL"/>
        </w:rPr>
        <w:t>dijenia për veprën penale, të zhvilluara nëpërmjet veprimtarisë me iniciativë të Pol.gjyq..  Por gjithsesi, në këtë formulim të përmbajtjes së ‘referimit’ të veprës penale, legjislatori ka shmangur dukshëm mundësinë e Pol.gjyq. për të bërë vlerësime apo konkluzione – edhe pse jo rrallë ajo qahet për apati apo neglizhencë të prokurorit – duke treguar kështu se ajo nuk mund të orientojë prokurorin në përcaktimin e mundshëm të drejtimit të hetimeve, veçanërisht në fillimin e tyre, për çka dhe kalimin e qendrës së gravitetit të hetimeve paraprake në duart e prokurorit.</w:t>
      </w:r>
    </w:p>
    <w:p w:rsidR="00275B16" w:rsidRDefault="00275B16" w:rsidP="00275B16">
      <w:pPr>
        <w:pStyle w:val="NoSpacing"/>
        <w:jc w:val="center"/>
        <w:rPr>
          <w:rFonts w:ascii="Georgia" w:hAnsi="Georgia" w:cstheme="minorBidi"/>
          <w:b/>
          <w:lang w:val="sq-AL"/>
        </w:rPr>
      </w:pPr>
    </w:p>
    <w:p w:rsidR="00CA431F" w:rsidRPr="006871FF" w:rsidRDefault="00CA431F" w:rsidP="00275B16">
      <w:pPr>
        <w:pStyle w:val="NoSpacing"/>
        <w:jc w:val="center"/>
        <w:rPr>
          <w:rFonts w:ascii="Georgia" w:hAnsi="Georgia" w:cstheme="minorBidi"/>
          <w:lang w:val="sq-AL"/>
        </w:rPr>
      </w:pPr>
      <w:r w:rsidRPr="006871FF">
        <w:rPr>
          <w:rFonts w:ascii="Georgia" w:hAnsi="Georgia" w:cstheme="minorBidi"/>
          <w:b/>
          <w:lang w:val="sq-AL"/>
        </w:rPr>
        <w:t>Sigurimi i burimeve të provave</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t>Veprimtaria me iniciativë e Pol.gjyq. zhvillohet, si para kryerjes së veprës penale në kuadrin e ushtrimit të detyrës funksionale ‘parandalues’ të veprave penale (shkronja ‘b’, §1, neni 17 PSh) ashtu dhe në marrjen dijeni të veprës penale (neni 280 Kpp), pra ajo vazhdon dhe nuk ndërpritet edhe pas kryerjes së veprës penale.  Edhe pse prokurori, kur për shkak të mungesës së urdhërimeve apo delegimeve në adresë të pol.gjyq, nuk ka marrë konkretisht drejtimin e hetimeve, po ashtu në vazhdim dhe pa u ndërprerë në ushtrim të funksioneve, aktivizohet veprimtaria me iniciativë e Pol.gjyq. që konsiston ‘në kërkimin e autorëve të veprës penale, në kryerjen e hetimeve dhe grumbullimin e gjithçka që i shërben zbatimit të ligjit penal (§1, neni 30 Kpp), duke grumbulluar e fiksuar çdo element të vlefshëm për rindërtimin e faktit dhe për individualizimin e fajtorit, «edhe pas  referimit të veprës penale» (§1, neni 294 Kpp).  Mundësia e përmbushjes me iniciativë e veprimeve hetimore, edhe pas referimit të veprës penale tek prokurori, përveçse nuk lejon krijimin e vakumit, por tregon edhe mos varësinë tërësore të Pol.gjyq. nga urdhrat apo direktivat e prokurorit, për çka dhe autonominë e saj përkundrejt tij, qoftë edhe pse fillon të konfigurohet një lloj ‘paralelizmi’ i hetimeve.</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t xml:space="preserve">Në përmbushjen e këtyre detyrimeve që janë të përgjithshme, rrjedhur nga funksioni institucional i saj, më tej, veçanërisht ligjvënësi normon edhe drejtimet kryesore në të cilat Pol.gjyq. procedon si përkundrejt sendeve, vendeve dhe personave.  Veçanërisht ajo orientohet në kërkimin dhe fiksimin e sendeve dhe të gjurmëve të veprës penale, në ruajtjen e tyre, në ruajtjen e vendit të ngjarjes për aq kohë sa kjo gjë është e domosdoshme, domosdoshmëri e cila rrjedh dhe mban varësinë nga qëndrimi i prokurorit, për të marrë pjesë apo jo, drejtpërdrejtë dhe fizikisht në veprimet e para hetimore si dhe nga nevoja e </w:t>
      </w:r>
      <w:r w:rsidRPr="006871FF">
        <w:rPr>
          <w:rFonts w:ascii="Georgia" w:hAnsi="Georgia" w:cstheme="minorBidi"/>
          <w:lang w:val="sq-AL"/>
        </w:rPr>
        <w:lastRenderedPageBreak/>
        <w:t>marrjes së të dhënave apo rilevimet për sqarimet e mundshme nga studimet e specialistëve.  Po ashtu Pol.gjyq. drejton hetimin e saj në kërkimin dhe më pas në pyetjen e personave që janë në gjendje të tregojnë rrethanat e faktit (shkronja ‘b’, §1, neni 294 Kpp), që shërbejnë jo vetëm për rindërtimin e faktit kriminal apo individualizimin e fajtorit të mundshëm por edhe me qëllimin, sipas rastit, për të penguar ardhjen e pasojave të mëtejshme të veprës penale, apo për të shmangur lehtësirat e mundshme të kryerjes së veprave penale të tjera.</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t>Është interesante të vëzhgohet titulli i dispozitës që normon këto detyra të Pol.gjyq. i cili është emërtuar ‘Sigurimi i burimeve të provave’.  Po ti referohemi pikërisht këtij titullimi lehtësisht dilet në konkluzionin se, së paku të gjitha këto veprime të Pol.gjyq. të listuar në këtë dispozitë, qoftë edhe pse parimore, në fund të fundit janë vetëm ‘burime të provës’ apo thënë ndryshe origjina e vetë provës prej të cilës ajo rrjedh, çka Pol.gjyq. duhet ta sigurojë.  Kështu të dhënat e grumbulluara e të nevojshme për të arritur në përfundimin se është e nevojshme të bëhen rilevimet e mundshme, sigurisht shërbejnë si të tilla për vetë studimin apo krahasimin, që paraqitet si vetë qëllim i rilevimeve.  Por në vështrim të §1 të nenit 151 Kpp i cili normon se «gjatë hetimeve paraprake provat merren nga organi që procedon», nga ku Pol.gjyq. organ që procedon në hetimet paraprake është (§1, neni 277 Kpp), të tilla ato janë kur janë të papërsëritshme.  Të marra nga organi që procedon në hetimet e nevojshme paraprake – sepse kështu detyron dhe përcakton ligji – ato kanë forcën dhe vlerën e provës, përjashtuar këtu ato veprime, që për shkak se ligjvënësi i ka normuar si të detyrueshme për tu përmbushur gjatë gjykimit të themelit, mbeten po ashtu ‘burime të provës’.  Për çka mbetet ky emërtim, jo vetëm thjeshtë deklarativ, por edhe i papërputhur me tërësinë e normave të gjithë Kodit, pikërisht në përcaktimin e raportit të vlerës që ka burimi i provës me vetë provën.</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t>Por nuk mbaron këtu, e pandërprerë është veprimtaria me iniciativë e Pol.gjyq. edhe pas ndërhyrjes së prokurorit, duke kryer me iniciativë çdo veprim hetimor të nevojshëm dhe duke siguruar burime të reja të provës» (§2, neni 294 Kpp).  Nuk formon pengesë për Pol.gjyq. ‘ndërhyrja’ apo marrja në dorë konkretisht e drejtimit të hetimeve nga ana e prokurorit, për të përmbushur ajo njësoj veprime hetimore, të cilat nuk kanë nevojën e ‘delegimit’ nga ky i fundit.  Ligja i ngarkon asaj detyrimin ‘për të kryer’ veprimet hetimore të nevojshme edhe pse njëkohësisht prokurori ka urdhëruar ose deleguar veprime për tu përmbushur nga ajo.  Ky normim sigurisht që haptazi shpreh autonominë e Pol.gjyq. në ushtrimin e funksionit të saj hetimor me mundësi reale të ndërtimit të një hetimi gati të pavarur dhe paralel nga ai i prokurorit.  Por të shprehura në parametra ekonomik ato rezultojnë mjaft të shtrenjtë për buxhetin modest të këtyre dy organeve dhe në fund të fundit të pa justifikuara me rezultate cilësore, madje në mjaft raste si elementë të një shteti policor, i rrezikshëm për çdo demokraci.  Prandaj nuk duhet të kuptohet ky aktivitet i Pol.gjyq. veçse si përdorim i «pistave të tjera, kanal i dyfishtë i hetimeve»</w:t>
      </w:r>
      <w:r w:rsidRPr="006871FF">
        <w:rPr>
          <w:rStyle w:val="FootnoteReference"/>
          <w:rFonts w:ascii="Georgia" w:hAnsi="Georgia" w:cstheme="minorBidi"/>
          <w:lang w:val="sq-AL"/>
        </w:rPr>
        <w:footnoteReference w:id="4"/>
      </w:r>
      <w:r w:rsidRPr="006871FF">
        <w:rPr>
          <w:rFonts w:ascii="Georgia" w:hAnsi="Georgia" w:cstheme="minorBidi"/>
          <w:lang w:val="sq-AL"/>
        </w:rPr>
        <w:t xml:space="preserve"> që sidoqoftë puqen në të njëjtin drejtim të hetimeve dhe aspak në drejtime të kundërta e të papërputhura.</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t>Madje për të frenuar dhe ndaluar ekspansionin dhe pa përputhshmërinë e mundshme të veprimtarisë me iniciativë të Pol.gjyq., thënë ndryshe paralelizmin e hetimeve ndërmjet pol.gjyq dhe prokurorit, ligjvënësi me disiplinimin në ligjin organik të Pol.gjyq. n.8677/2000, në nenin 4 të të cilit parashikohet se «pol.gjyq. i ushtron funksionet e saj nën varësinë e prokurorit dhe drejtohet e kontrollohet prej tij» si dhe me disiplinimin e nenit 33 të Kpp, i cili parashikon përgjegjësinë ndaj prokurorit dhe njoftimin e rezultateve menjëherë atij, i jep në dorë prokurorit instrumentet e nevojshëm që të shmangë ‘çfarëdolloj prirje të paralelizmit’ të hetimeve nga ana e Pol.gjyq., qoftë dhe asaj të organizuar në ‘shërbimet’ pranë Drejtorisë së Përgjithshme të Policisë, të Drejtorisë së Policisë së Qarkut, Komisariatit apo Stacionit të Policisë së Shtetit.  Njohja nga ana e prokurorit, e çdo veprimi të Pol.gjyq. të përmbushur nga ajo me iniciativën e saj, i jep mundësinë atij të kontrollojë vazhdimisht ato dhe njëkohësisht të drejtojë hetimet, duke shmangur devijimet e mundshme në hetime paralele.  Nga ana tjetër, sepse mekanizmat e kontrollit të ushtrimit të funksionit të prokurorit rregullohen nga ligji organik e funksional, ai i ministrisë së drejtësisë dhe Kpp, nuk mund të shërbejë si bazë shmangie dhe paralelizmi të hetimeve nga ana e ‘shërbimit’ të Pol.gjyq., pretendimi i saj për apati apo neglizhencë të prokurorit.</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lastRenderedPageBreak/>
        <w:t>Më së fundi, pasi përcaktohen parimisht veprimet me iniciativë të Pol.gjyq. (shkronjat ‘a’, ‘b’, §1, neni 294 Kpp), për të mos lejuar shkëputje të veprimtarisë, normohet se Pol.gjyq. procedon «për kryerjen e veprimeve të caktuara në nenet vijuese» (shkronja ‘c’, §1, neni 294 Kpp).  Në vështrim të këtyre neneve mund të arrihet në konkluzionin se pikërisht zbatimi i tyre nuk jap mundësinë e përmbushjes së veprimeve a-tipike, duke gjendur kështu vend ato nën ushtrimin e funksionit të Pol.gjyq. në kuadrin e asaj që parimisht për Pol.gjyq. është normuar.</w:t>
      </w:r>
    </w:p>
    <w:p w:rsidR="00CA431F" w:rsidRPr="006871FF" w:rsidRDefault="00CA431F" w:rsidP="00741E82">
      <w:pPr>
        <w:pStyle w:val="NoSpacing"/>
        <w:ind w:firstLine="567"/>
        <w:jc w:val="both"/>
        <w:rPr>
          <w:rFonts w:ascii="Georgia" w:hAnsi="Georgia" w:cstheme="minorBidi"/>
          <w:lang w:val="sq-AL"/>
        </w:rPr>
      </w:pPr>
      <w:r w:rsidRPr="006871FF">
        <w:rPr>
          <w:rFonts w:ascii="Georgia" w:hAnsi="Georgia" w:cstheme="minorBidi"/>
          <w:lang w:val="sq-AL"/>
        </w:rPr>
        <w:t>Madje nuk vonon dhe menjëherë pas parashikimit të shkronjës ‘c’, në të njëjtin nen 294, në §3 disiplinohet mundësia e Pol.gjyq. që me iniciativën e vet të ‘caktojë ekspertë’, sigurisht atëherë «kur është i nevojshëm zhvillimi i kërkimeve ose marrja e të dhënave ose e vlerësimeve që kërkojnë njohuri të posaçme teknike, shkencore ose kulturore» (§1, neni 178 Kpp).  Më pas, sepse «eksperti [...] duhet të shprehë mendimin e tij në [...] seancë» gjyqësore (neni 366 Kpp), mendimi i tij i kualifikuar mbi objektin e përcaktuar nga Pol.gjyq., shërben, për këtë të fundit vërtet si burim prove, duke e siguruar atë në dispozicion të prokurorit, siç dhe vetë titulli i dispozitës së nenit 294 Kpp emërton.  Më tej, e njëjta dispozitë, sigurisht për të bërë të mundur zbatimin efektiv, parashikon dhe pamundësinë e ekspertit të caktuar nga Pol.gjyq. për të refuzuar detyrën e ngarkuar, çka do të thotë – pavarësisht se është jashtë objektit të trajtimit nga ana procedurale – dhe detyrim për përgjegjësi penale për këtë të fundit nëse e refuzon, si subjekt i mundshëm i nenit 310 të kPenal</w:t>
      </w:r>
      <w:r w:rsidR="00741E82" w:rsidRPr="006871FF">
        <w:rPr>
          <w:rFonts w:ascii="Georgia" w:hAnsi="Georgia" w:cstheme="minorBidi"/>
          <w:lang w:val="sq-AL"/>
        </w:rPr>
        <w:t xml:space="preserve"> </w:t>
      </w:r>
      <w:r w:rsidRPr="006871FF">
        <w:rPr>
          <w:rFonts w:ascii="Georgia" w:hAnsi="Georgia" w:cstheme="minorBidi"/>
          <w:lang w:val="sq-AL"/>
        </w:rPr>
        <w:t>dhe për çka ligjvënësi shpreson të jetë efektive përmbushja e detyrës nga ana e ekspertit.</w:t>
      </w:r>
    </w:p>
    <w:p w:rsidR="00275B16" w:rsidRDefault="00275B16" w:rsidP="00275B16">
      <w:pPr>
        <w:pStyle w:val="NoSpacing"/>
        <w:jc w:val="center"/>
        <w:rPr>
          <w:rFonts w:ascii="Georgia" w:hAnsi="Georgia" w:cstheme="minorBidi"/>
          <w:lang w:val="sq-AL"/>
        </w:rPr>
      </w:pPr>
    </w:p>
    <w:p w:rsidR="00CA431F" w:rsidRPr="006871FF" w:rsidRDefault="00CA431F" w:rsidP="00275B16">
      <w:pPr>
        <w:pStyle w:val="NoSpacing"/>
        <w:jc w:val="center"/>
        <w:rPr>
          <w:rFonts w:ascii="Georgia" w:hAnsi="Georgia" w:cstheme="minorBidi"/>
          <w:lang w:val="sq-AL"/>
        </w:rPr>
      </w:pPr>
      <w:r w:rsidRPr="006871FF">
        <w:rPr>
          <w:rFonts w:ascii="Georgia" w:hAnsi="Georgia" w:cstheme="minorBidi"/>
          <w:b/>
          <w:lang w:val="sq-AL"/>
        </w:rPr>
        <w:t>Identifikimi i të hetuarit</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t>Shkronja ‘c’ e §1, neni 294 Kpp, normon pas përcaktimit të drejtimeve dhe në përgjithësi të veprimtarisë së Pol.gjyq., kryerjen nga ajo, të «veprimeve të caktuara në nenet vijuese», duke vazhduar për këtë me identifikimin e personit ndaj të cilit zhvillohen hetimet dhe i personave të tjerë (neni 295 Kpp).  Duke rikujtuar se kusht, që një subjekt të marrë cilësinë e të pandehurit, është ekzistenca e tij si person fizik me identitet personal që mbart veçori fizike dhe ligjore të individit, identifikimi i personit ndaj të cilit zhvillohen hetimet përfshin procesin e përcaktimit të identitetit ligjor të personit që tashmë është përcaktuar në identitetin e tij fizik, pra përcaktimin e të dhënave personale, që vërtetojnë lindjen, ekzistencën, individualitetin e qytetarit, si dhe marrëdhëniet e tij me të tjerët.  Në këtë proces apo veprimtari të Pol.gjyq. ajo është e autorizuar që të përmbushë «[…] të gjitha veprimet e nevojshme […]» (§1, neni 295 Kpp), veprime që, sepse konsistojnë në përputhjen e veçorive ligjore të individit me ato fizike të tij, parimisht nuk janë veprime që mund të cenojnë integritetin e personit.  Por nuk parashikohet që Pol.gjyq. të kryejë ato veprime dhe sqarime të nevojshme, të cilat sepse janë të paparashikuara janë edhe të papërcaktuara nga ligjvënësi, që edhe në varësi të arritjeve shkencore, kërkojnë pjesëmarrje aktive të personit, duke nënkuptuar këtu edhe mundësinë e cenimit të integritetit fizik.</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t>Është e vërtetë se Nevoja dhe Vlera, «[...] nëse nuk dëmtohet shëndeti [...]» (§5, neni 201/a Kpp), ka përparësi ndaj pacenueshmërisë së integritetit fizik, duke u justifikuar kështu procedura mjekësore apo dhe marrja e kampionëve biologjikë, qoftë edhe pa vullnetin e personit.  Porse normimi se «kur identifikimi përfshin marrjen e kampionëve biologjikë, Pol.gjyq. procedon sipas nenit 201/a të këtij Kodi» (§3, neni 295 Kpp), do të thotë se ajo nevojën si të një procedurë mjekësore ashtu dhe të marrjes së kampionëve duhet t’ia përcjellë prokurorit i cili nëse e sheh po ashtu të nevojshme ja kërkon gjykatës të vendosë ‘marrjen – sipas rastit – me pëlqimin apo të detyrueshme të kampionëve biologjik (§5, neni 201/a Kpp), duke i kufizuar kështu iniciativa e Pol.gjyq. si nga fillimisht, vullneti e vlerësimi prokurori ashtu dhe ai i gjyqtarit.  Rrjedhimisht vetëm kështu bëhet e mundur, pikërisht nëpërmjet sqarimeve verifikuese si për shembull të ADN, përputhja në të njëjtin identitet personal të veçorive fizike dhe ligjore, pra të identifikimit të personit.</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t xml:space="preserve">Gjithashtu në ndihmë të një procesi apo veprimtarie të tillë, ligjvënësi po ashtu, lejon që Pol.gjyq. të mund të kryejë «rilevimet daktiloskopike, fotografike dhe antropometrike» (§2, neni 295 Kpp), duke i përfshirë edhe këto në ‘veprimet e nevojshme’ për identifikimin e personit.  Për këtë, duke ju referuar kuptimit të ‘rilevimit’ – si të tillë, të pa përcaktuar nga vetë Kpp – si një proces i pandarë i gjeometrisë përshkruese/diskriptive, që konsiston në </w:t>
      </w:r>
      <w:r w:rsidRPr="006871FF">
        <w:rPr>
          <w:rFonts w:ascii="Georgia" w:hAnsi="Georgia" w:cstheme="minorBidi"/>
          <w:lang w:val="sq-AL"/>
        </w:rPr>
        <w:lastRenderedPageBreak/>
        <w:t>paraqitjen dhe evidentimin, në një mbajtëse (letër) të objektit material, e cila vjen në dije/njohje nga eksperienca shoqërore/njerëzore, mund të thuhet se në të drejtën procedural penale, rilevimi përfaqëson tërësinë e veprimeve që arrijnë deri në paraqitjen në letër apo çfarëdolloj mbajtëse (për shembull, në procesverbal, fotografi apo planimetri), të vendit, sendeve dhe gjurmëve të veprës penale, e përmbushur nëpërmjet kërkimit, njohjes, fiksimit, grumbullimit dhe marrjes së të dhënave, me qëllim sqarimin, i përmbushur me studim, rindërtim, rivlerësimi apo krahasim.   Pastaj, në referim të llojit të objektit dhe shprehjes apo paraqitjes së rilevimit, janë përcaktuar dhe lloje të ndryshme të procesit të rilevimit nga të cilat kanë marrë dhe emërtimin, siç rilevimi përshkrues/diskriptiv, rilevimi planimetrik, rilevimi fotografik, që janë pjesë e veprimtarisë hetimore të Pol.gjyq. në vendngjarje, si dhe rilevimi daktiloskopik me objekt brazdat apo linjat e lëkurës së mollëzave të gishtërinjve, rilevimi antropometrik me objekt përmasat e trupit njerëzor, në tërësinë dhe në veçanti të përbërësve të tij, që së bashku me rilevimin fotografik, janë pjesë e veprimtarisë së saj në paraqitjen në letër të personit, në ndihmë të ‘identifikimit të atij ndaj të cilit zhvillohen hetimet’, të përmendura nga dispozita në fjalë.  Madje pikërisht nga një normim i tillë, rilevimet daktiloskopike, antropometrike dhe fotografike, përbëjnë bazën ligjore krahasuese në procesin e ‘identifikimit’ të personit, nga ku e ashtu quajtura ‘njohje me fotografi’, pasojë e kësaj veprimtarie, formohet si burim i provës i marrë pikërisht nga organi që procedon gjatë fazës së hetimeve paraprake.</w:t>
      </w:r>
    </w:p>
    <w:p w:rsidR="00CA431F" w:rsidRPr="006871FF" w:rsidRDefault="00CA431F" w:rsidP="00CA431F">
      <w:pPr>
        <w:pStyle w:val="NoSpacing"/>
        <w:ind w:firstLine="567"/>
        <w:jc w:val="both"/>
        <w:rPr>
          <w:rFonts w:ascii="Georgia" w:hAnsi="Georgia" w:cstheme="minorBidi"/>
          <w:iCs/>
          <w:lang w:val="sq-AL"/>
        </w:rPr>
      </w:pPr>
      <w:r w:rsidRPr="006871FF">
        <w:rPr>
          <w:rFonts w:ascii="Georgia" w:hAnsi="Georgia" w:cstheme="minorBidi"/>
          <w:lang w:val="sq-AL"/>
        </w:rPr>
        <w:t xml:space="preserve">Po ashtu në kuadrin e të njëjtit aktivitet identifikues të personit ndaj të cilit zhvillohen hetimet, ligjvënësi ka përcaktuar edhe të drejtën e Pol.gjyq. për të shoqëruar në zyrat e saj (§4, neni 295 Kpp) personin që refuzon të tregojë apo të japë dokumente identifikimi personal apo dyshohet se ato të treguara apo dhëna prej tij janë të rreme, e cila nënkupton pa mëdyshje ‘shoqërimin e detyrueshëm,  qoftë dhe pa vullnetin e të shoqëruarit.  Në një analizë të thjeshtë, duke marrë parasysh se identifikimi </w:t>
      </w:r>
      <w:r w:rsidRPr="006871FF">
        <w:rPr>
          <w:rFonts w:ascii="Georgia" w:hAnsi="Georgia" w:cstheme="minorBidi"/>
          <w:iCs/>
          <w:lang w:val="sq-AL"/>
        </w:rPr>
        <w:t xml:space="preserve">konsiston në përcaktimin e të dhënave të gjeneraliteteve, ‘shoqërimi’ i atij që tashmë është individualizuar, do të thotë veprimtari që synon në përputhjen në fakt, në një të vetëm të </w:t>
      </w:r>
      <w:r w:rsidRPr="006871FF">
        <w:rPr>
          <w:rFonts w:ascii="Georgia" w:hAnsi="Georgia" w:cstheme="minorBidi"/>
          <w:lang w:val="sq-AL"/>
        </w:rPr>
        <w:t>veçorive fizike dhe ligjore</w:t>
      </w:r>
      <w:r w:rsidRPr="006871FF">
        <w:rPr>
          <w:rFonts w:ascii="Georgia" w:hAnsi="Georgia" w:cstheme="minorBidi"/>
          <w:iCs/>
          <w:lang w:val="sq-AL"/>
        </w:rPr>
        <w:t xml:space="preserve"> apo në përcaktimin e identitetit personal.  Pastaj në vështrim </w:t>
      </w:r>
      <w:r w:rsidRPr="006871FF">
        <w:rPr>
          <w:rFonts w:ascii="Georgia" w:hAnsi="Georgia" w:cstheme="minorBidi"/>
          <w:lang w:val="sq-AL"/>
        </w:rPr>
        <w:t>të rasteve kur kjo e drejtë e Pol.gjyq. është funksionale</w:t>
      </w:r>
      <w:r w:rsidRPr="006871FF">
        <w:rPr>
          <w:rFonts w:ascii="Georgia" w:hAnsi="Georgia" w:cstheme="minorBidi"/>
          <w:iCs/>
          <w:lang w:val="sq-AL"/>
        </w:rPr>
        <w:t>, rezulton se ajo nxitet nga qëndrimi refuzues apo i gënjeshtër, nga ku për të shmangur dyshimet apo pasigurinë e mundshme, ajo detyrohet të aktivizojë pikërisht ‘në fakt’ individualizimin e personit ndaj të cilit zhvillohen hetimet.  Sigurisht sepse dyshimi dhe pasiguria qëndron përpara Pol.gjyq., ajo në një formë apo në një tjetër, provokon të dyshuarin të paraqesë gjeneralitetet.  Për çka, ‘shoqërimi në zyrat e Pol.gjyq.’ nuk mund të shërbejë, për këtë të fundit, si mjet i presionit për nxjerrjen e të dhënave nga ai që i dyshuar është dhe aq më tepër si izolim apo heqje e lirisë së tij.  Madje vetëm në këtë këndvështrim, e drejta e Pol.gjyq. për të ‘shoqëruar në zyrat e saj’ personin që dyshohet për kryerjen e një krimi, i shmanget cenimit apo kufizimit të së drejtës së lirisë së individit, sepse për ndryshe ajo formohet si cenim i tyre.</w:t>
      </w:r>
    </w:p>
    <w:p w:rsidR="00CA431F" w:rsidRPr="006871FF" w:rsidRDefault="00CA431F" w:rsidP="00E51CC3">
      <w:pPr>
        <w:pStyle w:val="NoSpacing"/>
        <w:ind w:firstLine="567"/>
        <w:jc w:val="both"/>
        <w:rPr>
          <w:rFonts w:ascii="Georgia" w:hAnsi="Georgia" w:cstheme="minorBidi"/>
          <w:iCs/>
          <w:lang w:val="sq-AL"/>
        </w:rPr>
      </w:pPr>
      <w:r w:rsidRPr="006871FF">
        <w:rPr>
          <w:rFonts w:ascii="Georgia" w:hAnsi="Georgia" w:cstheme="minorBidi"/>
          <w:iCs/>
          <w:lang w:val="sq-AL"/>
        </w:rPr>
        <w:t xml:space="preserve">Mbi këtë bazë, ligjvënësi ka kalkuluar se, pikërisht veprimtaria që synon në përputhje ‘në fakt’, në një të vetëm të </w:t>
      </w:r>
      <w:r w:rsidRPr="006871FF">
        <w:rPr>
          <w:rFonts w:ascii="Georgia" w:hAnsi="Georgia" w:cstheme="minorBidi"/>
          <w:lang w:val="sq-AL"/>
        </w:rPr>
        <w:t>veçorive fizike dhe ligjore</w:t>
      </w:r>
      <w:r w:rsidRPr="006871FF">
        <w:rPr>
          <w:rFonts w:ascii="Georgia" w:hAnsi="Georgia" w:cstheme="minorBidi"/>
          <w:iCs/>
          <w:lang w:val="sq-AL"/>
        </w:rPr>
        <w:t xml:space="preserve"> apo në përcaktimin e identitetit personal, përndryshe quajtur ‘identifikimi i personit’, në praninë fizike të personit të shoqëruar në zyrat e Pol.gjyq. është e mundshme për tu përmbushur brenda një afati optimal prej 12 orësh.  Për çka dhe qëndrimi i personit  në  zyrat  e  Pol.gjyq.  përfundon  si  në momentin e</w:t>
      </w:r>
      <w:r w:rsidR="00E51CC3" w:rsidRPr="006871FF">
        <w:rPr>
          <w:rFonts w:ascii="Georgia" w:hAnsi="Georgia" w:cstheme="minorBidi"/>
          <w:iCs/>
          <w:lang w:val="sq-AL"/>
        </w:rPr>
        <w:t xml:space="preserve"> </w:t>
      </w:r>
      <w:r w:rsidRPr="006871FF">
        <w:rPr>
          <w:rFonts w:ascii="Georgia" w:hAnsi="Georgia" w:cstheme="minorBidi"/>
          <w:iCs/>
          <w:lang w:val="sq-AL"/>
        </w:rPr>
        <w:t>përmbushjes së kësaj veprimtarie përpara 12 orëve ashtu dhe me kalimin e afatit prej 12 orësh edhe pse kjo veprimtari mund të mos ketë përfunduar apo nuk ka dhënë rezultatet e kërkuara.  Jo gjithnjë është i nevojshëm kalimi i afatit prej 12 orë, sepse ai mund të jetë edhe më i ngushtë, në ato raste kur veprimtaria identifikuese është përmbushur e gjitha, pa pritur kështu edhe kalimin e 12 orëve, nën shoqërinë e Pol.gjyq., e cila, në mungesë të shkakut ligjor që e justifikon, konfigurohet si vepër penale që prek lirinë e shtetasve (neni 250 kPenal).</w:t>
      </w:r>
    </w:p>
    <w:p w:rsidR="00CA431F" w:rsidRPr="006871FF" w:rsidRDefault="00CA431F" w:rsidP="00CA431F">
      <w:pPr>
        <w:pStyle w:val="NoSpacing"/>
        <w:ind w:firstLine="567"/>
        <w:jc w:val="both"/>
        <w:rPr>
          <w:rFonts w:ascii="Georgia" w:hAnsi="Georgia" w:cstheme="minorBidi"/>
          <w:iCs/>
          <w:lang w:val="sq-AL"/>
        </w:rPr>
      </w:pPr>
      <w:r w:rsidRPr="006871FF">
        <w:rPr>
          <w:rFonts w:ascii="Georgia" w:hAnsi="Georgia" w:cstheme="minorBidi"/>
          <w:iCs/>
          <w:lang w:val="sq-AL"/>
        </w:rPr>
        <w:t>Në ruajtje dhe kontroll – sigurisht jo vetëm të veprimtarisë së Pol.gjyq. – si dhe sepse është fjala veçanërisht apo sidoqoftë për kufizim të lirisë së individit, çka detyron marrjen e masave për shmangien e abuzimit, «</w:t>
      </w:r>
      <w:r w:rsidRPr="006871FF">
        <w:rPr>
          <w:rFonts w:ascii="Georgia" w:hAnsi="Georgia" w:cstheme="minorBidi"/>
          <w:lang w:val="sq-AL"/>
        </w:rPr>
        <w:t>për shoqërimin dhe lirimin vihet menjëherë në dijeni prokurori</w:t>
      </w:r>
      <w:r w:rsidRPr="006871FF">
        <w:rPr>
          <w:rFonts w:ascii="Georgia" w:hAnsi="Georgia" w:cstheme="minorBidi"/>
          <w:iCs/>
          <w:lang w:val="sq-AL"/>
        </w:rPr>
        <w:t xml:space="preserve">» (§5, neni 295 Kpp) përkatës i hetimeve paraprake.  Kjo i jep të drejtën atij që të vendosë, sidoqoftë, edhe nëse është apo jo oportune që një operacion i tillë i Pol.gjyq. të </w:t>
      </w:r>
      <w:r w:rsidRPr="006871FF">
        <w:rPr>
          <w:rFonts w:ascii="Georgia" w:hAnsi="Georgia" w:cstheme="minorBidi"/>
          <w:iCs/>
          <w:lang w:val="sq-AL"/>
        </w:rPr>
        <w:lastRenderedPageBreak/>
        <w:t xml:space="preserve">vazhdojë apo dhe sa të vazhdojë ai.  Por jo vetëm për shoqërimin apo lirimin e atij që është shoqëruar por edhe për «[...] </w:t>
      </w:r>
      <w:r w:rsidRPr="006871FF">
        <w:rPr>
          <w:rFonts w:ascii="Georgia" w:hAnsi="Georgia" w:cstheme="minorBidi"/>
          <w:lang w:val="sq-AL"/>
        </w:rPr>
        <w:t>çdo veprim të kryer – në favor të identifikimit të personit që zhvillohen hetime apo dhe personave të tjerë, siç rilevimet daktiloskopike, fotografike dhe antropometrike apo dhe rezultatet e përfituara nga procedura mjekësore dhe kampionët biologjik – vihet menjëherë në dijeni prokurori</w:t>
      </w:r>
      <w:r w:rsidRPr="006871FF">
        <w:rPr>
          <w:rFonts w:ascii="Georgia" w:hAnsi="Georgia" w:cstheme="minorBidi"/>
          <w:iCs/>
          <w:lang w:val="sq-AL"/>
        </w:rPr>
        <w:t>» (§5, neni 295 Kpp).  Rrjedhimisht, sepse njoftohet menjëherë për shoqërimin, prokurori është në dijeni të veprimtarisë identifikuese të Pol.gjyq. dhe për këtë edhe në kontroll të saj, çka do të thotë se është i azhurnuar si me arritjen e objektivit ashtu dhe të kohës së përmbushjes së tij, duke i dhënë mundësi atij jo vetëm të ketë njohje për veprimet me iniciativë të Pol.gjyq. që lidhen me hetimin konkret, por dhe të ndërhyjë në afatin ekstrem, për shmangien e shpërdorimit të detyrës në shkelje të lirisë së individit.</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iCs/>
          <w:lang w:val="sq-AL"/>
        </w:rPr>
        <w:t>Kështu është e qartë se ‘shoqërimi në zyrat e Pol.gjyq.’ për identifikimin e të hetuarit është krejt i ndryshëm nga ‘shoqërimi i detyrueshëm’ i parashikuar nga neni 164 Kpp, i cili përveçse aktivizohet për shkaqe të ndryshme, por edhe urdhërohet detyrimisht në alternativë nga prokurori apo gjykata.  Po ashtu ai është i ndryshëm edhe nga ‘ndalimi i të dyshuarit për një krim’ i parashikuar nga neni 253 Kpp, sepse ky i fundit aktivizohet, siç është përmendur, në rast se ndaj të dyshuarit për një krim</w:t>
      </w:r>
      <w:r w:rsidRPr="006871FF">
        <w:rPr>
          <w:rFonts w:ascii="Georgia" w:hAnsi="Georgia" w:cstheme="minorBidi"/>
          <w:lang w:val="sq-AL"/>
        </w:rPr>
        <w:t xml:space="preserve"> ekzistojnë shkaqe të bazuara për të menduar se ka rrezik ikjeje, si dhe sepse nuk është e mundur, për shkak të gjendjes së ngutshme, të pritet urdhri i prokurorit, i cili si i tillë mbart të gjitha karakteristikat e kufizimit të lirisë së individit.</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t>Përveç kësaj dhe gjithnjë në hapësirën e individualizimit të fajtorit (§1, neni 294 Kpp), sepse edhe «personat juridikë, me përjashtim të institucioneve shtetërore, përgjigjen penalisht për vepra penale, të kryera në emër ose në dobi të tyre nga organet dhe përfaqësuesit e tyre» (§1, neni 45 kPenal), gjithashtu Pol.gjyq. kryen veprimtari të identifikimit të tyre.</w:t>
      </w:r>
    </w:p>
    <w:p w:rsidR="00275B16" w:rsidRDefault="00275B16" w:rsidP="00275B16">
      <w:pPr>
        <w:pStyle w:val="NoSpacing"/>
        <w:tabs>
          <w:tab w:val="left" w:pos="0"/>
        </w:tabs>
        <w:jc w:val="center"/>
        <w:rPr>
          <w:rFonts w:ascii="Georgia" w:hAnsi="Georgia" w:cstheme="minorBidi"/>
          <w:b/>
          <w:lang w:val="sq-AL"/>
        </w:rPr>
      </w:pPr>
    </w:p>
    <w:p w:rsidR="00CA431F" w:rsidRPr="00275B16" w:rsidRDefault="00CA431F" w:rsidP="00275B16">
      <w:pPr>
        <w:pStyle w:val="NoSpacing"/>
        <w:tabs>
          <w:tab w:val="left" w:pos="0"/>
        </w:tabs>
        <w:jc w:val="center"/>
        <w:rPr>
          <w:rFonts w:ascii="Georgia" w:hAnsi="Georgia" w:cstheme="minorBidi"/>
          <w:b/>
          <w:lang w:val="sq-AL"/>
        </w:rPr>
      </w:pPr>
      <w:r w:rsidRPr="006871FF">
        <w:rPr>
          <w:rFonts w:ascii="Georgia" w:hAnsi="Georgia" w:cstheme="minorBidi"/>
          <w:b/>
          <w:lang w:val="sq-AL"/>
        </w:rPr>
        <w:t>‘Marrja e të dhënave’ prej personit</w:t>
      </w:r>
      <w:r w:rsidR="00275B16">
        <w:rPr>
          <w:rFonts w:ascii="Georgia" w:hAnsi="Georgia" w:cstheme="minorBidi"/>
          <w:b/>
          <w:lang w:val="sq-AL"/>
        </w:rPr>
        <w:t xml:space="preserve"> </w:t>
      </w:r>
      <w:r w:rsidRPr="006871FF">
        <w:rPr>
          <w:rFonts w:ascii="Georgia" w:hAnsi="Georgia" w:cstheme="minorBidi"/>
          <w:b/>
          <w:lang w:val="sq-AL"/>
        </w:rPr>
        <w:t>ndaj të cilit zhvillohen hetime</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t>Për shkak të interesit për të mos humbur të dhënat që kanë burim të tyre të hetuarin, disiplinohen të dhënat mbi personin ndaj të cilit zhvillohen hetimet (neni 296 Kpp), në kuptim të veprimtarisë së Pol.gjyq. me iniciativën e vet.  Në dy paragrafët e parë normohet veprimtaria marrëse e të dhënave, pra përfitimi i tyre nëpërmjet nxitjes që shkakton pyetja e ngritur nga Pol.gjyq. përkundrejt të hetuarit, e cila po ashtu nënkupton dhe vetë iniciativën e kësaj të fundit në përmbushjen e veprimtarisë/aktit.  Ndërsa në §3 normohet përfitimi i ‘deklarimeve’ të të hetuarit, në kuptimin që, ato janë të pa nxitura nga pyetja e Pol.gjyq., e cila për këtë është pasive dhe në pritje, çka do të thotë se deklarimet e këtij lloji janë të lira pa asnjë shtrëngim dhe sidoqoftë të vetëdijshme.  Në këtë kuptim, ndërsa ‘të dhënat’ e përfituar nga nxitja nëpërmjet pyetjes, drejtohen edhe në ngarkim të të hetuarit, përkundrazi ‘deklarimet’ e pa nxitura drejtohen në shkarkim të tij, si formë e vetëmbrojtjes së të hetuarit.</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t>Mbi bazën e këtij dallimi, ligjvënësi parimisht ka përcaktuar se ‘të dhënat’ nga personi ndaj të cilit zhvillohen hetimet, merren duke i dhënë atij paraprakisht letrën e të drejtave dhe në praninë e detyrueshme të mbrojtësit të tij (§1, neni 296 Kpp), që për këtë janë të garantuara, sepse prania e mbrojtësit siguron përfitimin e tyre jashtë përdorimit, qoftë «[...] me pëlqimin e të pandehurit, – me – metoda ose teknika për të ndikuar mbi lirinë e vullnetit ose për të ndryshuar aftësinë e kujtesës e të vlerësimit të fakteve» (§2, neni 38 Kpp).  Ndërkohë sepse është një veprim vetëmbrojtje, ligjvënësi deklarimin e pa nxitur të të hetuarit e ka normuar si të mundshëm për tu përmbushur edhe pa praninë e mbrojtësit, duke shmangur kështu përmbushjen e çfarëdolloj kushti (§3, neni 296 Kpp), porse gjithsesi nën situatën se ato «[...] nuk mund të përbëjnë objekt dëshmie» (neni 36 Kpp).</w:t>
      </w:r>
    </w:p>
    <w:p w:rsidR="00CA431F" w:rsidRPr="006871FF" w:rsidRDefault="00CA431F" w:rsidP="00CA431F">
      <w:pPr>
        <w:pStyle w:val="NoSpacing"/>
        <w:ind w:firstLine="567"/>
        <w:jc w:val="both"/>
        <w:rPr>
          <w:rFonts w:ascii="Georgia" w:hAnsi="Georgia" w:cstheme="minorBidi"/>
          <w:lang w:val="sq-AL"/>
        </w:rPr>
      </w:pPr>
      <w:r w:rsidRPr="006871FF">
        <w:rPr>
          <w:rFonts w:ascii="Georgia" w:hAnsi="Georgia" w:cstheme="minorBidi"/>
          <w:lang w:val="sq-AL"/>
        </w:rPr>
        <w:t>Kur është rasti i personit të arrestuar në flagrancë ose të ndaluar, respektohet detyrimi i prokurorit për të marrë ai në pyetje të hetuarin (§1, neni 296 Kpp).</w:t>
      </w:r>
    </w:p>
    <w:p w:rsidR="00275B16" w:rsidRDefault="00CA431F" w:rsidP="00275B16">
      <w:pPr>
        <w:pStyle w:val="NoSpacing"/>
        <w:ind w:firstLine="567"/>
        <w:jc w:val="both"/>
        <w:rPr>
          <w:rFonts w:ascii="Georgia" w:hAnsi="Georgia" w:cstheme="minorBidi"/>
          <w:lang w:val="sq-AL"/>
        </w:rPr>
      </w:pPr>
      <w:r w:rsidRPr="006871FF">
        <w:rPr>
          <w:rFonts w:ascii="Georgia" w:hAnsi="Georgia" w:cstheme="minorBidi"/>
          <w:lang w:val="sq-AL"/>
        </w:rPr>
        <w:t xml:space="preserve">Dallimi vjen e reflektohet edhe në §2 të neni 296 të Kpp, nga ku ‘të dhënat’, qoftë edhe pa praninë e mbrojtësit, mund të merren nëse janë ‘të nevojshme për vazhdimin e hetimeve’, në kushtin e ‘ndodhjes në vendin e ngjarjes’ ose ‘menjëherë pas konstatimit të faktit’, duke sakrifikuar të drejtën e heshtjes/mos përgjigjes së të hetuarit në çfarëdo lloj statusi qoftë ai, i lirë apo i arrestuar.  Porse për të mos dobësuar garancitë mbrojtëse dhe për ti imunizuar </w:t>
      </w:r>
      <w:r w:rsidRPr="006871FF">
        <w:rPr>
          <w:rFonts w:ascii="Georgia" w:hAnsi="Georgia" w:cstheme="minorBidi"/>
          <w:lang w:val="sq-AL"/>
        </w:rPr>
        <w:lastRenderedPageBreak/>
        <w:t>deklarimet e të hetuarin nga deformimet e mundshme, është parashikuar një përjashtim nga dokumentimi apo materializimi i detyrueshëm i veprimeve të Pol.gjyq. (neni 303 Kpp), sepse «[...] të dhënat e marra nuk dokumentohen dhe ndalohet përdorimi i tyre si provë» (§2, neni 296 Kpp).  Është i ndryshëm rregullimi i deklarimeve të të hetuarit të dhëna në prani të mbrojtësit (§1, neni 296 Kpp) dhe i deklarimeve të dhëna duke u paraqitur vetë (§3, neni 296 Kpp), të cilat parimisht njësoj siç edhe ato të bëra pa praninë e mbrojtësit nuk përdoren (§2, neni 296 Kpp).  Ndryshimi qëndron në atë se përjashtimisht të parat si deklarime të bëra më parë nga i hetuari dhe që ndodhen në fashikullin e prokurorit, përdoren «për të kundërshtuar, tërësisht ose pjesërisht, përmbajtjen e deklarimeve të të pandehurit [...]» (§1, neni 370 Kpp) të bëra në seancë gjyqësore apo të lexohen ato «kur i pandehuri është deklaruar në mungesë ose nuk është paraqitur ose refuzon të përgjigjet [...]» (§2, neni 370 Kpp) siç po ashtu dhe të</w:t>
      </w:r>
      <w:r w:rsidR="00E51CC3" w:rsidRPr="006871FF">
        <w:rPr>
          <w:rFonts w:ascii="Georgia" w:hAnsi="Georgia" w:cstheme="minorBidi"/>
          <w:lang w:val="sq-AL"/>
        </w:rPr>
        <w:t xml:space="preserve"> </w:t>
      </w:r>
      <w:r w:rsidRPr="006871FF">
        <w:rPr>
          <w:rFonts w:ascii="Georgia" w:hAnsi="Georgia" w:cstheme="minorBidi"/>
          <w:lang w:val="sq-AL"/>
        </w:rPr>
        <w:t>dytat përdoren «[...] kur kundërshtohet përmbajtja e deklarimit të bërë para gjykatës» (§3, neni 296 Kpp).</w:t>
      </w:r>
    </w:p>
    <w:p w:rsidR="00E51CC3" w:rsidRPr="006871FF" w:rsidRDefault="00E51CC3" w:rsidP="00275B16">
      <w:pPr>
        <w:pStyle w:val="NoSpacing"/>
        <w:jc w:val="center"/>
        <w:rPr>
          <w:rFonts w:ascii="Georgia" w:hAnsi="Georgia" w:cstheme="minorBidi"/>
          <w:lang w:val="sq-AL"/>
        </w:rPr>
      </w:pPr>
      <w:r w:rsidRPr="006871FF">
        <w:rPr>
          <w:rFonts w:ascii="Georgia" w:hAnsi="Georgia" w:cstheme="minorBidi"/>
          <w:b/>
          <w:lang w:val="sq-AL"/>
        </w:rPr>
        <w:t>Kontrolli me iniciativë i Pol.gjyq.</w:t>
      </w:r>
    </w:p>
    <w:p w:rsidR="00E51CC3" w:rsidRPr="006871FF" w:rsidRDefault="00E51CC3" w:rsidP="00E51CC3">
      <w:pPr>
        <w:pStyle w:val="NoSpacing"/>
        <w:ind w:firstLine="567"/>
        <w:jc w:val="both"/>
        <w:rPr>
          <w:rFonts w:ascii="Georgia" w:hAnsi="Georgia" w:cstheme="minorBidi"/>
          <w:lang w:val="sq-AL"/>
        </w:rPr>
      </w:pPr>
      <w:r w:rsidRPr="006871FF">
        <w:rPr>
          <w:rFonts w:ascii="Georgia" w:hAnsi="Georgia" w:cstheme="minorBidi"/>
          <w:lang w:val="sq-AL"/>
        </w:rPr>
        <w:t>Një tjetër veprim në fazën e hetimit paraprak, madje jo vetëm, i Pol.gjyq. i lejuar për tu kryer me iniciativë nga vetë ajo, është edhe ‘kontrolli’ (neni 298 Kpp).  Është normuar një lejim i tillë, duke marrë parasysh se ‘kontrolli’, edhe pse është një mjet i kërkimit të provës, në kushte të zakonshme të hetimit, sepse kufizon lirinë personale dhe cenon privatësinë, urdhërohet nga gjykata (§1, neni 202 Kpp) e cila «[...] mund të veprojë vetë ose të urdhërojë që veprimi të kryhet nga o.p.gj., të caktuar në vendimin e kontrollit» (§2, neni 202 Kpp).  Është përmendur më sipër se, përgjatë hetimeve paraprake, kontrolli, si dhe mjetet e tjera të kërkimit të provave, sepse synon rezultate të sinqerta dhe jo të stisura, është një veprim befasues.  Ndërsa, po ashtu është normuar në §3 të nenit 202 Kpp, se përjashtimisht kontrolli kryhet në mungesë të një urdhri të gjykatës, atëherë kur është rasti i flagrancës ose i ndjekjes së personit që është duke ikur (§3, neni 202 Kpp), normim i cili përputhet edhe me çka normon §1, neni 298 Kpp.  Kështu kontrolli – përfshirë edhe rastet e parashikuara nga §2 neni 298 Kpp – formohet jo vetëm si një mjet i kërkimit të provës, por edhe si një mjet i kërkimit të personit, kur duhet, përveçse të neutralizohet rrezikshmëria e autorit të veprës penale, të kryhet një ndalim, të ekzekutohet një urdhër i masës së sigurimit të arrestit ose një vendim dënimi me burgim.</w:t>
      </w:r>
    </w:p>
    <w:p w:rsidR="00E51CC3" w:rsidRPr="006871FF" w:rsidRDefault="00E51CC3" w:rsidP="00E51CC3">
      <w:pPr>
        <w:pStyle w:val="NoSpacing"/>
        <w:ind w:firstLine="567"/>
        <w:jc w:val="both"/>
        <w:rPr>
          <w:rFonts w:ascii="Georgia" w:hAnsi="Georgia" w:cstheme="minorBidi"/>
          <w:lang w:val="sq-AL"/>
        </w:rPr>
      </w:pPr>
      <w:r w:rsidRPr="006871FF">
        <w:rPr>
          <w:rFonts w:ascii="Georgia" w:hAnsi="Georgia" w:cstheme="minorBidi"/>
          <w:lang w:val="sq-AL"/>
        </w:rPr>
        <w:t xml:space="preserve">Paragrafi 1, neni 298 Kpp, për më tepër se paragrafi 3, neni 202 Kpp, normon se nuk mjafton vetëm situata e flagrancës apo ndjekja e personit që është duke ikur, por kërkohet gjithashtu të ekzistojnë «[...] arsye të bazuara që bëjnë të mendohet se mbi personin gjenden të fshehura sende ose gjurmë të veprës penale, të cilat mund të zhduken a të humbasin ose që këto sende a gjurmë ndodhen në një vend të caktuar ose atje ku gjendet personi nën hetim ose i ikur».  Dhe me të vërtetë, kërkohet tamam ekzistenca e mundësisë së fshehjes, zhdukjes apo e humbjes, situata të cilat në të kundërt do të thonë: manipulim e stisje e rezultatit apo mos arritje pozitive e rezultatit, siç i kundërt është qëllimi i kontrollit.  Për këtë veçanërisht është normuar edhe për të dhënat origjinale kompjuterike ku detyrimisht «[...] Pol.gjyq. merr të gjitha masat teknike, me qëllim sigurimin dhe ruajtjen [...] dhe mbrojtjen e tyre nga humbja, dëmtimi dhe tjetërsimi, si dhe kryen kontrollimet e mëtejshme të të dhënave kompjuterike, kur ka shkaqe të arsyeshme se ato përmbajnë informacion, programe apo gjurmë të veprës penale» (§3, neni 298 Kpp), që në fakt nuk është gjë tjetër veçse i njëjti detyrim i saj «për kërkimin dhe fiksimin e sendeve dhe të gjurmëve të veprës penale, si dhe për ruajtjen e tyre dhe të vendit të ngjarjes për aq kohë sa kjo gjë është e domosdoshme» (shkronja ‘a’, §1, neni 294 Kpp).  Kështu situata e urgjencës apo e ngutjes, është e mirëqenë në rastin e flagrancës dhe të ndjekjes së personit që është duke ikur, prezumim ligjor ky i nxjerrë nga §3 i nenit 202 Kpp, çka justifikon dhe mungesën e përpilimit të veprimit që urdhëron kontrollin, i cili formohet si një i vetëm pjesë integrale në procesverbalin që pasqyron veprimtarinë kontrolluese.  Ndërsa arsye e bazuar të mendohet – se mbi personin apo në vendin a lokalin fshihen apo gjenden sende a gjurmë të veprës penale – mund të konsiderohet frika se autori i veprës penale të kapur në flagrancë apo autori i arratisjes, që gjithsesi kanë prirje të fshihen vetë dhe të fshehin situatën e tyre të paligjshmërisë, po ashtu kanë prirjen të fshehin sende ose gjurmë, të cilat njoftojnë apo japin dijeni mbi këtë situatë komprometuese të tyre.  Gjithsesi, ndërsa vetëm tregimi i situatës së flagrancës dhe ikjes së </w:t>
      </w:r>
      <w:r w:rsidRPr="006871FF">
        <w:rPr>
          <w:rFonts w:ascii="Georgia" w:hAnsi="Georgia" w:cstheme="minorBidi"/>
          <w:lang w:val="sq-AL"/>
        </w:rPr>
        <w:lastRenderedPageBreak/>
        <w:t>të arratisurit është i mjaftueshëm për të justifikuar urgjencën apo ngutjen, për të justifikuar veprimin e saj të kontrollit personal apo të vendit/lokalit, Pol.gjyq. duhet të parashtrojë ‘arsyen’ përse ajo dyshon se mbi personin apo në vendin a lokalin fshihen apo gjenden sende a gjurmë të veprës penale, arsye e cila bëhet objekt i kontrollit të ‘proces verbalit të veprimeve të Pol.gjyq.’ nga prokurori, në ushtrim të funksionit të tij të vleftësimit të tyre (§3, neni 298 Kpp).</w:t>
      </w:r>
    </w:p>
    <w:p w:rsidR="00E51CC3" w:rsidRPr="006871FF" w:rsidRDefault="00E51CC3" w:rsidP="00E51CC3">
      <w:pPr>
        <w:pStyle w:val="NoSpacing"/>
        <w:ind w:firstLine="567"/>
        <w:jc w:val="both"/>
        <w:rPr>
          <w:rFonts w:ascii="Georgia" w:hAnsi="Georgia" w:cstheme="minorBidi"/>
          <w:lang w:val="sq-AL"/>
        </w:rPr>
      </w:pPr>
      <w:r w:rsidRPr="006871FF">
        <w:rPr>
          <w:rFonts w:ascii="Georgia" w:hAnsi="Georgia" w:cstheme="minorBidi"/>
          <w:lang w:val="sq-AL"/>
        </w:rPr>
        <w:t>Si subjekte mbi të cilët bie kontrolli personal apo i vendit/lokalit, janë si personi që në gjendje të ‘flagrancës’ kapet ashtu dhe personi që është duke ‘ikur’.  Për çka, i pari, që është i padërguar në gjykim dhe i padënuar, ende i ‘hetuar’ është dhe i dyti që është i ‘larguar nga vendi i qëndrimit të detyrueshëm’ (neni 323 kPenal), ende i ‘ikur’ quhet.</w:t>
      </w:r>
    </w:p>
    <w:p w:rsidR="00E51CC3" w:rsidRPr="006871FF" w:rsidRDefault="00E51CC3" w:rsidP="00E51CC3">
      <w:pPr>
        <w:pStyle w:val="NoSpacing"/>
        <w:ind w:firstLine="567"/>
        <w:jc w:val="both"/>
        <w:rPr>
          <w:rFonts w:ascii="Georgia" w:hAnsi="Georgia" w:cstheme="minorBidi"/>
          <w:lang w:val="sq-AL"/>
        </w:rPr>
      </w:pPr>
      <w:r w:rsidRPr="006871FF">
        <w:rPr>
          <w:rFonts w:ascii="Georgia" w:hAnsi="Georgia" w:cstheme="minorBidi"/>
          <w:lang w:val="sq-AL"/>
        </w:rPr>
        <w:t>Paragrafi 2 i nenit 298 Kpp parashikon edhe tre subjekte të tjerë, për shkak të të cilëve mund të aktivizohet ‘kontrolli’ personal mbi ta, apo i vendit/lokalit në të cilin ata ndodhen.  Të tillë parashikohen i ‘ndaluari’ që, sipas urdhrit të prokurorit apo iniciativës, kapet/izolohet sepse ‘dyshohet për një krim’ dhe ‘ka shkaqe të bazuara për të menduar se ka rrezik ikjeje’ (neni 253 Kpp), i ‘hetuari’ ndaj të cilit nga gjykata është urdhëruar masa e sigurimit e ‘arrestit’ në burg, shtëpi apo shtrim i përkohshëm në spital psikiatrik (neni 246 Kpp), si dhe i ‘dënuari’ ndaj të cilit duhet të ekzekutohet një vendim dënimi penal (§1, neni 464 Kpp &amp; §1, neni 16 EVP).  Por jo automatikisht, Pol.gjyq. me iniciativën e saj është e lejuar që të ushtrojë kontroll mbi ta apo në vendin apo lokalin që ata ndodhen në momentin e ekzekutimit të titullit që kufizon lirinë e tyre.  Ndërsa flagranca apo arratisuri/ikuri e merrnin të mirëqenë urgjencën apo ngutjen dhe për këtë edhe pamundësinë e nxjerrjes së urdhrit të kontrollit dhe e panevojshme për ta provuar atë, ekzekutimi i ndalimit, i urdhrit të arrestit apo vendimit të burgimit, nuk mbajnë prezumimin e urgjencës apo ngutjes, çka vetëm në se ka arsye të veçanta të saj, justifikojnë kontrollim me iniciativë të Pol.gjyq. në këto raste.  Po ashtu, parashtron si kusht për Pol.gjyq. edhe prania e ‘kushteve të treguara në §1 të nenit 298 Kpp (§2, neni 298 Kpp) në të cilat përfshihen, në rastin e kontrollit personal, arsyet e bazuar që bëjnë të mendohet se mbi personin gjenden të fshehura sende apo gjurmë të veprës penale të cilat mund të zhduken a të humbasin dhe për rastin e kontrollit të lokalit/vendit, kur po ashtu ka arsye të bazuara që të bëjnë të mendosh se ‘sende a gjurmë ndodhen në një vend të caktuar ose atje ku gjendet personi i ‘ndaluar’, apo ai ndaj të cilit ekzekutohet urdhri i masës së sigurimit të ‘arrestit’ apo vendimi i formës së prerë të dënimit me burgim.  Për çka, si arsyet e veçanta të urgjencës ashtu dhe arsyet e bazuara që bëjnë të mendohet se fshihen, zhduken apo humbasin sende apo gjurmë të veprës penale, duhet të jenë pjesë integrale e proces verbalit në të cilin tregohen veprimet e kontrollit të Pol.gjyq., objekt i vleftësimit të prokurorit.</w:t>
      </w:r>
    </w:p>
    <w:p w:rsidR="00E51CC3" w:rsidRPr="006871FF" w:rsidRDefault="00E51CC3" w:rsidP="00E51CC3">
      <w:pPr>
        <w:pStyle w:val="NoSpacing"/>
        <w:ind w:firstLine="567"/>
        <w:jc w:val="both"/>
        <w:rPr>
          <w:rFonts w:ascii="Georgia" w:hAnsi="Georgia" w:cstheme="minorBidi"/>
          <w:lang w:val="sq-AL"/>
        </w:rPr>
      </w:pPr>
      <w:r w:rsidRPr="006871FF">
        <w:rPr>
          <w:rFonts w:ascii="Georgia" w:hAnsi="Georgia" w:cstheme="minorBidi"/>
          <w:lang w:val="sq-AL"/>
        </w:rPr>
        <w:t>Ndërsa në kushte dhe mbi subjekte në mënyrë taksative dhe tipike ligjvënësi përjashtimisht ka normuar mundësinë e iniciativës së Pol.gjyq. për të kryer ‘kontroll’ personal dhe të vendit/lokalit, duke shmangur kështu autoritetin e gjykatësit për të urdhëruar atë, si për rastin kur kontrolli është urdhëruar nga ky i fundit ashtu dhe për rastin kur si pasojë e iniciativës së vet Pol.gjyq. ai është aktivizuar, ekzekutimi i tij nuk mund të bëhet nga agjentët e Pol.gjyq., duke u lejuar kështu vetëm oficeri i Pol.gjyq. për të vlerësuar rastin dhe subjektin e duhur.  Kështu si neni 202 i Kpp, që parashikon aktivizimin e o.p.gj., nëse vetë gjykatësi nuk operon në kontrollin e emetuar prej tij, ashtu dhe neni 289 Kpp, normojnë të drejtën e vetëm o.p.gj. për të kryer kontrollin e personit apo vendit/lokalit, duke hequr çdo mundësi, që një veprimi i tillë, i cili cenon lirinë personale dhe privatësinë, të përmbushet nga agjenti i Pol.gjyq..</w:t>
      </w:r>
    </w:p>
    <w:p w:rsidR="00E51CC3" w:rsidRPr="006871FF" w:rsidRDefault="00E51CC3" w:rsidP="00E51CC3">
      <w:pPr>
        <w:pStyle w:val="NoSpacing"/>
        <w:ind w:firstLine="567"/>
        <w:jc w:val="both"/>
        <w:rPr>
          <w:rFonts w:ascii="Georgia" w:hAnsi="Georgia" w:cstheme="minorBidi"/>
          <w:lang w:val="sq-AL"/>
        </w:rPr>
      </w:pPr>
      <w:r w:rsidRPr="006871FF">
        <w:rPr>
          <w:rFonts w:ascii="Georgia" w:hAnsi="Georgia" w:cstheme="minorBidi"/>
          <w:lang w:val="sq-AL"/>
        </w:rPr>
        <w:t>Sipas nenit 206 të Kpp, koha e lejuar për të përmbushur kontrollin e banesës ose të një vendi të mbyllur ngjitur me të, urdhëruar nga gjykatësi, është ajo ndërmjet orës shtatë dhe orës njëzet të çdo dite të javës.  E njëjtë normohet ajo edhe për rastin ekzekutimit të kontrollit të banesës me iniciativë të Pol.gjyq.(§2, neni 298 Kpp), duke shtuar gjithashtu se përjashtimisht ai mund të ekzekutohet edhe jashtë kësaj kohe me kushtin kur «vonesa mund të dëmtojë përfundimin e suksesshëm të hetimeve» (§2, neni 298 Kpp).</w:t>
      </w:r>
    </w:p>
    <w:p w:rsidR="00E51CC3" w:rsidRPr="006871FF" w:rsidRDefault="00E51CC3" w:rsidP="00E51CC3">
      <w:pPr>
        <w:pStyle w:val="NoSpacing"/>
        <w:ind w:firstLine="567"/>
        <w:jc w:val="both"/>
        <w:rPr>
          <w:rFonts w:ascii="Georgia" w:hAnsi="Georgia" w:cstheme="minorBidi"/>
          <w:lang w:val="sq-AL"/>
        </w:rPr>
      </w:pPr>
      <w:r w:rsidRPr="006871FF">
        <w:rPr>
          <w:rFonts w:ascii="Georgia" w:hAnsi="Georgia" w:cstheme="minorBidi"/>
          <w:lang w:val="sq-AL"/>
        </w:rPr>
        <w:t xml:space="preserve">Duke dashur të qartësohet kushti, mund të thuhet se ‘vonesa’ i përket kontrollit, i cili sukses të tij ka gjetjen e sendeve dhe gjurmëve të veprës penale dhe për shkak të lidhjes së tij me hetimet paraprake, suksesi i tij është në raport të drejtë dhe me suksesin e tyre.  Për këtë, </w:t>
      </w:r>
      <w:r w:rsidRPr="006871FF">
        <w:rPr>
          <w:rFonts w:ascii="Georgia" w:hAnsi="Georgia" w:cstheme="minorBidi"/>
          <w:lang w:val="sq-AL"/>
        </w:rPr>
        <w:lastRenderedPageBreak/>
        <w:t>kushti mund të thjeshtohet në shprehjen nëse vonesa mund të dëmtojë gjetjen e sendeve apo gjurmëve të veprës penale.  Por nga ana tjetër është përmendur se vetë kontrolli me iniciativë i Pol.gjyq. përmbushet kur ekziston urgjenca apo ngutja që do të thotë se veprimi i kontrollit nuk mund të vonohet, sepse ajo shkakton pamundësinë e gjetjes së sendeve apo gjurmëve të veprës penale, pra për të shmangur manipulimin apo stisje të rezultatit të një kontrolli të mëvonshëm dhe në fund të fundit për të shmangur rezultatin negativ të tij.  Pra nëse arrihet në konkluzionin se është rast ‘flagrance e veprës penale’ apo ‘ndjekje e personit të arratisur’ (§1, neni 298 Kpp) që përmban prezumimin ligjor të urgjencës apo ngutjes, si pamundësi e nxjerrjes së urdhrit të gjykatës për kontrollin (§3, neni 202 Kpp), apo provohet ekzistenca e ‘arsyeve të veçanta të urgjencës’ (§2, neni 298 Kpp), njësoj është arritur në konkluzionin se vonesa e kontrollit mund të dëmtojë gjetjen e tyre, pra që ajo mund të sjellë përfundimin e pasuksesshëm të kontrollit.  Kështu, vetë përmbushja korrekte – sipas normës së nenit 298 të Kpp – e kontrollit me iniciativë të Pol.gjyq. përmban prezumimin edhe të vonesës që dëmton përfundimin e suksesshëm të hetimeve.  Kjo do të thotë se Pol.gjyq. jo vetëm mund të kryejë ‘kontrollin’ në zbatim të nenit 298 të Kpp, por njëkohësisht edhe ta përmbushë atë jashtë orarit të parashikuar nga neni 206 i Kpp.  Në të kundërt, nëse nuk ekzistojnë kushtet e ushtrimit të kontrollit nga Pol.gjyq. me iniciativë të saj, ahere është e qartë se nuk ekziston as mundësia që nga vonesa të dëmtohet rezultati i suksesshëm i hetimeve.</w:t>
      </w:r>
    </w:p>
    <w:p w:rsidR="00E51CC3" w:rsidRPr="006871FF" w:rsidRDefault="00E51CC3" w:rsidP="00E51CC3">
      <w:pPr>
        <w:pStyle w:val="NoSpacing"/>
        <w:ind w:firstLine="567"/>
        <w:jc w:val="both"/>
        <w:rPr>
          <w:rFonts w:ascii="Georgia" w:hAnsi="Georgia" w:cstheme="minorBidi"/>
          <w:lang w:val="sq-AL"/>
        </w:rPr>
      </w:pPr>
      <w:r w:rsidRPr="006871FF">
        <w:rPr>
          <w:rFonts w:ascii="Georgia" w:hAnsi="Georgia" w:cstheme="minorBidi"/>
          <w:lang w:val="sq-AL"/>
        </w:rPr>
        <w:t>Veprimet e Pol.gjyq. në përmbushjen e kontrollit duhet ti përmbahen normimit të §1 dhe 2 të nenit 298 Kpp, siç edhe mbrojtësi është i lejuar që të marrë pjesë apo të asistojë/i pranishëm, por pa të drejtën që të lajmërohet më parë (§1, neni 302 Kpp), megjithëse nëse këto norma nuk përmbushen, asnjë rast i pavlefshmërisë nuk formohet për procedimin konkret, përveçse përgjegjësia disiplinore për o.p.gj. e vlerësueshme nga prokurori, apo në ekstrem edhe përgjegjësia penale (neni 250 apo 254 kPenal).  Po ashtu edhe pse normohet e drejta e mbrojtësit për të asistuar në veprimet e kontrollit (neni 302 Kpp), për shkak se ajo nuk parashikohet si e ‘detyrueshme’ (shkronja ‘c’, §1, neni 128/a Kpp), mos prania e tij nuk formon asnjë pavlefshmëri absolute, si edhe sepse nuk parashikohet shprehimisht për rastin konkret, po ashtu ajo nuk formon as pavlefshmëri relative.</w:t>
      </w:r>
    </w:p>
    <w:p w:rsidR="00E51CC3" w:rsidRPr="006871FF" w:rsidRDefault="00E51CC3" w:rsidP="00E51CC3">
      <w:pPr>
        <w:pStyle w:val="NoSpacing"/>
        <w:ind w:firstLine="567"/>
        <w:jc w:val="both"/>
        <w:rPr>
          <w:rFonts w:ascii="Georgia" w:hAnsi="Georgia" w:cstheme="minorBidi"/>
          <w:lang w:val="sq-AL"/>
        </w:rPr>
      </w:pPr>
      <w:r w:rsidRPr="006871FF">
        <w:rPr>
          <w:rFonts w:ascii="Georgia" w:hAnsi="Georgia" w:cstheme="minorBidi"/>
          <w:lang w:val="sq-AL"/>
        </w:rPr>
        <w:t>Disiplinohet se «procesverbali i veprimeve të kryera i dërgohet pa vonesë, por jo më vonë se dyzet e tetë orë, prokurorit të vendit ku është bërë kontrolli [...]» (§4, neni 298 Kpp) i cili brenda dyzet e tetë orëve vlerëson apo jo sekuestron sipas procedurës së parashikuar nga neni 301 Kpp (§4, neni 298 Kpp).  Në të përfshihen si shkaqet që bënë të mundur apo nxitën veprimet e kontrollit ashtu dhe rezultatet e tij, që do të thotë dhe gjetjen e sendeve apo gjurmëve të veprës penale.</w:t>
      </w:r>
    </w:p>
    <w:p w:rsidR="00E51CC3" w:rsidRPr="006871FF" w:rsidRDefault="00E51CC3" w:rsidP="00E51CC3">
      <w:pPr>
        <w:pStyle w:val="NoSpacing"/>
        <w:ind w:firstLine="567"/>
        <w:jc w:val="both"/>
        <w:rPr>
          <w:rFonts w:ascii="Georgia" w:hAnsi="Georgia" w:cstheme="minorBidi"/>
          <w:lang w:val="sq-AL"/>
        </w:rPr>
      </w:pPr>
      <w:r w:rsidRPr="006871FF">
        <w:rPr>
          <w:rFonts w:ascii="Georgia" w:hAnsi="Georgia" w:cstheme="minorBidi"/>
          <w:lang w:val="sq-AL"/>
        </w:rPr>
        <w:t>Duke qenë parimisht një veprimi i papërsëritshëm, kontrolli nëpërmjet shprehjes së tij në procesverbalin përkatës, përfshihet në veprimet që i bashkëngjiten fashikullit gjyqësor (shkronja ‘b’, §1, neni 332 Kpp) dhe sepse kryesisht nga gjykata, veprimet që përmbahen në fashikullin për shqyrtimin gjyqësor ‘lexohen’ (§1, neni 369 Kpp), njohja që jep ai, veçanërisht mbi personin, vendin dhe kohën, kanë vlerë të plotë provuese.</w:t>
      </w:r>
    </w:p>
    <w:p w:rsidR="00E51CC3" w:rsidRPr="006871FF" w:rsidRDefault="00E51CC3" w:rsidP="00E51CC3">
      <w:pPr>
        <w:pStyle w:val="NoSpacing"/>
        <w:ind w:firstLine="567"/>
        <w:jc w:val="both"/>
        <w:rPr>
          <w:rFonts w:ascii="Georgia" w:hAnsi="Georgia" w:cstheme="minorBidi"/>
          <w:lang w:val="sq-AL"/>
        </w:rPr>
      </w:pPr>
      <w:r w:rsidRPr="006871FF">
        <w:rPr>
          <w:rFonts w:ascii="Georgia" w:hAnsi="Georgia" w:cstheme="minorBidi"/>
          <w:lang w:val="sq-AL"/>
        </w:rPr>
        <w:t>Nuk parashikohet me pasojë mos vleftësim të kontrollit, mos përmbushja e afatit nga ana e Pol.gjyq., përveçse përbën shkelje të disiplinës që gjithashtu vlerësohet nga prokurori.  Po ashtu, nuk parashikohet me ndonjë pasojë për procedimin konkret as mos përmbushja brenda dyzet e tetë orëve vijuese e vleftësimit të kontrollit nga ana e prokurorit, pa hequr mundësinë e vleftësimit të këtij moszbatimi, në kuadrin e disiplinimit se «[...] këto rregulla janë të detyrueshme për subjektet e procedimit penal» (§1,neni 2 Kpp) siç i tillë është edhe prokurori (neni 105 SGjPRSh</w:t>
      </w:r>
      <w:r w:rsidRPr="006871FF">
        <w:rPr>
          <w:rFonts w:ascii="Georgia" w:hAnsi="Georgia" w:cstheme="minorBidi"/>
          <w:bCs/>
          <w:lang w:val="sq-AL"/>
        </w:rPr>
        <w:t>)</w:t>
      </w:r>
      <w:r w:rsidRPr="006871FF">
        <w:rPr>
          <w:rFonts w:ascii="Georgia" w:hAnsi="Georgia" w:cstheme="minorBidi"/>
          <w:lang w:val="sq-AL"/>
        </w:rPr>
        <w:t>.  Për çka afatet e normuara si për o.p.gj. ashtu dhe për prokurorin nuk janë vetëm afate orientuese për procedimin konkret, por detyrimisht për tu përmbushur në kuadrin e ushtrimit të tyre të funksionit.</w:t>
      </w:r>
    </w:p>
    <w:p w:rsidR="00E51CC3" w:rsidRPr="006871FF" w:rsidRDefault="00E51CC3" w:rsidP="00E51CC3">
      <w:pPr>
        <w:pStyle w:val="NoSpacing"/>
        <w:ind w:firstLine="567"/>
        <w:jc w:val="both"/>
        <w:rPr>
          <w:rFonts w:ascii="Georgia" w:hAnsi="Georgia" w:cstheme="minorBidi"/>
          <w:lang w:val="sq-AL"/>
        </w:rPr>
      </w:pPr>
      <w:r w:rsidRPr="006871FF">
        <w:rPr>
          <w:rFonts w:ascii="Georgia" w:hAnsi="Georgia" w:cstheme="minorBidi"/>
          <w:lang w:val="sq-AL"/>
        </w:rPr>
        <w:t xml:space="preserve">Por, edhe pse veprimtaria kontrolluese apo ‘kontrolli’ me iniciativë i Pol.gjyq. nuk preket nga pavlefshmëria relative, procesverbali materializues i tij i mbajtur me shtyp shkrim a dorëshkrim – kur nuk është e mundur të dokumentohen nëpërmjet regjistrimit audio ose audioviziv (§1, neni 115 Kpp), sepse edhe për dokumentimin e veprimeve gjatë fazës së hetimeve paraprake zbatohen, për aq sa është e mundur, zbatohen dispozitat e nenit 115-116 Kpp (§5, neni 116 Kpp) – nuk është i imunizuar nga ajo.  Edhe për të, siç edhe për veprimet e tjera të materializimit të veprimtarisë procedurale, ushtron fuqinë  ligjore norma e </w:t>
      </w:r>
      <w:r w:rsidRPr="006871FF">
        <w:rPr>
          <w:rFonts w:ascii="Georgia" w:hAnsi="Georgia" w:cstheme="minorBidi"/>
          <w:lang w:val="sq-AL"/>
        </w:rPr>
        <w:lastRenderedPageBreak/>
        <w:t>përgjithshme e nenit 122 Kpp që parashikon pavlefshmërinë relative, pra që mund të ngrihet nga pala në respektim të afateve, atëherë «kur ka dyshime rreth personave që kanë marrë pjesë ose kur mungon nënshkrimi i nëpunësit që e ka përpiluar», nga ku ‘moslejimi i provuar i mbrojtësit, që është paraqitur për të marrë pjesë në kontroll’, mund të konsiderohet si ‘dyshim rreth personave që kanë marrë pjesë’.</w:t>
      </w:r>
    </w:p>
    <w:p w:rsidR="00275B16" w:rsidRDefault="00E51CC3" w:rsidP="00275B16">
      <w:pPr>
        <w:pStyle w:val="NoSpacing"/>
        <w:ind w:firstLine="567"/>
        <w:jc w:val="both"/>
        <w:rPr>
          <w:rFonts w:ascii="Georgia" w:hAnsi="Georgia" w:cstheme="minorBidi"/>
          <w:lang w:val="sq-AL"/>
        </w:rPr>
      </w:pPr>
      <w:r w:rsidRPr="006871FF">
        <w:rPr>
          <w:rFonts w:ascii="Georgia" w:hAnsi="Georgia" w:cstheme="minorBidi"/>
          <w:lang w:val="sq-AL"/>
        </w:rPr>
        <w:t>Përfundimi i suksesshëm i kontrollit, që do të thotë gjetja e sendeve ose gjurmëve të veprës penale, në personin, vendi apo lokalin mbi të cilin ka rënë veprimtaria kontrolluese me iniciativë e Pol.gjyq., pas ndjek sekuestron e provës materiale dhe dokument.  Për çka përkohësisht, – për poseduesin apo pronarin, – ndalohet disponimi apo/ose tjetërsimi, i provave materiale (neni 187 Kpp), duke u marrë në ruajtje e qëndruar në dispozicion të organit që procedon, i nevojshëm për rilevime dhe për vërtetimin e fakteve penalisht të ndëshkueshëm.  Sekuestrimi i ‘provave materiale’ të gjetura pas kontrollit që ka dhënë rezultat të suksesshëm është i domosdoshëm për faktin se pikërisht ai përmbushet në kushtet «kur ka rrezik që gjurmët dhe sendet të ndryshojnë ose të humbasin dhe prokurori nuk mund të ndërhyjë urgjentisht» (§2, neni 300 Kpp), ngaqë edhe vetë kontrolli me iniciativë i Pol.gjyq. është ushtruar për shkak të ekzistencës së urgjencës dhe mundësisë së fshehjes, zhdukjes apo humbjes së sendeve apo gjurmëve të veprës penale (§1 dhe 2, neni 298 Kpp).</w:t>
      </w:r>
    </w:p>
    <w:p w:rsidR="00275B16" w:rsidRDefault="00275B16" w:rsidP="00275B16">
      <w:pPr>
        <w:pStyle w:val="NoSpacing"/>
        <w:jc w:val="center"/>
        <w:rPr>
          <w:rFonts w:ascii="Georgia" w:hAnsi="Georgia" w:cstheme="minorBidi"/>
          <w:lang w:val="sq-AL"/>
        </w:rPr>
      </w:pPr>
    </w:p>
    <w:p w:rsidR="00E51CC3" w:rsidRPr="00275B16" w:rsidRDefault="00E51CC3" w:rsidP="00275B16">
      <w:pPr>
        <w:pStyle w:val="NoSpacing"/>
        <w:jc w:val="center"/>
        <w:rPr>
          <w:rFonts w:ascii="Georgia" w:hAnsi="Georgia" w:cstheme="minorBidi"/>
          <w:lang w:val="sq-AL"/>
        </w:rPr>
      </w:pPr>
      <w:r w:rsidRPr="006871FF">
        <w:rPr>
          <w:rFonts w:ascii="Georgia" w:hAnsi="Georgia" w:cstheme="minorBidi"/>
          <w:b/>
          <w:lang w:val="sq-AL"/>
        </w:rPr>
        <w:t>‘Marrja’ e korrespondencës</w:t>
      </w:r>
    </w:p>
    <w:p w:rsidR="00275B16" w:rsidRDefault="00E51CC3" w:rsidP="00275B16">
      <w:pPr>
        <w:pStyle w:val="NoSpacing"/>
        <w:ind w:firstLine="567"/>
        <w:jc w:val="both"/>
        <w:rPr>
          <w:rFonts w:ascii="Georgia" w:hAnsi="Georgia" w:cstheme="minorBidi"/>
          <w:lang w:val="sq-AL"/>
        </w:rPr>
      </w:pPr>
      <w:r w:rsidRPr="006871FF">
        <w:rPr>
          <w:rFonts w:ascii="Georgia" w:hAnsi="Georgia" w:cstheme="minorBidi"/>
          <w:lang w:val="sq-AL"/>
        </w:rPr>
        <w:t>Është parashikimi kushtetues se «liria dhe fshehtësia e korrespondencës ose e çdo mjeti tjetër të komunikimit janë të garantuara» (neni 36 Kusht.), ajo që ka shtrënguar ligjvënësin, që gjykata të legjitimohet të vendosë në rrugë të zakonshme ‘sekuestron’ e korrespondencës (neni 209 Kpp) dhe prokurori vetëm përjashtimisht në kushtet e urgjencës (§2, neni 299 Kpp).  Nga sa kuptohet se Pol.gjyq. atëherë kur është fjala për korrespondencë, nuk ka asnjë autoritet për të vendosur sekuestro, sidoqoftë rasti, urgjent apo jo.  Në ndryshim, Pol.gjyq. ka një të drejtë/detyrim, që kur ka arsye të bazuara të mendojë se në zyrat postare ose telegrafike gjenden letra, letra me vlerë, zarfe, pako, telegrame dhe objekte të tjera të korrespondencës që janë dërguar nga i pandehuri ose që i drejtohen atij, qoftë edhe me emër tjetër ose nëpërmjet një personi tjetër (§1, neni 209 Kpp) në konkurrim edhe të situatës së ngutshme apo urgjencës – që do të thotë se nga vonesa mund ti shkaktohen dëme përfundimit me sukses të hetimit (§2, neni 299 Kpp) – të urdhërojë atë që kryen shërbimin postar të pezullojë dërgimin (§2, neni 299 Kpp).  Shoqërohet domosdoshmërish urdhri i pezullimit të dërgimit me njoftimin e tij tek prokurori, i cili përjashtimisht urdhëron sekuestron e korrespondencës së pezulluar, në se e sheh të udhës, po ashtu domosdo brenda dyzet e tetë orëve.  Afati fillon të llogaritet</w:t>
      </w:r>
      <w:r w:rsidRPr="006871FF">
        <w:rPr>
          <w:rFonts w:ascii="Georgia" w:hAnsi="Georgia" w:cstheme="minorBidi"/>
          <w:i/>
          <w:lang w:val="sq-AL"/>
        </w:rPr>
        <w:t>/a quo</w:t>
      </w:r>
      <w:r w:rsidRPr="006871FF">
        <w:rPr>
          <w:rFonts w:ascii="Georgia" w:hAnsi="Georgia" w:cstheme="minorBidi"/>
          <w:lang w:val="sq-AL"/>
        </w:rPr>
        <w:t xml:space="preserve"> nga momenti i urdhrit të Pol.gjyq., i cili ka pezulluar dërgimin dhe jo nga momenti i njoftimit të prokurorit, afat i cili nëse nuk përmbushet, me ekzekutim të drejtpërdrejtë të normës ligjore</w:t>
      </w:r>
      <w:r w:rsidRPr="006871FF">
        <w:rPr>
          <w:rFonts w:ascii="Georgia" w:hAnsi="Georgia" w:cstheme="minorBidi"/>
          <w:i/>
          <w:lang w:val="sq-AL"/>
        </w:rPr>
        <w:t>/ex lege</w:t>
      </w:r>
      <w:r w:rsidRPr="006871FF">
        <w:rPr>
          <w:rFonts w:ascii="Georgia" w:hAnsi="Georgia" w:cstheme="minorBidi"/>
          <w:lang w:val="sq-AL"/>
        </w:rPr>
        <w:t>, shkakton rënien e pezullimit të korrespondencës dhe dërgimin e saj në vendin e destinacionit, pa qenë kështu nevoja për të nxjerrë apo vendosur një urdhër për rënien e pezullimit.</w:t>
      </w:r>
    </w:p>
    <w:p w:rsidR="00E51CC3" w:rsidRPr="00275B16" w:rsidRDefault="00E51CC3" w:rsidP="00275B16">
      <w:pPr>
        <w:pStyle w:val="NoSpacing"/>
        <w:jc w:val="center"/>
        <w:rPr>
          <w:rFonts w:ascii="Georgia" w:hAnsi="Georgia" w:cstheme="minorBidi"/>
          <w:lang w:val="sq-AL"/>
        </w:rPr>
      </w:pPr>
      <w:r w:rsidRPr="006871FF">
        <w:rPr>
          <w:rFonts w:ascii="Georgia" w:hAnsi="Georgia" w:cstheme="minorBidi"/>
          <w:b/>
          <w:lang w:val="sq-AL"/>
        </w:rPr>
        <w:t>‘Marrja’ e plikove</w:t>
      </w:r>
    </w:p>
    <w:p w:rsidR="00E51CC3" w:rsidRPr="006871FF" w:rsidRDefault="00E51CC3" w:rsidP="00E51CC3">
      <w:pPr>
        <w:pStyle w:val="NoSpacing"/>
        <w:ind w:firstLine="567"/>
        <w:jc w:val="both"/>
        <w:rPr>
          <w:rFonts w:ascii="Georgia" w:hAnsi="Georgia" w:cstheme="minorBidi"/>
          <w:lang w:val="sq-AL"/>
        </w:rPr>
      </w:pPr>
      <w:r w:rsidRPr="006871FF">
        <w:rPr>
          <w:rFonts w:ascii="Georgia" w:hAnsi="Georgia" w:cstheme="minorBidi"/>
          <w:lang w:val="sq-AL"/>
        </w:rPr>
        <w:t>Një lloj tjetër veprimtarie e Pol.gjyq. me iniciativë, në përgjithësi në fushën e komunikimit dhe në veçanti të korrespondencës, është ‘marrja e plikove dhe e korrespondencës’ (neni 299 Kpp).  Është fjala për ‘pliko’ me të cilën kuptohet bashkimi i letrave, dokumenteve ose fletëve të tjera të letrave, të palosura ose të bashkuara së bashku, të mbyllura nëpërmjet vulosjes apo sidoqoftë me çdo mënyrë tjetër, nga ku pikërisht ‘pako’ apo ‘sendi i mbyllur’, si i tillë, merr një status dhe është objekt i një trajtimi ndryshe nga korrespondenca e zakonshme.  Për çka, kushti i sekuestrimit mbi dërgesat nga i pandehuri ose që i drejtohen atij, qoftë edhe me emër tjetër ose nëpërmjet një personi tjetër (§1, neni 209 Kpp), zëvendësohet me nevojat për qëllimet e procedimit (§1, neni 299 Kpp) konkret, nga ku edhe pse ato përfaqësojnë një koncept mjaft të gjerë, gjithsesi nuk lejojnë mundësi të shpërdorimit nga ana e Pol.gjyq..</w:t>
      </w:r>
    </w:p>
    <w:p w:rsidR="00E51CC3" w:rsidRPr="006871FF" w:rsidRDefault="00E51CC3" w:rsidP="00E51CC3">
      <w:pPr>
        <w:pStyle w:val="NoSpacing"/>
        <w:ind w:firstLine="567"/>
        <w:jc w:val="both"/>
        <w:rPr>
          <w:rFonts w:ascii="Georgia" w:hAnsi="Georgia" w:cstheme="minorBidi"/>
          <w:lang w:val="sq-AL"/>
        </w:rPr>
      </w:pPr>
      <w:r w:rsidRPr="006871FF">
        <w:rPr>
          <w:rFonts w:ascii="Georgia" w:hAnsi="Georgia" w:cstheme="minorBidi"/>
          <w:lang w:val="sq-AL"/>
        </w:rPr>
        <w:t xml:space="preserve">Kështu në rast se është e nevojshme për qëllime të procedimit që të merren ‘pliko’ apo send i mbyllur, o.p.gj. dhe jo një agjent i saj, ashtu të pahapur, e merr dhe ia dërgon prokurorit (§1, neni 299 Kpp).  Norma më tej disiplinon mundësinë e prokurorit që të </w:t>
      </w:r>
      <w:r w:rsidRPr="006871FF">
        <w:rPr>
          <w:rFonts w:ascii="Georgia" w:hAnsi="Georgia" w:cstheme="minorBidi"/>
          <w:lang w:val="sq-AL"/>
        </w:rPr>
        <w:lastRenderedPageBreak/>
        <w:t>vendosë sekuestron mbi plikon apo sendin e mbyllur, që për të njëjtin shkak paraqitet si një veprim përjashtues, duke pasur parasysh se në kushte të zakonshme, është gjykata që vendos sekuestron e korrespondencës.  Duke u normuar si mundësi apo eventualitet, sekuestro e prokurorit njëkohësisht edhe mund të mos vendoset, pasi është ai që përcakton nëse jemi përpara rastit të ‘plikos’ nga e cila mund të përfitohen të dhëna të nevojshme për qëllime të procedimit konkret.</w:t>
      </w:r>
    </w:p>
    <w:p w:rsidR="00E51CC3" w:rsidRPr="006871FF" w:rsidRDefault="00E51CC3" w:rsidP="00E51CC3">
      <w:pPr>
        <w:pStyle w:val="NoSpacing"/>
        <w:ind w:firstLine="567"/>
        <w:jc w:val="both"/>
        <w:rPr>
          <w:rFonts w:ascii="Georgia" w:hAnsi="Georgia" w:cstheme="minorBidi"/>
          <w:lang w:val="sq-AL"/>
        </w:rPr>
      </w:pPr>
      <w:r w:rsidRPr="006871FF">
        <w:rPr>
          <w:rFonts w:ascii="Georgia" w:hAnsi="Georgia" w:cstheme="minorBidi"/>
          <w:lang w:val="sq-AL"/>
        </w:rPr>
        <w:t>Sigurisht, fillimisht normimi ngrihet si detyrim i atij që mban plikon për t’ju përgjigjur pozitivisht kërkesës së Pol.gjyq. duke ja dorëzuar atë, përveçse ky veprim i Pol.gjyq. sipas normimit të rrjedhur nga detyrimi i dokumentimit të të gjitha veprimeve të kryera (§1, neni 303 Kpp), materializohet në procesverbal me shtypshkrim a dorëshkrim – kur nuk është e mundur të dokumentohet nëpërmjet regjistrimit (§3, neni 115 Kpp) si veprim gjatë fazës së hetimeve paraprake (§5, neni 116 Kpp) – në të cilin sidoqoftë përcillet si fakti i sendit të mbyllur pliko ashtu dhe shkaqet që çuan në marrjen e tij, mbi të cilat vendos dhe prokurori.  Ndërsa kur ka shkaqe të bazuara për të menduar se plikot përmbajnë të dhëna që mund të humbasin për shkak të vonesës, apo thënë ndryshe në rast urgjence apo ngutje, gjithnjë oficeri dhe jo agjenti i Pol.gjyq., detyrimisht për çka «[...] informon me mjetin më të shpejtë prokurorin [...]» (§1, neni 299 Kpp), duke u formuar kështu një tjetër veprim me iniciativë i Pol.gjyq..  Pas njohjes me një situatë të tillë dhe vlerësimit të saj, prokurori ka autoritetin që të autorizojë, pavarësisht nga forma, që o.p.gj. të hapë menjëherë plikon (§1, neni 299 Kpp), veprim i cili nuk është më me iniciativë të Pol.gjyq..</w:t>
      </w:r>
    </w:p>
    <w:p w:rsidR="00275B16" w:rsidRDefault="00E51CC3" w:rsidP="00275B16">
      <w:pPr>
        <w:pStyle w:val="NoSpacing"/>
        <w:ind w:firstLine="567"/>
        <w:jc w:val="both"/>
        <w:rPr>
          <w:rFonts w:ascii="Georgia" w:hAnsi="Georgia" w:cstheme="minorBidi"/>
          <w:lang w:val="sq-AL"/>
        </w:rPr>
      </w:pPr>
      <w:r w:rsidRPr="006871FF">
        <w:rPr>
          <w:rFonts w:ascii="Georgia" w:hAnsi="Georgia" w:cstheme="minorBidi"/>
          <w:lang w:val="sq-AL"/>
        </w:rPr>
        <w:t>Në veprimin e marrjes së plikos dhe dërgimin e saj tek prokurori, sepse ai përfshihet në verifikimet e ngutshme në vend, mbrojtësi i të hetuarit ka të drejtë të asistojë, por pa të drejtën që më parë të lajmërohet (neni 302 Kpp).  Përkundrazi, nuk parashikohet e drejta e asistimi apo prania e mbrojtësit të të hetuarit, madje ndalohet ajo, në rastin e «[...] hapjes së menjëhershme të plikos të autorizuar nga prokurori» (neni 302 Kpp).  Rrjedhimisht prania e mbrojtësit</w:t>
      </w:r>
      <w:r w:rsidR="009C3CB5" w:rsidRPr="006871FF">
        <w:rPr>
          <w:rFonts w:ascii="Georgia" w:hAnsi="Georgia" w:cstheme="minorBidi"/>
          <w:lang w:val="sq-AL"/>
        </w:rPr>
        <w:t xml:space="preserve"> </w:t>
      </w:r>
      <w:r w:rsidRPr="006871FF">
        <w:rPr>
          <w:rFonts w:ascii="Georgia" w:hAnsi="Georgia" w:cstheme="minorBidi"/>
          <w:lang w:val="sq-AL"/>
        </w:rPr>
        <w:t>është e ligjshme deri në momentin e marrjes së plikos nga o.p.gj..  Konsiderata e Pol.gjyq. mbi humbjen e të dhënave për shkak të vonesë, që i informohet prokurorit, urdhri i këtij të fundit për hapjen e menjëhershme dhe vetë veprimtaria e hapjes dhe përfitimi i të dhënave, nuk janë veprimtari që mund të përmbushen në prani të mbrojtësit, për shkak se mungesa e befasisë mund të komprometonte përfundimin pozitiv të hapjes, pra marrjes së padëmtuar të të dhënave.</w:t>
      </w:r>
    </w:p>
    <w:p w:rsidR="00E51CC3" w:rsidRPr="00275B16" w:rsidRDefault="00E51CC3" w:rsidP="00275B16">
      <w:pPr>
        <w:pStyle w:val="NoSpacing"/>
        <w:jc w:val="center"/>
        <w:rPr>
          <w:rFonts w:ascii="Georgia" w:hAnsi="Georgia" w:cstheme="minorBidi"/>
          <w:lang w:val="sq-AL"/>
        </w:rPr>
      </w:pPr>
      <w:r w:rsidRPr="006871FF">
        <w:rPr>
          <w:rFonts w:ascii="Georgia" w:hAnsi="Georgia" w:cstheme="minorBidi"/>
          <w:b/>
          <w:lang w:val="sq-AL"/>
        </w:rPr>
        <w:t>Verifikime të ngutshme në vend</w:t>
      </w:r>
    </w:p>
    <w:p w:rsidR="00E51CC3" w:rsidRPr="006871FF" w:rsidRDefault="00E51CC3" w:rsidP="00E51CC3">
      <w:pPr>
        <w:pStyle w:val="NoSpacing"/>
        <w:ind w:firstLine="567"/>
        <w:jc w:val="both"/>
        <w:rPr>
          <w:rFonts w:ascii="Georgia" w:hAnsi="Georgia" w:cstheme="minorBidi"/>
          <w:lang w:val="sq-AL"/>
        </w:rPr>
      </w:pPr>
      <w:r w:rsidRPr="006871FF">
        <w:rPr>
          <w:rFonts w:ascii="Georgia" w:hAnsi="Georgia" w:cstheme="minorBidi"/>
          <w:lang w:val="sq-AL"/>
        </w:rPr>
        <w:t>Megjithëse në përgjithësi, pa ju referuar llojit të veprës penale, në nenin 294 Kpp, parashikohet veprimtaria me iniciativë e Pol.gjyq. drejtuar në sigurimin e burimit të provës apo dhe vetë provës së papërsëritshme, në nenin 300 të Kpp, veçanërisht ligjvënësi parashikon atë në rastet e ‘verifikimeve të ngutshme në vend’, e cila i referohet veprimtarisë që jep njohje me vërtetësi dhe saktësi të vendit/skenës së ngjarjes, për veprat penale të dukshme, jo vetëm nga oficerët, por edhe nga agjentët e Pol.gjyq..  Në më të shumtën e rasteve, veprat penale të dukshme dhe me vendngjarje e që shqetësim social shkaktojnë, përfshihen ose në ato që konsiderohen raste ‘kur ka urgjencë’ ose në ‘krime të rënda’, për çka dhe që ‘menjëherë dhe me gojë’ Pol.gjyq. është e detyruar ti japë njoftim prokurorit pa përjashtuar kjo detyrimin për të referuar me shkrim (§2, neni 293 Kpp).  Në varësi të sjelljes së prokurorit, i cili parimisht ndërhyn personalisht qysh në veprimet e para hetimore, përpara Pol.gjyq. shtrohen disa veprimtari të pamungueshme, si ‘fiksimi dhe ruajtja’ e skenës së krimit, ‘veprimtari hetimore e domosdoshme’ dhe ‘sekuestrimi’, të gjitha në funksion të njohjes me vërtetësi dhe saktësi të vendit/skenës së ngjarjes.</w:t>
      </w:r>
    </w:p>
    <w:p w:rsidR="00E51CC3" w:rsidRPr="006871FF" w:rsidRDefault="00E51CC3" w:rsidP="00E51CC3">
      <w:pPr>
        <w:pStyle w:val="NoSpacing"/>
        <w:ind w:firstLine="567"/>
        <w:jc w:val="both"/>
        <w:rPr>
          <w:rFonts w:ascii="Georgia" w:hAnsi="Georgia" w:cstheme="minorBidi"/>
          <w:lang w:val="sq-AL"/>
        </w:rPr>
      </w:pPr>
      <w:r w:rsidRPr="006871FF">
        <w:rPr>
          <w:rFonts w:ascii="Georgia" w:hAnsi="Georgia" w:cstheme="minorBidi"/>
          <w:lang w:val="sq-AL"/>
        </w:rPr>
        <w:t>Kështu nëse prokurori konfirmon ndërhyrjen e tij, Pol.gjyq. është e detyruar, që deri në mbërritjen e prokurorit, të mos përparojë përtej përmbushjes së atyre veprimeve që drejtohen në ‘</w:t>
      </w:r>
      <w:r w:rsidRPr="006871FF">
        <w:rPr>
          <w:rFonts w:ascii="Georgia" w:hAnsi="Georgia" w:cstheme="minorBidi"/>
          <w:i/>
          <w:lang w:val="sq-AL"/>
        </w:rPr>
        <w:t>fiksimin</w:t>
      </w:r>
      <w:r w:rsidRPr="006871FF">
        <w:rPr>
          <w:rFonts w:ascii="Georgia" w:hAnsi="Georgia" w:cstheme="minorBidi"/>
          <w:lang w:val="sq-AL"/>
        </w:rPr>
        <w:t>’ apo caktimin e palëvizshëm dhe në ‘</w:t>
      </w:r>
      <w:r w:rsidRPr="006871FF">
        <w:rPr>
          <w:rFonts w:ascii="Georgia" w:hAnsi="Georgia" w:cstheme="minorBidi"/>
          <w:i/>
          <w:lang w:val="sq-AL"/>
        </w:rPr>
        <w:t>ruajtjen</w:t>
      </w:r>
      <w:r w:rsidRPr="006871FF">
        <w:rPr>
          <w:rFonts w:ascii="Georgia" w:hAnsi="Georgia" w:cstheme="minorBidi"/>
          <w:lang w:val="sq-AL"/>
        </w:rPr>
        <w:t>’ apo mos-humbjen, mos zhdukjen, mos fshehjen, mos prekjen, e sendeve dhe gjurmëve në vendngjarje.  Kështu përmbushen ato veprime të cilat sigurojnë se gjendja e skenës së ngjarjes dhe e sendeve që kanë lidhje dhe që ndodhen në të, nuk ndryshon (§1, neni 300 Kpp), duke arritur që prokurori në momentin e ndërhyrjes së tij të verifikojë, saktësisht dhe me vërtetësi, pa asnjë deformim apo ndryshim, vendin e ngjarjes.</w:t>
      </w:r>
    </w:p>
    <w:p w:rsidR="00E51CC3" w:rsidRPr="006871FF" w:rsidRDefault="00E51CC3" w:rsidP="00E51CC3">
      <w:pPr>
        <w:pStyle w:val="NoSpacing"/>
        <w:ind w:firstLine="567"/>
        <w:jc w:val="both"/>
        <w:rPr>
          <w:rFonts w:ascii="Georgia" w:hAnsi="Georgia" w:cstheme="minorBidi"/>
          <w:lang w:val="sq-AL"/>
        </w:rPr>
      </w:pPr>
      <w:r w:rsidRPr="006871FF">
        <w:rPr>
          <w:rFonts w:ascii="Georgia" w:hAnsi="Georgia" w:cstheme="minorBidi"/>
          <w:lang w:val="sq-AL"/>
        </w:rPr>
        <w:lastRenderedPageBreak/>
        <w:t>Nëse prokurori nuk konfirmon ndërhyrjen e tij, apo edhe nëse e ka konfirmuar, por deri në mbërritjen e tij ka rrezik që gjurmët dhe sendet të ndryshojnë ose të humbasin, pra kur situata paraqet urgjencë nga që vonesa mund të sjellë ndryshimin humbjen apo zhdukjen e gjurmëve dhe sendeve që i përkasin veprës penale dhe kështu pavërtetësinë dhe pasaktësinë e skenës apo vendit të ngjarjes me pasojë për rezultatin e suksesshëm të hetimeve, Pol.gjyq. kryen «[...] veprimet hetimore të domosdoshme [...]» (§2, neni 300 Kpp).  Ndërkohë veprimet hetimore të domosdoshme konsiderohen ato që drejtohen në përcaktimin, grumbullimin dhe përfitimin e të dhënave dhe treguesve që gjenden në vendngjarje dhe sigurojnë përmbushjen e rilevimeve, gjithnjë si njohje me vërtetësi dhe saktësi e vendit/skenës së ngjarjes.  Si rilevime më të spikatura dhe pothuajse të pamungueshme dhe që gjithsesi plotësojnë njëri tjetrin, dhe që kryesisht ndihmojnë në ri konfigurimin e faktit penal, detyrë primare e Pol.gjyq. mund të përmendet ‘</w:t>
      </w:r>
      <w:r w:rsidRPr="006871FF">
        <w:rPr>
          <w:rFonts w:ascii="Georgia" w:hAnsi="Georgia" w:cstheme="minorBidi"/>
          <w:i/>
          <w:lang w:val="sq-AL"/>
        </w:rPr>
        <w:t>rilevimi përshkrues’</w:t>
      </w:r>
      <w:r w:rsidRPr="006871FF">
        <w:rPr>
          <w:rFonts w:ascii="Georgia" w:hAnsi="Georgia" w:cstheme="minorBidi"/>
          <w:lang w:val="sq-AL"/>
        </w:rPr>
        <w:t xml:space="preserve">, që është pasojë e këqyrjes së vendit të ngjarjes, si paraqitje në letër nëpërmjet dokumentimit në procesverbal, i quajtur zakonisht ‘këqyrje e vendit të ngjarjes’, që siç sugjeron neni 115 Kpp mund të dokumentohet nëpërmjet regjistrimit audio-viziv dhe vetëm në pamundësi nëpërmjet atij me shtypshkrim a dorëshkrim.  Ai përmban tregimin e vendit, pozicionit dhe drejtimit si të hapësirës së vendngjarjes ashtu dhe të sendeve që ndodhen në të, të përfituar sipas shenjave dhe të dhënave të perceptuara drejtpërdrejt të vëzhguesit të Pol.gjyq., me rend nga e përgjithshmja tek e veçanta, nga e djathta në të majtë, nga poshtë lart dhe nga përpara prapa.  Po ashtu përmban tregimin e formës, lëndës, ngjyrës dhe po qe e mundur të shijes, erës dhe të çdo cilësie tjetër që bën të mundur fiksimin dhe përcaktimin e vendit apo sendeve që ndodhen në të.  </w:t>
      </w:r>
      <w:r w:rsidRPr="006871FF">
        <w:rPr>
          <w:rFonts w:ascii="Georgia" w:hAnsi="Georgia" w:cstheme="minorBidi"/>
          <w:i/>
          <w:lang w:val="sq-AL"/>
        </w:rPr>
        <w:t>Rilevimi planimetrik</w:t>
      </w:r>
      <w:r w:rsidRPr="006871FF">
        <w:rPr>
          <w:rFonts w:ascii="Georgia" w:hAnsi="Georgia" w:cstheme="minorBidi"/>
          <w:lang w:val="sq-AL"/>
        </w:rPr>
        <w:t xml:space="preserve">, që është pasojë gjithashtu e këqyrjes së vendit të ngjarjes, si paraqitje në letër grafikisht të detajuar në një harte/planimetri me shkallë të përcaktuar zvogëlimi.  Ai përmban të njëjtët elementë që paraqiten në rilevimin përshkrues, (proces-verbalin e këqyrjes së vendit të ngjarjes), por të përfituar nëpërmjet matjeve sipas rrjetave të këndeve të drejta apo të trekëndëshave.  Po ashtu mund të përmendet edhe </w:t>
      </w:r>
      <w:r w:rsidRPr="006871FF">
        <w:rPr>
          <w:rFonts w:ascii="Georgia" w:hAnsi="Georgia" w:cstheme="minorBidi"/>
          <w:i/>
          <w:lang w:val="sq-AL"/>
        </w:rPr>
        <w:t>rilevimi fotografik</w:t>
      </w:r>
      <w:r w:rsidRPr="006871FF">
        <w:rPr>
          <w:rFonts w:ascii="Georgia" w:hAnsi="Georgia" w:cstheme="minorBidi"/>
          <w:lang w:val="sq-AL"/>
        </w:rPr>
        <w:t xml:space="preserve"> që është pasojë e fiksimit dhe përcaktimit në letër në përmasat lartësi dhe gjerësi, të pamjes/imazhit së vendit të ngjarjes dhe sendeve të ndodhur në të, nëpërmjet projektimit optik mbi një mbajtës të ndjeshëm ndaj dritës, nëpërmjet aparatit fotografik.</w:t>
      </w:r>
    </w:p>
    <w:p w:rsidR="00E51CC3" w:rsidRPr="006871FF" w:rsidRDefault="00E51CC3" w:rsidP="00E51CC3">
      <w:pPr>
        <w:pStyle w:val="NoSpacing"/>
        <w:ind w:firstLine="567"/>
        <w:jc w:val="both"/>
        <w:rPr>
          <w:rFonts w:ascii="Georgia" w:hAnsi="Georgia" w:cstheme="minorBidi"/>
          <w:lang w:val="sq-AL"/>
        </w:rPr>
      </w:pPr>
      <w:r w:rsidRPr="006871FF">
        <w:rPr>
          <w:rFonts w:ascii="Georgia" w:hAnsi="Georgia" w:cstheme="minorBidi"/>
          <w:lang w:val="sq-AL"/>
        </w:rPr>
        <w:t xml:space="preserve">Po ashtu, duke kujtuar se detyrë e Pol.gjyq. e përmbushur me iniciativë të saj, është jo vetëm rindërtimi i faktit penal por edhe individualizimi i autorit (§1, neni 294 Kpp), ajo gjithashtu dhe njëkohësisht, procedon në kuadrin e veprimeve të nevojshme për hetimet edhe në grumbullimin dhe përfitimin e të dhënave që nevojiten në përmbushjen e </w:t>
      </w:r>
      <w:r w:rsidRPr="006871FF">
        <w:rPr>
          <w:rFonts w:ascii="Georgia" w:hAnsi="Georgia" w:cstheme="minorBidi"/>
          <w:i/>
          <w:lang w:val="sq-AL"/>
        </w:rPr>
        <w:t>rilevimeve daktiloskopike</w:t>
      </w:r>
      <w:r w:rsidRPr="006871FF">
        <w:rPr>
          <w:rFonts w:ascii="Georgia" w:hAnsi="Georgia" w:cstheme="minorBidi"/>
          <w:lang w:val="sq-AL"/>
        </w:rPr>
        <w:t xml:space="preserve"> dhe </w:t>
      </w:r>
      <w:r w:rsidRPr="006871FF">
        <w:rPr>
          <w:rFonts w:ascii="Georgia" w:hAnsi="Georgia" w:cstheme="minorBidi"/>
          <w:i/>
          <w:lang w:val="sq-AL"/>
        </w:rPr>
        <w:t>antropometrike</w:t>
      </w:r>
      <w:r w:rsidRPr="006871FF">
        <w:rPr>
          <w:rFonts w:ascii="Georgia" w:hAnsi="Georgia" w:cstheme="minorBidi"/>
          <w:lang w:val="sq-AL"/>
        </w:rPr>
        <w:t xml:space="preserve"> që mundësojnë individualizimin e autorit.</w:t>
      </w:r>
    </w:p>
    <w:p w:rsidR="00331944" w:rsidRDefault="00E51CC3" w:rsidP="00331944">
      <w:pPr>
        <w:pStyle w:val="NoSpacing"/>
        <w:ind w:firstLine="567"/>
        <w:jc w:val="both"/>
        <w:rPr>
          <w:rFonts w:ascii="Georgia" w:hAnsi="Georgia" w:cstheme="minorBidi"/>
          <w:lang w:val="sq-AL"/>
        </w:rPr>
      </w:pPr>
      <w:r w:rsidRPr="006871FF">
        <w:rPr>
          <w:rFonts w:ascii="Georgia" w:hAnsi="Georgia" w:cstheme="minorBidi"/>
          <w:lang w:val="sq-AL"/>
        </w:rPr>
        <w:t xml:space="preserve">Dhe veprimtaria e tretë me iniciativë e Pol.gjyq., përqendrohet në sekuestron provuese, gjithnjë kur mungon ndërhyrja e prokurorit dhe nëse apo kur është rasti i ekzekutimit të saj (§2, neni 300 Kpp).  Kështu, situata e aktivizimit të mundshëm të sekuestro provuese me iniciativë të Pol.gjyq. së pari duhet të jetë në mungesë të prokurorit i cili nuk ka konfirmuar ndërhyrjen e tij ose edhe pse e ka konfirmuar situata paraqet urgjencë nga që vonesa mund të sjellë ndryshimin, humbjen apo zhdukjen e gjurmëve dhe sendeve që i përkasin veprës penale dhe kështu mosnjohjen me vërtetësi e saktësi skenën e ngjarjes.  Dhe së dyti, shprehja «[...] kur është rasti [...]» (§2, neni 300 Kpp) i referohet përcaktimit të nenit 208 Kpp i cili si rast të vendosjes së sekuestro provuese parashikon atë kur provat materiale dhe sendet që lidhen me veprën penale, janë të domosdoshme për vërtetimin e fakteve.  Për çka, nëse Pol.gjyq. përballet me prova materiale dhe sende që lidhen me veprën penale, për të cilën ka kryer veprimet e domosdoshme hetimore, automatikisht dhe me iniciativë të saj, vendos sekuestron provuese mbi to.  Sekuestro provuese vendoset  mbi  provat  materiale  që  janë  si  sendet e luajtshme ashtu dhe mbi sendet e paluajtshme dhe i nënshtrohen regjimit të ruajtjes, vulosjes dhe heqjes-vënies së vulave (neni 214-216 Kpp), njësoj sikur të ishte ekzekutuar nën urdhërimin e gjykatës apo prokurorit.  Në këtë rast ja vlen të përmendet se, kur sendet e paluajtshme janë sekuestruar sepse mbi to «[...] gjenden gjurmë apo që kanë qenë objekt i veprimeve të të pandehurit [...]» (§1, neni 187 Kpp), është e qartë se vazhdon nevoja e përmbushjes së këqyrjes, kontrollit me qëllim përcaktimin dhe grumbullimin e të dhënave për njohjen me vërtetësi dhe saktësi të vendit të ngjarjes dhe përmbushjen e </w:t>
      </w:r>
      <w:r w:rsidRPr="006871FF">
        <w:rPr>
          <w:rFonts w:ascii="Georgia" w:hAnsi="Georgia" w:cstheme="minorBidi"/>
          <w:lang w:val="sq-AL"/>
        </w:rPr>
        <w:lastRenderedPageBreak/>
        <w:t>rilevimeve.  Për çka sekuestrimi konsiston në ‘ruajtjen’ e sendit të paluajtshëm dhe mbrojtjen e tij nga ndryshimi, zhdukja apo humbja e gjurmëve të veprës penale dhe të autorit të saj.  Për këtë, është i pamjaftueshëm dhe e pa aplikueshme ‘ruajtja’ e sendit nga vetë pronari apo poseduesi i tij, i cili në më të shumtën e rasteve është i interesuar për ndryshimin, zhdukjen apo humbjen e gjurmëve të veprës penale dhe të autorit të saj, për shkak të lidhjeve të mundshme të tij, si rastësore ashtu dhe të qëllimshme me veprën penale apo autorin.</w:t>
      </w:r>
    </w:p>
    <w:p w:rsidR="00331944" w:rsidRDefault="00331944" w:rsidP="00331944">
      <w:pPr>
        <w:pStyle w:val="NoSpacing"/>
        <w:ind w:firstLine="567"/>
        <w:jc w:val="both"/>
        <w:rPr>
          <w:rFonts w:ascii="Georgia" w:hAnsi="Georgia" w:cstheme="minorBidi"/>
          <w:lang w:val="sq-AL"/>
        </w:rPr>
      </w:pPr>
    </w:p>
    <w:p w:rsidR="00331944" w:rsidRDefault="00331944" w:rsidP="00331944">
      <w:pPr>
        <w:pStyle w:val="NoSpacing"/>
        <w:ind w:firstLine="567"/>
        <w:jc w:val="both"/>
        <w:rPr>
          <w:rFonts w:ascii="Georgia" w:hAnsi="Georgia" w:cstheme="minorBidi"/>
          <w:lang w:val="sq-AL"/>
        </w:rPr>
      </w:pPr>
    </w:p>
    <w:p w:rsidR="00331944" w:rsidRDefault="00331944" w:rsidP="00331944">
      <w:pPr>
        <w:pStyle w:val="NoSpacing"/>
        <w:ind w:firstLine="567"/>
        <w:jc w:val="both"/>
        <w:rPr>
          <w:rFonts w:ascii="Georgia" w:hAnsi="Georgia"/>
          <w:b/>
          <w:color w:val="FF0000"/>
          <w:sz w:val="40"/>
          <w:szCs w:val="40"/>
        </w:rPr>
      </w:pPr>
      <w:r w:rsidRPr="00331944">
        <w:rPr>
          <w:rFonts w:ascii="Georgia" w:hAnsi="Georgia"/>
          <w:b/>
          <w:color w:val="FF0000"/>
          <w:sz w:val="40"/>
          <w:szCs w:val="40"/>
        </w:rPr>
        <w:t>3.</w:t>
      </w:r>
      <w:r w:rsidRPr="00331944">
        <w:rPr>
          <w:rFonts w:ascii="Georgia" w:hAnsi="Georgia"/>
          <w:b/>
          <w:color w:val="FF0000"/>
          <w:sz w:val="40"/>
          <w:szCs w:val="40"/>
        </w:rPr>
        <w:tab/>
      </w:r>
      <w:r w:rsidR="00B64F4F" w:rsidRPr="00331944">
        <w:rPr>
          <w:rFonts w:ascii="Georgia" w:hAnsi="Georgia"/>
          <w:b/>
          <w:color w:val="FF0000"/>
          <w:sz w:val="40"/>
          <w:szCs w:val="40"/>
        </w:rPr>
        <w:t xml:space="preserve">Krimi ekonomik dhe financiar nën këtë këndvështrim.  </w:t>
      </w:r>
      <w:r w:rsidR="00C9152C" w:rsidRPr="00331944">
        <w:rPr>
          <w:rFonts w:ascii="Georgia" w:hAnsi="Georgia"/>
          <w:b/>
          <w:color w:val="FF0000"/>
          <w:sz w:val="40"/>
          <w:szCs w:val="40"/>
        </w:rPr>
        <w:t>Hetimi i</w:t>
      </w:r>
      <w:r w:rsidR="00B64F4F" w:rsidRPr="00331944">
        <w:rPr>
          <w:rFonts w:ascii="Georgia" w:hAnsi="Georgia"/>
          <w:b/>
          <w:color w:val="FF0000"/>
          <w:sz w:val="40"/>
          <w:szCs w:val="40"/>
        </w:rPr>
        <w:t xml:space="preserve"> tyre.</w:t>
      </w:r>
      <w:r w:rsidR="00C9152C" w:rsidRPr="00331944">
        <w:rPr>
          <w:rFonts w:ascii="Georgia" w:hAnsi="Georgia"/>
          <w:b/>
          <w:color w:val="FF0000"/>
          <w:sz w:val="40"/>
          <w:szCs w:val="40"/>
        </w:rPr>
        <w:t xml:space="preserve"> </w:t>
      </w:r>
    </w:p>
    <w:p w:rsidR="00331944" w:rsidRDefault="00331944" w:rsidP="00331944">
      <w:pPr>
        <w:pStyle w:val="NoSpacing"/>
        <w:ind w:firstLine="567"/>
        <w:jc w:val="both"/>
        <w:rPr>
          <w:rFonts w:ascii="Georgia" w:hAnsi="Georgia"/>
          <w:b/>
          <w:color w:val="FF0000"/>
          <w:sz w:val="40"/>
          <w:szCs w:val="40"/>
        </w:rPr>
      </w:pPr>
    </w:p>
    <w:p w:rsidR="00331944" w:rsidRDefault="000579EE" w:rsidP="00331944">
      <w:pPr>
        <w:pStyle w:val="NoSpacing"/>
        <w:ind w:firstLine="567"/>
        <w:jc w:val="both"/>
        <w:rPr>
          <w:rFonts w:ascii="Georgia" w:hAnsi="Georgia" w:cstheme="majorBidi"/>
          <w:shd w:val="clear" w:color="auto" w:fill="FFFFFF"/>
        </w:rPr>
      </w:pPr>
      <w:r w:rsidRPr="006871FF">
        <w:rPr>
          <w:rFonts w:ascii="Georgia" w:hAnsi="Georgia" w:cstheme="majorBidi"/>
          <w:shd w:val="clear" w:color="auto" w:fill="FFFFFF"/>
        </w:rPr>
        <w:t>Konventa :</w:t>
      </w:r>
      <w:r w:rsidRPr="006871FF">
        <w:rPr>
          <w:rFonts w:ascii="Georgia" w:hAnsi="Georgia" w:cstheme="majorBidi"/>
          <w:shd w:val="clear" w:color="auto" w:fill="FFFFFF"/>
        </w:rPr>
        <w:tab/>
        <w:t>a) Pastrimit t</w:t>
      </w:r>
      <w:r w:rsidR="00966A79" w:rsidRPr="006871FF">
        <w:rPr>
          <w:rFonts w:ascii="Georgia" w:hAnsi="Georgia" w:cstheme="majorBidi"/>
          <w:shd w:val="clear" w:color="auto" w:fill="FFFFFF"/>
        </w:rPr>
        <w:t>ë</w:t>
      </w:r>
      <w:r w:rsidRPr="006871FF">
        <w:rPr>
          <w:rFonts w:ascii="Georgia" w:hAnsi="Georgia" w:cstheme="majorBidi"/>
          <w:shd w:val="clear" w:color="auto" w:fill="FFFFFF"/>
        </w:rPr>
        <w:t xml:space="preserve"> parave;</w:t>
      </w:r>
    </w:p>
    <w:p w:rsidR="00331944" w:rsidRDefault="006346B7" w:rsidP="00331944">
      <w:pPr>
        <w:pStyle w:val="NoSpacing"/>
        <w:ind w:firstLine="567"/>
        <w:jc w:val="both"/>
        <w:rPr>
          <w:rFonts w:ascii="Georgia" w:hAnsi="Georgia" w:cstheme="majorBidi"/>
        </w:rPr>
      </w:pPr>
      <w:r w:rsidRPr="006871FF">
        <w:rPr>
          <w:rFonts w:ascii="Georgia" w:hAnsi="Georgia" w:cstheme="majorBidi"/>
        </w:rPr>
        <w:t>(Ratifikuar me ligjin n.</w:t>
      </w:r>
      <w:r w:rsidR="00D42BD3" w:rsidRPr="006871FF">
        <w:rPr>
          <w:rFonts w:ascii="Georgia" w:hAnsi="Georgia" w:cstheme="majorBidi"/>
        </w:rPr>
        <w:t>8646, datë 20.7.2000</w:t>
      </w:r>
      <w:r w:rsidR="00331944">
        <w:rPr>
          <w:rFonts w:ascii="Georgia" w:hAnsi="Georgia" w:cstheme="majorBidi"/>
        </w:rPr>
        <w:t>)KONVENTA MBI PASTRIMIN,</w:t>
      </w:r>
    </w:p>
    <w:p w:rsidR="00331944" w:rsidRDefault="00331944" w:rsidP="00331944">
      <w:pPr>
        <w:pStyle w:val="NoSpacing"/>
        <w:ind w:firstLine="567"/>
        <w:jc w:val="both"/>
        <w:rPr>
          <w:rFonts w:ascii="Georgia" w:hAnsi="Georgia" w:cstheme="majorBidi"/>
        </w:rPr>
      </w:pPr>
    </w:p>
    <w:p w:rsidR="00331944" w:rsidRDefault="00D42BD3" w:rsidP="00331944">
      <w:pPr>
        <w:pStyle w:val="NoSpacing"/>
        <w:ind w:firstLine="567"/>
        <w:jc w:val="both"/>
        <w:rPr>
          <w:rFonts w:ascii="Georgia" w:hAnsi="Georgia" w:cstheme="majorBidi"/>
        </w:rPr>
      </w:pPr>
      <w:r w:rsidRPr="006871FF">
        <w:rPr>
          <w:rFonts w:ascii="Georgia" w:hAnsi="Georgia" w:cstheme="majorBidi"/>
        </w:rPr>
        <w:t xml:space="preserve">DEPISTIMIN, KAPJEN DHE KONFISKIMIN E PRODUKTEVE TE KRIMIT Strasburg, 8.XI.1990 </w:t>
      </w:r>
    </w:p>
    <w:p w:rsidR="00331944" w:rsidRDefault="00E428A6" w:rsidP="00331944">
      <w:pPr>
        <w:pStyle w:val="NoSpacing"/>
        <w:ind w:firstLine="567"/>
        <w:jc w:val="both"/>
        <w:rPr>
          <w:rFonts w:ascii="Georgia" w:hAnsi="Georgia" w:cstheme="majorBidi"/>
        </w:rPr>
      </w:pPr>
      <w:r w:rsidRPr="006871FF">
        <w:rPr>
          <w:rFonts w:ascii="Georgia" w:hAnsi="Georgia" w:cstheme="majorBidi"/>
        </w:rPr>
        <w:t>Hyrje</w:t>
      </w:r>
    </w:p>
    <w:p w:rsidR="00BD08ED" w:rsidRDefault="00D42BD3" w:rsidP="00BD08ED">
      <w:pPr>
        <w:pStyle w:val="NoSpacing"/>
        <w:ind w:firstLine="567"/>
        <w:jc w:val="both"/>
        <w:rPr>
          <w:rFonts w:ascii="Georgia" w:hAnsi="Georgia" w:cstheme="majorBidi"/>
        </w:rPr>
      </w:pPr>
      <w:r w:rsidRPr="006871FF">
        <w:rPr>
          <w:rFonts w:ascii="Georgia" w:hAnsi="Georgia" w:cstheme="majorBidi"/>
        </w:rPr>
        <w:t>Shtetet anëtarë të Këshillit të Evropës dhe Shtetet e tjer</w:t>
      </w:r>
      <w:r w:rsidR="006346B7" w:rsidRPr="006871FF">
        <w:rPr>
          <w:rFonts w:ascii="Georgia" w:hAnsi="Georgia" w:cstheme="majorBidi"/>
        </w:rPr>
        <w:t>ë nënshkrues të kësaj Konvente,</w:t>
      </w:r>
      <w:r w:rsidR="00BD08ED">
        <w:rPr>
          <w:rFonts w:ascii="Georgia" w:hAnsi="Georgia" w:cstheme="majorBidi"/>
        </w:rPr>
        <w:t xml:space="preserve"> </w:t>
      </w:r>
      <w:r w:rsidRPr="006871FF">
        <w:rPr>
          <w:rFonts w:ascii="Georgia" w:hAnsi="Georgia" w:cstheme="majorBidi"/>
        </w:rPr>
        <w:t xml:space="preserve">Duke konsideruar se qëllimi i Këshillit të Evropës është realizimi i një bashkimi më të </w:t>
      </w:r>
      <w:r w:rsidR="00331944">
        <w:rPr>
          <w:rFonts w:ascii="Georgia" w:hAnsi="Georgia" w:cstheme="majorBidi"/>
        </w:rPr>
        <w:t>ngushtë midis anëtarëve të saj;</w:t>
      </w:r>
    </w:p>
    <w:p w:rsidR="00BD08ED" w:rsidRDefault="00D42BD3" w:rsidP="00BD08ED">
      <w:pPr>
        <w:pStyle w:val="NoSpacing"/>
        <w:ind w:firstLine="567"/>
        <w:jc w:val="both"/>
        <w:rPr>
          <w:rFonts w:ascii="Georgia" w:hAnsi="Georgia" w:cstheme="majorBidi"/>
        </w:rPr>
      </w:pPr>
      <w:r w:rsidRPr="006871FF">
        <w:rPr>
          <w:rFonts w:ascii="Georgia" w:hAnsi="Georgia" w:cstheme="majorBidi"/>
        </w:rPr>
        <w:t xml:space="preserve">Të bindur për domosdoshmërinë e ndjekjes së një politike penale të përbashkët </w:t>
      </w:r>
      <w:r w:rsidR="006346B7" w:rsidRPr="006871FF">
        <w:rPr>
          <w:rFonts w:ascii="Georgia" w:hAnsi="Georgia" w:cstheme="majorBidi"/>
        </w:rPr>
        <w:t>që synon mbrojtjen e shoqërisë;</w:t>
      </w:r>
    </w:p>
    <w:p w:rsidR="00BD08ED" w:rsidRDefault="00D42BD3" w:rsidP="00BD08ED">
      <w:pPr>
        <w:pStyle w:val="NoSpacing"/>
        <w:ind w:firstLine="567"/>
        <w:jc w:val="both"/>
        <w:rPr>
          <w:rFonts w:ascii="Georgia" w:hAnsi="Georgia" w:cstheme="majorBidi"/>
        </w:rPr>
      </w:pPr>
      <w:r w:rsidRPr="006871FF">
        <w:rPr>
          <w:rFonts w:ascii="Georgia" w:hAnsi="Georgia" w:cstheme="majorBidi"/>
        </w:rPr>
        <w:t>Duke konsideruar se lufta kundër kriminalitetit të rëndë, që është bërë gjithnjë e më shumë problem ndërkombëtar, kërkon përdorimin e metodave moderne dhe efikase në sh</w:t>
      </w:r>
      <w:r w:rsidR="00BD08ED">
        <w:rPr>
          <w:rFonts w:ascii="Georgia" w:hAnsi="Georgia" w:cstheme="majorBidi"/>
        </w:rPr>
        <w:t>kallë ndërkombëtare;</w:t>
      </w:r>
    </w:p>
    <w:p w:rsidR="00BD08ED" w:rsidRDefault="00D42BD3" w:rsidP="00BD08ED">
      <w:pPr>
        <w:pStyle w:val="NoSpacing"/>
        <w:ind w:firstLine="567"/>
        <w:jc w:val="both"/>
        <w:rPr>
          <w:rFonts w:ascii="Georgia" w:hAnsi="Georgia" w:cstheme="majorBidi"/>
        </w:rPr>
      </w:pPr>
      <w:r w:rsidRPr="006871FF">
        <w:rPr>
          <w:rFonts w:ascii="Georgia" w:hAnsi="Georgia" w:cstheme="majorBidi"/>
        </w:rPr>
        <w:t xml:space="preserve">Duke çmuar se njëra nga këto metoda konsiston në privimin e kriminelëve nga produktet e krimit; Duke konsideruar se me qëllim të arritjes të këtij objektivi, duhet të ngrihet një </w:t>
      </w:r>
      <w:r w:rsidRPr="006871FF">
        <w:rPr>
          <w:rFonts w:ascii="Georgia" w:hAnsi="Georgia" w:cstheme="majorBidi"/>
          <w:u w:val="single"/>
        </w:rPr>
        <w:t>sistem i kënaqshëm bashkëpunimi ndërkombëtar</w:t>
      </w:r>
      <w:r w:rsidR="00BD08ED">
        <w:rPr>
          <w:rFonts w:ascii="Georgia" w:hAnsi="Georgia" w:cstheme="majorBidi"/>
        </w:rPr>
        <w:t>;</w:t>
      </w:r>
    </w:p>
    <w:p w:rsidR="00BD08ED" w:rsidRDefault="00BD08ED" w:rsidP="00BD08ED">
      <w:pPr>
        <w:pStyle w:val="NoSpacing"/>
        <w:ind w:firstLine="567"/>
        <w:jc w:val="both"/>
        <w:rPr>
          <w:rFonts w:ascii="Georgia" w:hAnsi="Georgia" w:cstheme="majorBidi"/>
        </w:rPr>
      </w:pPr>
    </w:p>
    <w:p w:rsidR="00BD08ED" w:rsidRDefault="0082140E" w:rsidP="00BD08ED">
      <w:pPr>
        <w:pStyle w:val="NoSpacing"/>
        <w:ind w:firstLine="567"/>
        <w:jc w:val="both"/>
        <w:rPr>
          <w:rFonts w:ascii="Georgia" w:hAnsi="Georgia" w:cstheme="majorBidi"/>
          <w:b/>
          <w:bCs/>
        </w:rPr>
      </w:pPr>
      <w:r w:rsidRPr="006871FF">
        <w:rPr>
          <w:rFonts w:ascii="Georgia" w:hAnsi="Georgia" w:cstheme="majorBidi"/>
          <w:b/>
          <w:bCs/>
        </w:rPr>
        <w:t>Ligjislacioni Ndërkombëtar Kundër-Korrupsion</w:t>
      </w:r>
      <w:r w:rsidR="00E516E3" w:rsidRPr="006871FF">
        <w:rPr>
          <w:rStyle w:val="FootnoteReference"/>
          <w:rFonts w:ascii="Georgia" w:hAnsi="Georgia" w:cstheme="majorBidi"/>
          <w:b/>
          <w:bCs/>
        </w:rPr>
        <w:footnoteReference w:id="5"/>
      </w:r>
      <w:r w:rsidRPr="006871FF">
        <w:rPr>
          <w:rFonts w:ascii="Georgia" w:hAnsi="Georgia" w:cstheme="majorBidi"/>
          <w:b/>
          <w:bCs/>
        </w:rPr>
        <w:t>.</w:t>
      </w:r>
    </w:p>
    <w:p w:rsidR="00BD08ED" w:rsidRDefault="0082140E" w:rsidP="00BD08ED">
      <w:pPr>
        <w:pStyle w:val="NoSpacing"/>
        <w:jc w:val="both"/>
        <w:rPr>
          <w:rFonts w:ascii="Georgia" w:hAnsi="Georgia" w:cstheme="majorBidi"/>
        </w:rPr>
      </w:pPr>
      <w:r w:rsidRPr="006871FF">
        <w:rPr>
          <w:rFonts w:ascii="Georgia" w:hAnsi="Georgia" w:cstheme="majorBidi"/>
        </w:rPr>
        <w:t>Lufta kundër korrupsionin në skenën globale kërkon të ketë një kuadër ligjor Ndërkombëtar. Ndër vite komuniteti ndërkombëtar ka zhvilluar një numër të madh instrumentesh ligjor të fortë e të butë p</w:t>
      </w:r>
      <w:r w:rsidR="00C34315" w:rsidRPr="006871FF">
        <w:rPr>
          <w:rFonts w:ascii="Georgia" w:hAnsi="Georgia" w:cstheme="majorBidi"/>
        </w:rPr>
        <w:t xml:space="preserve">ër luftën kundër korrupsionit. </w:t>
      </w:r>
    </w:p>
    <w:p w:rsidR="00BD08ED" w:rsidRDefault="0082140E" w:rsidP="00BD08ED">
      <w:pPr>
        <w:pStyle w:val="NoSpacing"/>
        <w:jc w:val="both"/>
        <w:rPr>
          <w:rFonts w:ascii="Georgia" w:hAnsi="Georgia" w:cstheme="majorBidi"/>
        </w:rPr>
      </w:pPr>
      <w:r w:rsidRPr="006871FF">
        <w:rPr>
          <w:rFonts w:ascii="Georgia" w:hAnsi="Georgia" w:cstheme="majorBidi"/>
        </w:rPr>
        <w:t xml:space="preserve">Ndërmjet </w:t>
      </w:r>
      <w:r w:rsidRPr="006871FF">
        <w:rPr>
          <w:rFonts w:ascii="Georgia" w:hAnsi="Georgia" w:cstheme="majorBidi"/>
          <w:b/>
          <w:color w:val="FF0000"/>
        </w:rPr>
        <w:t>këtyre instrumenteve, historikisht e para</w:t>
      </w:r>
      <w:r w:rsidRPr="006871FF">
        <w:rPr>
          <w:rFonts w:ascii="Georgia" w:hAnsi="Georgia" w:cstheme="majorBidi"/>
          <w:color w:val="FF0000"/>
        </w:rPr>
        <w:t xml:space="preserve"> </w:t>
      </w:r>
      <w:r w:rsidRPr="006871FF">
        <w:rPr>
          <w:rFonts w:ascii="Georgia" w:hAnsi="Georgia" w:cstheme="majorBidi"/>
        </w:rPr>
        <w:t>është Konventa kundër Korrupsionit e Kombeve të Bashkuara (KKKKB).  Kjo Konventë është konsideruar e dyta Konventë me numrin më të madh të pjesëmarrjes së shteteve.  Ajo ka 188 shtete palë që nga Gushti i vitit 2021</w:t>
      </w:r>
      <w:r w:rsidRPr="006871FF">
        <w:rPr>
          <w:rStyle w:val="FootnoteReference"/>
          <w:rFonts w:ascii="Georgia" w:hAnsi="Georgia" w:cstheme="majorBidi"/>
        </w:rPr>
        <w:footnoteReference w:id="6"/>
      </w:r>
      <w:r w:rsidRPr="006871FF">
        <w:rPr>
          <w:rFonts w:ascii="Georgia" w:hAnsi="Georgia" w:cstheme="majorBidi"/>
        </w:rPr>
        <w:t>.  KKKKB është e përberë nga 8 Kapituj.  Përveç dispozitave të Përgjithshme dhe Dispozitave të Fundit të cilat përmbajnë një informacion teknik shumë të rëndësishëm, KKKKB ka kapituj të veçantë mbi Masat Parandaluese, Kriminalizimin dhe Zbatimin e Ligjit, Bashkëpunimin Ndërkombëtar, Rikuperimin e Aseteve, Asistencën Teknike dhe Shkëmbimin e Informacionit dhe Mekanizmat e Aplikimit.  Sekretariati i KKKKB është Zyra e Kombeve të Bashkuara për Drogën dhe Krimin (ZKBDK) me seli në Vjenë, Austri.</w:t>
      </w:r>
    </w:p>
    <w:p w:rsidR="00BD08ED" w:rsidRDefault="0082140E" w:rsidP="00BD08ED">
      <w:pPr>
        <w:pStyle w:val="NoSpacing"/>
        <w:jc w:val="both"/>
        <w:rPr>
          <w:rFonts w:ascii="Georgia" w:hAnsi="Georgia" w:cstheme="majorBidi"/>
        </w:rPr>
      </w:pPr>
      <w:r w:rsidRPr="006871FF">
        <w:rPr>
          <w:rFonts w:ascii="Georgia" w:hAnsi="Georgia" w:cstheme="majorBidi"/>
        </w:rPr>
        <w:t xml:space="preserve">Mekanizmi i Monitorimit (Mekanizmi i Rishikimit) kryhet si më vazhdim: Së pari kryhet i ndarë në cikle rishikimi për një periudhë 5 vjeçare që mbulon kapituj konkret të KKKKB.  Për shembull, cikli i parë i rishikimit për të gjithë vendet ishte 2010-2015 dhe kapitulli i parë </w:t>
      </w:r>
      <w:r w:rsidRPr="006871FF">
        <w:rPr>
          <w:rFonts w:ascii="Georgia" w:hAnsi="Georgia" w:cstheme="majorBidi"/>
        </w:rPr>
        <w:lastRenderedPageBreak/>
        <w:t>i rishikimit ishte kapitulli III (Kriminalizimin dhe Zbatimin e Ligjit) dhe IV (Bashkëpunimin Ndërkombëtar). Më pas, rishikimi aktual përbëhet nga tre faza.</w:t>
      </w:r>
    </w:p>
    <w:p w:rsidR="00BD08ED" w:rsidRDefault="0082140E" w:rsidP="00BD08ED">
      <w:pPr>
        <w:pStyle w:val="NoSpacing"/>
        <w:jc w:val="both"/>
        <w:rPr>
          <w:rFonts w:ascii="Georgia" w:hAnsi="Georgia" w:cstheme="majorBidi"/>
        </w:rPr>
      </w:pPr>
      <w:r w:rsidRPr="006871FF">
        <w:rPr>
          <w:rFonts w:ascii="Georgia" w:hAnsi="Georgia" w:cstheme="majorBidi"/>
        </w:rPr>
        <w:t>faza e parë: Vetë vlerësimi nga Vendi në shqyrtim.</w:t>
      </w:r>
    </w:p>
    <w:p w:rsidR="00BD08ED" w:rsidRDefault="0082140E" w:rsidP="00BD08ED">
      <w:pPr>
        <w:pStyle w:val="NoSpacing"/>
        <w:jc w:val="both"/>
        <w:rPr>
          <w:rFonts w:ascii="Georgia" w:hAnsi="Georgia" w:cstheme="majorBidi"/>
        </w:rPr>
      </w:pPr>
      <w:r w:rsidRPr="006871FF">
        <w:rPr>
          <w:rFonts w:ascii="Georgia" w:hAnsi="Georgia" w:cstheme="majorBidi"/>
        </w:rPr>
        <w:t>Faza dytë: Dy shtete që rishqyrtojnë (vendoset me short dhe njëri prej tyre duhet të jetë nga i njëjti rajon me vendin që shqyrtohet) që sigurojnë ekspertë dhe formojnë Ekipin e Ekspertëve të shqyrtimit).  Ky ekip kryen kërkime në tavolinë dhe nëse është e nevojshme, mund të kërkojë vizitë në vendin në shqyrtim, nëse ky i fundit e pranon atë.</w:t>
      </w:r>
    </w:p>
    <w:p w:rsidR="00BD08ED" w:rsidRDefault="0082140E" w:rsidP="00BD08ED">
      <w:pPr>
        <w:pStyle w:val="NoSpacing"/>
        <w:jc w:val="both"/>
        <w:rPr>
          <w:rFonts w:ascii="Georgia" w:hAnsi="Georgia" w:cstheme="majorBidi"/>
        </w:rPr>
      </w:pPr>
      <w:r w:rsidRPr="006871FF">
        <w:rPr>
          <w:rFonts w:ascii="Georgia" w:hAnsi="Georgia" w:cstheme="majorBidi"/>
        </w:rPr>
        <w:t xml:space="preserve">Faza 3:  Skuadra e Ekspertëve të Shqyrtimit harton Raportin e Shqyrtimit të Vendit dhe Përmbledhjen Ekzekutive.  Pavarësisht dëshirës së vendit që i nënshtrohet shqyrtimit, Përmbledhja Ekzekutive postohet në </w:t>
      </w:r>
      <w:r w:rsidR="00966A79" w:rsidRPr="006871FF">
        <w:rPr>
          <w:rFonts w:ascii="Georgia" w:hAnsi="Georgia" w:cstheme="majorBidi"/>
        </w:rPr>
        <w:t>Ë</w:t>
      </w:r>
      <w:r w:rsidRPr="006871FF">
        <w:rPr>
          <w:rFonts w:ascii="Georgia" w:hAnsi="Georgia" w:cstheme="majorBidi"/>
        </w:rPr>
        <w:t>ebsite e KKKKB.  Pë</w:t>
      </w:r>
      <w:r w:rsidR="00BD08ED">
        <w:rPr>
          <w:rFonts w:ascii="Georgia" w:hAnsi="Georgia" w:cstheme="majorBidi"/>
        </w:rPr>
        <w:t>r sa i përket Raportit të Plotë</w:t>
      </w:r>
    </w:p>
    <w:p w:rsidR="00BD08ED" w:rsidRDefault="0082140E" w:rsidP="00BD08ED">
      <w:pPr>
        <w:pStyle w:val="NoSpacing"/>
        <w:jc w:val="both"/>
        <w:rPr>
          <w:rFonts w:ascii="Georgia" w:hAnsi="Georgia" w:cstheme="majorBidi"/>
        </w:rPr>
      </w:pPr>
      <w:r w:rsidRPr="006871FF">
        <w:rPr>
          <w:rFonts w:ascii="Georgia" w:hAnsi="Georgia" w:cstheme="majorBidi"/>
        </w:rPr>
        <w:t>(Raporti i Vendit të Shqyrtuar), ai mund të postohet në ëebsite në</w:t>
      </w:r>
      <w:r w:rsidR="00BD08ED">
        <w:rPr>
          <w:rFonts w:ascii="Georgia" w:hAnsi="Georgia" w:cstheme="majorBidi"/>
        </w:rPr>
        <w:t>se vendi në fjalë e kërkon atë.</w:t>
      </w:r>
    </w:p>
    <w:p w:rsidR="00BD08ED" w:rsidRDefault="0082140E" w:rsidP="00BD08ED">
      <w:pPr>
        <w:pStyle w:val="NoSpacing"/>
        <w:jc w:val="both"/>
        <w:rPr>
          <w:rFonts w:ascii="Georgia" w:hAnsi="Georgia" w:cstheme="majorBidi"/>
        </w:rPr>
      </w:pPr>
      <w:r w:rsidRPr="006871FF">
        <w:rPr>
          <w:rFonts w:ascii="Georgia" w:hAnsi="Georgia" w:cstheme="majorBidi"/>
        </w:rPr>
        <w:t>Shqipëria, përgjatë ciklit të parë, është shqyrtuar nga Armenia dhe Mali dhe përgjatë ciklit të dytë do të shqyrtohet nga Azerbajxhani dhe Liberia</w:t>
      </w:r>
      <w:r w:rsidRPr="006871FF">
        <w:rPr>
          <w:rStyle w:val="FootnoteReference"/>
          <w:rFonts w:ascii="Georgia" w:hAnsi="Georgia" w:cstheme="majorBidi"/>
        </w:rPr>
        <w:footnoteReference w:id="7"/>
      </w:r>
      <w:r w:rsidRPr="006871FF">
        <w:rPr>
          <w:rFonts w:ascii="Georgia" w:hAnsi="Georgia" w:cstheme="majorBidi"/>
        </w:rPr>
        <w:t>.  Raporti I Shqyrtimit të Shqipërisë për ciklin e parë të shqyrtimit është publikuar.</w:t>
      </w:r>
    </w:p>
    <w:p w:rsidR="00CA2F9C" w:rsidRDefault="0082140E" w:rsidP="00CA2F9C">
      <w:pPr>
        <w:pStyle w:val="NoSpacing"/>
        <w:jc w:val="both"/>
        <w:rPr>
          <w:rFonts w:ascii="Georgia" w:hAnsi="Georgia" w:cstheme="majorBidi"/>
        </w:rPr>
      </w:pPr>
      <w:r w:rsidRPr="006871FF">
        <w:rPr>
          <w:rFonts w:ascii="Georgia" w:hAnsi="Georgia" w:cstheme="majorBidi"/>
        </w:rPr>
        <w:t xml:space="preserve">Në KKKKB, gjenden nene detyruese dhe jo detyruese për kriminalizimin. Ndër nenet e detyrueshme janë ryshfeti i zyrtarëve publik vendas (neni 15), ryshfeti i zyrtarëve publik të huaj dhe organizatave ndërkombëtare (neni 16), përvetësimi, shpërdorimi ose devijimet/diversioni tjetër i pasurisë nga zyrtari publik (neni 17), pastrimi I parave (neni 23) dhe pengimi i </w:t>
      </w:r>
      <w:r w:rsidR="00331944">
        <w:rPr>
          <w:rFonts w:ascii="Georgia" w:hAnsi="Georgia" w:cstheme="majorBidi"/>
        </w:rPr>
        <w:t>drejtësisë (neni 25).</w:t>
      </w:r>
    </w:p>
    <w:p w:rsidR="00CA2F9C" w:rsidRDefault="0082140E" w:rsidP="00CA2F9C">
      <w:pPr>
        <w:pStyle w:val="NoSpacing"/>
        <w:jc w:val="both"/>
        <w:rPr>
          <w:rFonts w:ascii="Georgia" w:hAnsi="Georgia" w:cstheme="majorBidi"/>
        </w:rPr>
      </w:pPr>
      <w:r w:rsidRPr="006871FF">
        <w:rPr>
          <w:rFonts w:ascii="Georgia" w:hAnsi="Georgia" w:cstheme="majorBidi"/>
          <w:b/>
          <w:color w:val="FF0000"/>
        </w:rPr>
        <w:t>Instrumenti tjetër</w:t>
      </w:r>
      <w:r w:rsidRPr="006871FF">
        <w:rPr>
          <w:rFonts w:ascii="Georgia" w:hAnsi="Georgia" w:cstheme="majorBidi"/>
          <w:color w:val="FF0000"/>
        </w:rPr>
        <w:t xml:space="preserve"> </w:t>
      </w:r>
      <w:r w:rsidRPr="006871FF">
        <w:rPr>
          <w:rFonts w:ascii="Georgia" w:hAnsi="Georgia" w:cstheme="majorBidi"/>
        </w:rPr>
        <w:t>është Konventa e të drejtës penale për Korrupsionin e Këshillit të Evropës (KE) në të cilën Shqipëria është palë.  Konventa ka hyrë në fuqi në 2002</w:t>
      </w:r>
      <w:r w:rsidRPr="006871FF">
        <w:rPr>
          <w:rStyle w:val="FootnoteReference"/>
          <w:rFonts w:ascii="Georgia" w:hAnsi="Georgia" w:cstheme="majorBidi"/>
        </w:rPr>
        <w:footnoteReference w:id="8"/>
      </w:r>
      <w:r w:rsidRPr="006871FF">
        <w:rPr>
          <w:rFonts w:ascii="Georgia" w:hAnsi="Georgia" w:cstheme="majorBidi"/>
        </w:rPr>
        <w:t>.  Konventa kërkon ndjekjen penale të të gjitha formave të korrupsionit aktiv dhe pasiv, pastrimin e parave të ardhura nga veprat penale të korrupsionit dhe veprat penale të kontabilitetit të lidhura me veprat penale të korrupsionit.  Përveç kësaj, shteteve u kërkohet të shkëmbejnë informacion ndërmjet tyre lidhur me këto vepra penale, të ofrojnë grantin e ndihmës së ndërsjellë të kërkesave të ekstradimit.  Ka Protokoll Shtesë në këtë Konventë (të cilin Shqipëria e ka ratifikuar), i cili në thelb shtrin krimet e përmendura në Konventë tek arbitra në çështjet tregtare, civile dhe të tjera, siç dhe tek juristët.</w:t>
      </w:r>
      <w:r w:rsidRPr="006871FF">
        <w:rPr>
          <w:rStyle w:val="FootnoteReference"/>
          <w:rFonts w:ascii="Georgia" w:hAnsi="Georgia" w:cstheme="majorBidi"/>
        </w:rPr>
        <w:footnoteReference w:id="9"/>
      </w:r>
    </w:p>
    <w:p w:rsidR="00CA2F9C" w:rsidRDefault="0082140E" w:rsidP="00CA2F9C">
      <w:pPr>
        <w:pStyle w:val="NoSpacing"/>
        <w:jc w:val="both"/>
        <w:rPr>
          <w:rFonts w:ascii="Georgia" w:hAnsi="Georgia" w:cstheme="majorBidi"/>
        </w:rPr>
      </w:pPr>
      <w:r w:rsidRPr="006871FF">
        <w:rPr>
          <w:rFonts w:ascii="Georgia" w:hAnsi="Georgia" w:cstheme="majorBidi"/>
          <w:b/>
          <w:color w:val="FF0000"/>
        </w:rPr>
        <w:t>KE ka një tjetër Konventë të rëndësishme</w:t>
      </w:r>
      <w:r w:rsidRPr="006871FF">
        <w:rPr>
          <w:rFonts w:ascii="Georgia" w:hAnsi="Georgia" w:cstheme="majorBidi"/>
        </w:rPr>
        <w:t>: Konventa e të Drejtës Civile për Korrupsionin (Shqipëria ka ratifikuar)</w:t>
      </w:r>
      <w:r w:rsidRPr="006871FF">
        <w:rPr>
          <w:rStyle w:val="FootnoteReference"/>
          <w:rFonts w:ascii="Georgia" w:hAnsi="Georgia" w:cstheme="majorBidi"/>
        </w:rPr>
        <w:footnoteReference w:id="10"/>
      </w:r>
      <w:r w:rsidRPr="006871FF">
        <w:rPr>
          <w:rFonts w:ascii="Georgia" w:hAnsi="Georgia" w:cstheme="majorBidi"/>
        </w:rPr>
        <w:t>.  Kjo Konventë kërkon të sigurojë në ligjin vendas mjetet juridike për personat, të cilët kanë pësuar dëm për shkak të veprimeve/akteve të korrupsionit.</w:t>
      </w:r>
    </w:p>
    <w:p w:rsidR="00CA2F9C" w:rsidRDefault="0082140E" w:rsidP="00CA2F9C">
      <w:pPr>
        <w:pStyle w:val="NoSpacing"/>
        <w:jc w:val="both"/>
        <w:rPr>
          <w:rFonts w:ascii="Georgia" w:hAnsi="Georgia" w:cstheme="majorBidi"/>
        </w:rPr>
      </w:pPr>
      <w:r w:rsidRPr="006871FF">
        <w:rPr>
          <w:rFonts w:ascii="Georgia" w:hAnsi="Georgia" w:cstheme="majorBidi"/>
        </w:rPr>
        <w:t>Së bashku Konventat (e të Drejtës Civile dhe të Drejtës Penale siç edhe protokolli Shtesë) janë duke u mon</w:t>
      </w:r>
      <w:r w:rsidR="00CF61C4" w:rsidRPr="006871FF">
        <w:rPr>
          <w:rFonts w:ascii="Georgia" w:hAnsi="Georgia" w:cstheme="majorBidi"/>
        </w:rPr>
        <w:t>itoruar nga GRECO/</w:t>
      </w:r>
      <w:r w:rsidR="00CF61C4" w:rsidRPr="006871FF">
        <w:rPr>
          <w:rFonts w:ascii="Georgia" w:hAnsi="Georgia" w:cstheme="majorBidi"/>
          <w:b/>
        </w:rPr>
        <w:t>GShKK</w:t>
      </w:r>
      <w:r w:rsidR="00CF61C4" w:rsidRPr="006871FF">
        <w:rPr>
          <w:rFonts w:ascii="Georgia" w:hAnsi="Georgia" w:cstheme="majorBidi"/>
        </w:rPr>
        <w:t xml:space="preserve"> (Grupi i</w:t>
      </w:r>
      <w:r w:rsidRPr="006871FF">
        <w:rPr>
          <w:rFonts w:ascii="Georgia" w:hAnsi="Georgia" w:cstheme="majorBidi"/>
        </w:rPr>
        <w:t xml:space="preserve"> Shteteve kundër Korrupsioni).  </w:t>
      </w:r>
      <w:r w:rsidRPr="006871FF">
        <w:rPr>
          <w:rFonts w:ascii="Georgia" w:hAnsi="Georgia" w:cstheme="majorBidi"/>
          <w:color w:val="FF0000"/>
        </w:rPr>
        <w:t>GRECO është trupa monitoruese për respektimin nga anëtarët e KE të standardeve kundër-korrupsion</w:t>
      </w:r>
      <w:r w:rsidRPr="006871FF">
        <w:rPr>
          <w:rStyle w:val="FootnoteReference"/>
          <w:rFonts w:ascii="Georgia" w:hAnsi="Georgia" w:cstheme="majorBidi"/>
        </w:rPr>
        <w:footnoteReference w:id="11"/>
      </w:r>
      <w:r w:rsidRPr="006871FF">
        <w:rPr>
          <w:rFonts w:ascii="Georgia" w:hAnsi="Georgia" w:cstheme="majorBidi"/>
        </w:rPr>
        <w:t>.</w:t>
      </w:r>
    </w:p>
    <w:p w:rsidR="00CA2F9C" w:rsidRDefault="0082140E" w:rsidP="00CA2F9C">
      <w:pPr>
        <w:pStyle w:val="NoSpacing"/>
        <w:jc w:val="both"/>
        <w:rPr>
          <w:rFonts w:ascii="Georgia" w:hAnsi="Georgia" w:cstheme="majorBidi"/>
        </w:rPr>
      </w:pPr>
      <w:r w:rsidRPr="006871FF">
        <w:rPr>
          <w:rFonts w:ascii="Georgia" w:hAnsi="Georgia" w:cstheme="majorBidi"/>
        </w:rPr>
        <w:t>GRECO punon me cikle, me çdo raund vlerësues që mbulon tema të veçanta p.sh. shtrirja dhe fusha e veprimit të imunitetit të zyrtarëve publik, parandalimi dhe zbulimi i korrupsionit në administratën publike; parashikimi i inkriminimit në Konventën Penale për Korrupsionin apo për transparencën e financimit të parti</w:t>
      </w:r>
      <w:r w:rsidR="00DA05E4" w:rsidRPr="006871FF">
        <w:rPr>
          <w:rFonts w:ascii="Georgia" w:hAnsi="Georgia" w:cstheme="majorBidi"/>
        </w:rPr>
        <w:t>ve etj.  Pas çdo vizite të CRECO</w:t>
      </w:r>
      <w:r w:rsidRPr="006871FF">
        <w:rPr>
          <w:rFonts w:ascii="Georgia" w:hAnsi="Georgia" w:cstheme="majorBidi"/>
        </w:rPr>
        <w:t xml:space="preserve"> në shtetet anëtare, ekspertët e CRECO hartojnë një raport, i cili i dërgohet qeverisë së vendit nën vëzhgim për koment, përpara se ai të dorëzohet përfundimisht tek CRECO për shqyrtim dhe përshtatje.  Në bazën e këtij raporti, ashtu siç dhe reagimin e qeverisë, CRECO duhet të japë rekomandime.</w:t>
      </w:r>
    </w:p>
    <w:p w:rsidR="00CA2F9C" w:rsidRDefault="0082140E" w:rsidP="00CA2F9C">
      <w:pPr>
        <w:pStyle w:val="NoSpacing"/>
        <w:jc w:val="both"/>
        <w:rPr>
          <w:rFonts w:ascii="Georgia" w:hAnsi="Georgia" w:cstheme="majorBidi"/>
        </w:rPr>
      </w:pPr>
      <w:r w:rsidRPr="006871FF">
        <w:rPr>
          <w:rFonts w:ascii="Georgia" w:hAnsi="Georgia" w:cstheme="majorBidi"/>
        </w:rPr>
        <w:t xml:space="preserve">Duhet theksuar se rekomandimet e GRECO kanë natyrë detyruese dhe për rrjedhojë duhet të kryhen veprime:  brenda 18 muajsh, vendi në fjalë duhet të zbatojë masat e rekomanduara </w:t>
      </w:r>
      <w:r w:rsidRPr="006871FF">
        <w:rPr>
          <w:rFonts w:ascii="Georgia" w:hAnsi="Georgia" w:cstheme="majorBidi"/>
        </w:rPr>
        <w:lastRenderedPageBreak/>
        <w:t>nga GRECO dhe të dorëzojë një raport në pajtim me to.  Më pas GRECO kontrollon pajtueshmërinë dhe përfundon procedurën e pajtueshmërisë vetëm nëse të gjitha rekomandimet janë zb</w:t>
      </w:r>
      <w:r w:rsidR="00CA2F9C">
        <w:rPr>
          <w:rFonts w:ascii="Georgia" w:hAnsi="Georgia" w:cstheme="majorBidi"/>
        </w:rPr>
        <w:t xml:space="preserve">atuar në mënyrë të kënaqshme. </w:t>
      </w:r>
    </w:p>
    <w:p w:rsidR="00C229C7" w:rsidRDefault="0082140E" w:rsidP="00C229C7">
      <w:pPr>
        <w:pStyle w:val="NoSpacing"/>
        <w:jc w:val="both"/>
        <w:rPr>
          <w:rFonts w:ascii="Georgia" w:hAnsi="Georgia" w:cstheme="majorBidi"/>
        </w:rPr>
      </w:pPr>
      <w:r w:rsidRPr="006871FF">
        <w:rPr>
          <w:rFonts w:ascii="Georgia" w:hAnsi="Georgia" w:cstheme="majorBidi"/>
          <w:b/>
          <w:color w:val="FF0000"/>
        </w:rPr>
        <w:t>Të fundit por jo më pak të rëndësishëm, janë instrumentet që lidhen me Pastrimin e Parave në kuadër të KE</w:t>
      </w:r>
      <w:r w:rsidRPr="006871FF">
        <w:rPr>
          <w:rFonts w:ascii="Georgia" w:hAnsi="Georgia" w:cstheme="majorBidi"/>
        </w:rPr>
        <w:t>.  Së pari, është Konventa për Pastrimin, kërkimin sekuestrimin dhe konfiskimin e të ardhurave nga krimi (141) dhe së dyti është Konventa për Pastrimin dhe konfiskimin e të ardhurave nga krimi dhe financimi i terrorizmit (198). Të dyja janë të ratifikuara nga Shqipëria</w:t>
      </w:r>
      <w:r w:rsidRPr="006871FF">
        <w:rPr>
          <w:rStyle w:val="FootnoteReference"/>
          <w:rFonts w:ascii="Georgia" w:hAnsi="Georgia" w:cstheme="majorBidi"/>
        </w:rPr>
        <w:footnoteReference w:id="12"/>
      </w:r>
      <w:r w:rsidRPr="006871FF">
        <w:rPr>
          <w:rFonts w:ascii="Georgia" w:hAnsi="Georgia" w:cstheme="majorBidi"/>
        </w:rPr>
        <w:t>.  Këtu mund të shtjellohet për</w:t>
      </w:r>
      <w:r w:rsidR="00F8216E" w:rsidRPr="006871FF">
        <w:rPr>
          <w:rFonts w:ascii="Georgia" w:hAnsi="Georgia" w:cstheme="majorBidi"/>
        </w:rPr>
        <w:t xml:space="preserve"> MONEYVAL</w:t>
      </w:r>
      <w:r w:rsidR="00432ACB" w:rsidRPr="006871FF">
        <w:rPr>
          <w:rFonts w:ascii="Georgia" w:hAnsi="Georgia" w:cstheme="majorBidi"/>
        </w:rPr>
        <w:t xml:space="preserve"> </w:t>
      </w:r>
      <w:r w:rsidR="00F8216E" w:rsidRPr="006871FF">
        <w:rPr>
          <w:rFonts w:ascii="Georgia" w:hAnsi="Georgia" w:cstheme="majorBidi"/>
        </w:rPr>
        <w:t xml:space="preserve">/ </w:t>
      </w:r>
      <w:r w:rsidR="00F8216E" w:rsidRPr="006871FF">
        <w:rPr>
          <w:rFonts w:ascii="Georgia" w:hAnsi="Georgia" w:cstheme="majorBidi"/>
          <w:b/>
        </w:rPr>
        <w:t>KEVMKPPFT</w:t>
      </w:r>
      <w:r w:rsidR="00F8216E" w:rsidRPr="006871FF">
        <w:rPr>
          <w:rFonts w:ascii="Georgia" w:hAnsi="Georgia" w:cstheme="majorBidi"/>
        </w:rPr>
        <w:t xml:space="preserve"> (Komiteti i</w:t>
      </w:r>
      <w:r w:rsidRPr="006871FF">
        <w:rPr>
          <w:rFonts w:ascii="Georgia" w:hAnsi="Georgia" w:cstheme="majorBidi"/>
        </w:rPr>
        <w:t xml:space="preserve"> Ekspertëve për Vlerësimin e Masave Kundër Pastrimit të Parave dhe Financimit të Terrorizmit).i cili është instrumenti monitorues kryesor i Këshillit të Evropës në luftën kundër Pastrimit të Parave</w:t>
      </w:r>
      <w:r w:rsidRPr="006871FF">
        <w:rPr>
          <w:rStyle w:val="FootnoteReference"/>
          <w:rFonts w:ascii="Georgia" w:hAnsi="Georgia" w:cstheme="majorBidi"/>
        </w:rPr>
        <w:footnoteReference w:id="13"/>
      </w:r>
      <w:r w:rsidRPr="006871FF">
        <w:rPr>
          <w:rFonts w:ascii="Georgia" w:hAnsi="Georgia" w:cstheme="majorBidi"/>
        </w:rPr>
        <w:t>. Çdo vend nënshkrues ka të drejtë të emërojë deri në tre ekspertë në KEVMKPPFT, ndërsa Task Forca e Veprimit Financiar (FATF/</w:t>
      </w:r>
      <w:r w:rsidRPr="006871FF">
        <w:rPr>
          <w:rFonts w:ascii="Georgia" w:hAnsi="Georgia" w:cstheme="majorBidi"/>
          <w:b/>
        </w:rPr>
        <w:t>TFVF</w:t>
      </w:r>
      <w:r w:rsidRPr="006871FF">
        <w:rPr>
          <w:rFonts w:ascii="Georgia" w:hAnsi="Georgia" w:cstheme="majorBidi"/>
        </w:rPr>
        <w:t>) emëron dy.  KEVMKPPFT i është besuar detyra e vlerësimit të pajtueshmërisë/përputhshmërisë së Shtetit anëtar me standardet kryesore ndërkombëtare për të luftuar pastrimin e parave dhe financimin e terrorizmit si edhe efektivitetin e zbatimit të tyre.  I kërkohet të japë rekomandime për autoritetet kombëtare në lidhje me përmirësimet e nevojshme në sistemin e tyre.  Së fundmi, ai ndihmon në përmirësimin e kapaciteteve të autoriteteve kombëtare për të luftuar në mënyrë efektive pastrimin e parave dhe financimin e terrorizmit nëpërmjet një procedure monitoruese të bazuar në vizitat e vlerësimit të ndërsjellë në terren, rishikimet nga kolegët në formën e raporteve të vlerësimit dhe ndjekja e rregullt.</w:t>
      </w:r>
    </w:p>
    <w:p w:rsidR="00C229C7" w:rsidRDefault="0082140E" w:rsidP="00C229C7">
      <w:pPr>
        <w:pStyle w:val="NoSpacing"/>
        <w:jc w:val="both"/>
        <w:rPr>
          <w:rFonts w:ascii="Georgia" w:hAnsi="Georgia" w:cstheme="majorBidi"/>
        </w:rPr>
      </w:pPr>
      <w:r w:rsidRPr="006871FF">
        <w:rPr>
          <w:rFonts w:ascii="Georgia" w:hAnsi="Georgia" w:cstheme="majorBidi"/>
        </w:rPr>
        <w:t xml:space="preserve">KEVMKPPFT kryen vlerësimet në raunde dhe ka filluar raundin e pestë në vitin 2015.  Rregullat e Procedurës përcaktohen në mënyrë të veçantë në secilin raund. Vlerësimet kryhen nga ekipe shumë-disiplinore, zakonisht të përbëra nga 4 ekspertë (një ekspert ligjor, dy ekspertë financiar dhe një ekspert i zbatimit të ligjit) dhe asistuar nga një anëtar i Sekretariatit të KEVMKPPFT.  Ekipi kryen vizita në vend dhe angazhohet në biseda të thella me përfaqësues të ndryshëm të sektorëve të ndryshëm (ministritë, taksat, gjyqësorin, organet doganore, bankat, njësitë e inteligjencës financiare etj.).  Pas vizitës hartohet një raport i detajuar I vlerësimit me rekomandime të veçanta për përmirësime.  Më pas raporti diskutohet dhe ndryshohet gjatë një prej mbledhjeve plenare të KEVMKPPFT dhe më pas Raporti i dërgohet vendit në fjalë për komente si dhe për të kontrolluar nëse ndryshimet e bëra janë në përputhje me vendimet plenare. Më pas ky version i Raportit publikohet.  Pas publikimit KEVMKPPFT vazhdon me përditësime dy vjeçare, raporte progresi dhe raporte të pajtueshmërisë të </w:t>
      </w:r>
      <w:r w:rsidR="00331944">
        <w:rPr>
          <w:rFonts w:ascii="Georgia" w:hAnsi="Georgia" w:cstheme="majorBidi"/>
        </w:rPr>
        <w:t>paraqitura nga shtetet anëtare.</w:t>
      </w:r>
    </w:p>
    <w:p w:rsidR="00C229C7" w:rsidRDefault="00C229C7" w:rsidP="00C229C7">
      <w:pPr>
        <w:pStyle w:val="NoSpacing"/>
        <w:jc w:val="both"/>
        <w:rPr>
          <w:rFonts w:ascii="Georgia" w:hAnsi="Georgia" w:cstheme="majorBidi"/>
        </w:rPr>
      </w:pPr>
    </w:p>
    <w:p w:rsidR="00C229C7" w:rsidRDefault="0082140E" w:rsidP="00C229C7">
      <w:pPr>
        <w:pStyle w:val="NoSpacing"/>
        <w:jc w:val="both"/>
        <w:rPr>
          <w:rFonts w:ascii="Georgia" w:hAnsi="Georgia" w:cstheme="majorBidi"/>
          <w:b/>
          <w:bCs/>
        </w:rPr>
      </w:pPr>
      <w:r w:rsidRPr="006871FF">
        <w:rPr>
          <w:rFonts w:ascii="Georgia" w:hAnsi="Georgia" w:cstheme="majorBidi"/>
          <w:b/>
          <w:bCs/>
        </w:rPr>
        <w:t>Denoncuesit</w:t>
      </w:r>
      <w:r w:rsidR="00E516E3" w:rsidRPr="006871FF">
        <w:rPr>
          <w:rStyle w:val="FootnoteReference"/>
          <w:rFonts w:ascii="Georgia" w:hAnsi="Georgia" w:cstheme="majorBidi"/>
          <w:b/>
          <w:bCs/>
        </w:rPr>
        <w:footnoteReference w:id="14"/>
      </w:r>
      <w:r w:rsidR="00C229C7">
        <w:rPr>
          <w:rFonts w:ascii="Georgia" w:hAnsi="Georgia" w:cstheme="majorBidi"/>
          <w:b/>
          <w:bCs/>
        </w:rPr>
        <w:tab/>
        <w:t>(shih ligjin shqiptar)</w:t>
      </w:r>
    </w:p>
    <w:p w:rsidR="00C229C7" w:rsidRDefault="0082140E" w:rsidP="00C229C7">
      <w:pPr>
        <w:pStyle w:val="NoSpacing"/>
        <w:jc w:val="both"/>
        <w:rPr>
          <w:rFonts w:ascii="Georgia" w:hAnsi="Georgia" w:cstheme="majorBidi"/>
        </w:rPr>
      </w:pPr>
      <w:r w:rsidRPr="006871FF">
        <w:rPr>
          <w:rFonts w:ascii="Georgia" w:hAnsi="Georgia" w:cstheme="majorBidi"/>
        </w:rPr>
        <w:t xml:space="preserve">Lufta efektive kundër korrupsionit është e mundur kur populli e raporton atë.  Si rregull korrupsioni është një krim i fshehtë dhe ndërveprim klasik </w:t>
      </w:r>
      <w:r w:rsidRPr="006871FF">
        <w:rPr>
          <w:rFonts w:ascii="Georgia" w:hAnsi="Georgia" w:cstheme="majorBidi"/>
          <w:i/>
          <w:iCs/>
        </w:rPr>
        <w:t>quid-pro-quo</w:t>
      </w:r>
      <w:r w:rsidRPr="006871FF">
        <w:rPr>
          <w:rFonts w:ascii="Georgia" w:hAnsi="Georgia" w:cstheme="majorBidi"/>
        </w:rPr>
        <w:t>/diçka për diçka, në të cilin asnjëra nga palët nuk është e interesuar të zbulojë korrupsionin.  Ky tipar e bën më se të nevojshëm vendosjen e një sistemi gjithëpërfshirës për mbrojtjen e denoncuesve.  Është pranuar se historikisht akti I parë ligjor që u sigurojë mbrojtje denoncuesve ishte Akti i Kërkesave të rreme në Shtetet e Bashkuara</w:t>
      </w:r>
      <w:r w:rsidRPr="006871FF">
        <w:rPr>
          <w:rStyle w:val="FootnoteReference"/>
          <w:rFonts w:ascii="Georgia" w:hAnsi="Georgia" w:cstheme="majorBidi"/>
        </w:rPr>
        <w:footnoteReference w:id="15"/>
      </w:r>
      <w:r w:rsidRPr="006871FF">
        <w:rPr>
          <w:rFonts w:ascii="Georgia" w:hAnsi="Georgia" w:cstheme="majorBidi"/>
        </w:rPr>
        <w:t xml:space="preserve">.  Përsëri Shtetet e Bashkuara deri më tani, janë shembulli më i mirë sesi një denoncues i vetëm mund të arrijë sukses masiv në luftën ndaj korrupsionit.  Skandali i </w:t>
      </w:r>
      <w:r w:rsidR="00966A79" w:rsidRPr="006871FF">
        <w:rPr>
          <w:rFonts w:ascii="Georgia" w:hAnsi="Georgia" w:cstheme="majorBidi"/>
        </w:rPr>
        <w:t>Ë</w:t>
      </w:r>
      <w:r w:rsidRPr="006871FF">
        <w:rPr>
          <w:rFonts w:ascii="Georgia" w:hAnsi="Georgia" w:cstheme="majorBidi"/>
        </w:rPr>
        <w:t xml:space="preserve">atergate është shembulli më i mirë:  vetëm një person Mark Felt (Drejtor i Asociuar i FBI që po i nxirrte informacione Bob </w:t>
      </w:r>
      <w:r w:rsidR="00966A79" w:rsidRPr="006871FF">
        <w:rPr>
          <w:rFonts w:ascii="Georgia" w:hAnsi="Georgia" w:cstheme="majorBidi"/>
        </w:rPr>
        <w:t>Ë</w:t>
      </w:r>
      <w:r w:rsidRPr="006871FF">
        <w:rPr>
          <w:rFonts w:ascii="Georgia" w:hAnsi="Georgia" w:cstheme="majorBidi"/>
        </w:rPr>
        <w:t>ood</w:t>
      </w:r>
      <w:r w:rsidR="00966A79" w:rsidRPr="006871FF">
        <w:rPr>
          <w:rFonts w:ascii="Georgia" w:hAnsi="Georgia" w:cstheme="majorBidi"/>
        </w:rPr>
        <w:t>ë</w:t>
      </w:r>
      <w:r w:rsidRPr="006871FF">
        <w:rPr>
          <w:rFonts w:ascii="Georgia" w:hAnsi="Georgia" w:cstheme="majorBidi"/>
        </w:rPr>
        <w:t>ard) ishte në gjendje të bëjë të mundur dorëheqjen e Presidentit të Shteteve të Bashkuara Richard Nixon.  Ka shumë shembuj të tillë në mbarë botën:  Anna Ramos në Spanjë e cila ishte në gjendje të marrë dorëheqjen e Kabinetit të Mariano Rahoj. Eduard Sno</w:t>
      </w:r>
      <w:r w:rsidR="00966A79" w:rsidRPr="006871FF">
        <w:rPr>
          <w:rFonts w:ascii="Georgia" w:hAnsi="Georgia" w:cstheme="majorBidi"/>
        </w:rPr>
        <w:t>ë</w:t>
      </w:r>
      <w:r w:rsidRPr="006871FF">
        <w:rPr>
          <w:rFonts w:ascii="Georgia" w:hAnsi="Georgia" w:cstheme="majorBidi"/>
        </w:rPr>
        <w:t xml:space="preserve">den I cili zbuloi informacione që </w:t>
      </w:r>
      <w:r w:rsidRPr="006871FF">
        <w:rPr>
          <w:rFonts w:ascii="Georgia" w:hAnsi="Georgia" w:cstheme="majorBidi"/>
        </w:rPr>
        <w:lastRenderedPageBreak/>
        <w:t xml:space="preserve">tregonin se shumë të dhëna private ishin marrë në mënyrë ilegale nga shërbimet e Shteteve të Bashkuara të Amerikës.  </w:t>
      </w:r>
      <w:r w:rsidR="00F85CD8" w:rsidRPr="006871FF">
        <w:rPr>
          <w:rFonts w:ascii="Georgia" w:hAnsi="Georgia" w:cstheme="majorBidi"/>
        </w:rPr>
        <w:t>W</w:t>
      </w:r>
      <w:r w:rsidRPr="006871FF">
        <w:rPr>
          <w:rFonts w:ascii="Georgia" w:hAnsi="Georgia" w:cstheme="majorBidi"/>
        </w:rPr>
        <w:t>ikiLeaks i cili u bë sinonim i denoncimit.</w:t>
      </w:r>
    </w:p>
    <w:p w:rsidR="00C229C7" w:rsidRDefault="0082140E" w:rsidP="00C229C7">
      <w:pPr>
        <w:pStyle w:val="NoSpacing"/>
        <w:jc w:val="both"/>
        <w:rPr>
          <w:rFonts w:ascii="Georgia" w:hAnsi="Georgia" w:cstheme="majorBidi"/>
        </w:rPr>
      </w:pPr>
      <w:r w:rsidRPr="006871FF">
        <w:rPr>
          <w:rFonts w:ascii="Georgia" w:hAnsi="Georgia" w:cstheme="majorBidi"/>
        </w:rPr>
        <w:t>Nga ana e instrumenteve të fortë dhe të butë të së drejtës ndërkombëtare, ka shumë dispozita të përcaktuara në dokumente të ndryshme.  Artikulli 33 i UNCAC/MPRKB (Mbrojtja e Personave Raportues) deklaron se «Çdo Shtet Palë do të marrë në konsideratë përfshirjen në sistemin e tij ligjor vendas masat e duhura për të siguruar mbrojtje kundër çdo trajtimi të pajustifikuar për çdo person që raporton në mirëbesim dhe mbi baza të arsyeshme tek autoritetet kompetente çdo fakt në lidhje me shkeljet e përcaktuara në përputhje me këtë Konventë».  Dispozita të ngjashme janë përfshirë në Konventën e të Drejtës Penale të Këshillit të Evropës për Korrupsionin (neni 22) dhe në Konventën e së Drejtës Civile për Korrupsionin (nenet 8 dhe 9).  Përveç kësaj ekziston rekomandimi 7 i Këshillit të Evropës (2014) për Mbrojtjen e Denoncuesve</w:t>
      </w:r>
      <w:r w:rsidRPr="006871FF">
        <w:rPr>
          <w:rStyle w:val="FootnoteReference"/>
          <w:rFonts w:ascii="Georgia" w:hAnsi="Georgia" w:cstheme="majorBidi"/>
        </w:rPr>
        <w:footnoteReference w:id="16"/>
      </w:r>
      <w:r w:rsidRPr="006871FF">
        <w:rPr>
          <w:rFonts w:ascii="Georgia" w:hAnsi="Georgia" w:cstheme="majorBidi"/>
        </w:rPr>
        <w:t xml:space="preserve"> dhe Direktiva e Bashkimit Evropian (BE) 2019 për Mbrojtjen e Personave që raportojnë shkeljet e ligjit të Bashkimit</w:t>
      </w:r>
      <w:r w:rsidRPr="006871FF">
        <w:rPr>
          <w:rStyle w:val="FootnoteReference"/>
          <w:rFonts w:ascii="Georgia" w:hAnsi="Georgia" w:cstheme="majorBidi"/>
        </w:rPr>
        <w:footnoteReference w:id="17"/>
      </w:r>
      <w:r w:rsidRPr="006871FF">
        <w:rPr>
          <w:rFonts w:ascii="Georgia" w:hAnsi="Georgia" w:cstheme="majorBidi"/>
        </w:rPr>
        <w:t>. Në vitin 2013, Sekretari i Transparrency International publikoi Parimet Ndërkombëtare për Legjislacionin e Denoncuesve</w:t>
      </w:r>
      <w:r w:rsidRPr="006871FF">
        <w:rPr>
          <w:rStyle w:val="FootnoteReference"/>
          <w:rFonts w:ascii="Georgia" w:hAnsi="Georgia" w:cstheme="majorBidi"/>
        </w:rPr>
        <w:footnoteReference w:id="18"/>
      </w:r>
      <w:r w:rsidR="00C229C7">
        <w:rPr>
          <w:rFonts w:ascii="Georgia" w:hAnsi="Georgia" w:cstheme="majorBidi"/>
        </w:rPr>
        <w:t>.</w:t>
      </w:r>
    </w:p>
    <w:p w:rsidR="00C229C7" w:rsidRDefault="0082140E" w:rsidP="00C229C7">
      <w:pPr>
        <w:pStyle w:val="NoSpacing"/>
        <w:jc w:val="both"/>
        <w:rPr>
          <w:rFonts w:ascii="Georgia" w:hAnsi="Georgia" w:cstheme="majorBidi"/>
        </w:rPr>
      </w:pPr>
      <w:r w:rsidRPr="006871FF">
        <w:rPr>
          <w:rFonts w:ascii="Georgia" w:hAnsi="Georgia" w:cstheme="majorBidi"/>
        </w:rPr>
        <w:t xml:space="preserve">Megjithatë, nuk ka një grup përfundimtar parimesh se çfarë do të përbëjë praktikën më të mirë përsa i përket mbrojtjes së denoncuesve.  Kohët e fundit, në vitin 2021, një ekspert Ndërkombëtar i denoncimit Mark </w:t>
      </w:r>
      <w:r w:rsidR="00F7283E" w:rsidRPr="006871FF">
        <w:rPr>
          <w:rFonts w:ascii="Georgia" w:hAnsi="Georgia" w:cstheme="majorBidi"/>
        </w:rPr>
        <w:t>W</w:t>
      </w:r>
      <w:r w:rsidRPr="006871FF">
        <w:rPr>
          <w:rFonts w:ascii="Georgia" w:hAnsi="Georgia" w:cstheme="majorBidi"/>
        </w:rPr>
        <w:t>orth dhe kolegu i tij Tom Devine, zhvilluan një grup standartesh të përbërë nga 21 parime të nxjerra nga Rekomandimi i KE (2014) 7 dhe Direktiva e BE e lartpërmendur</w:t>
      </w:r>
      <w:r w:rsidRPr="006871FF">
        <w:rPr>
          <w:rStyle w:val="FootnoteReference"/>
          <w:rFonts w:ascii="Georgia" w:hAnsi="Georgia" w:cstheme="majorBidi"/>
        </w:rPr>
        <w:footnoteReference w:id="19"/>
      </w:r>
      <w:r w:rsidRPr="006871FF">
        <w:rPr>
          <w:rFonts w:ascii="Georgia" w:hAnsi="Georgia" w:cstheme="majorBidi"/>
        </w:rPr>
        <w:t>.  Ata analizuan legjislacionin e Ballkanit perëndimor dhe Moldavisë në dritën e 21 parimeve të përmendura.  Pyetjet e tyre për secilin vend janë të ndryshme.  Për shembull, në rastin e Serbisë ata konstatuan se ajo i përmbush në masën më të madhe kërkesat e KE, por për shkak se ligji ishte miratuar para Direktivës së BE, atëherë mbeten disa çështje për tju nënshtruar ligjislacionit të mëtejshëm.  Në lidhje me Malin e Zi, ata konstatuan se ligji i tij është pjesërisht i përputhur me standartet dhe fakti që ai mbron të gjithë qytetarët dhe jo vetëm punuonjësit është një shenjë e mirë.  Për sa i përket Kosovës, ajo është në përputhje të konsiderueshme me standartet, por ka disa mungesa.</w:t>
      </w:r>
    </w:p>
    <w:p w:rsidR="00C229C7" w:rsidRDefault="0082140E" w:rsidP="00C229C7">
      <w:pPr>
        <w:pStyle w:val="NoSpacing"/>
        <w:jc w:val="both"/>
        <w:rPr>
          <w:rFonts w:ascii="Georgia" w:hAnsi="Georgia" w:cstheme="majorBidi"/>
        </w:rPr>
      </w:pPr>
      <w:r w:rsidRPr="006871FF">
        <w:rPr>
          <w:rFonts w:ascii="Georgia" w:hAnsi="Georgia" w:cstheme="majorBidi"/>
        </w:rPr>
        <w:t>Megjithatë, jo të gjitha vendet e rajonit (më gjerë se Ballkani dhe BE) kanë ligje të veçantë për mbrojtjen e denoncuesve.  Për shembull në Bullgari nuk ekziston një ligj i tillë</w:t>
      </w:r>
      <w:r w:rsidRPr="006871FF">
        <w:rPr>
          <w:rStyle w:val="FootnoteReference"/>
          <w:rFonts w:ascii="Georgia" w:hAnsi="Georgia" w:cstheme="majorBidi"/>
        </w:rPr>
        <w:footnoteReference w:id="20"/>
      </w:r>
      <w:r w:rsidRPr="006871FF">
        <w:rPr>
          <w:rFonts w:ascii="Georgia" w:hAnsi="Georgia" w:cstheme="majorBidi"/>
        </w:rPr>
        <w:t>.  Në republikën Çeke</w:t>
      </w:r>
      <w:r w:rsidRPr="006871FF">
        <w:rPr>
          <w:rStyle w:val="FootnoteReference"/>
          <w:rFonts w:ascii="Georgia" w:hAnsi="Georgia" w:cstheme="majorBidi"/>
        </w:rPr>
        <w:footnoteReference w:id="21"/>
      </w:r>
      <w:r w:rsidRPr="006871FF">
        <w:rPr>
          <w:rFonts w:ascii="Georgia" w:hAnsi="Georgia" w:cstheme="majorBidi"/>
        </w:rPr>
        <w:t>, Qeveria miratoi projektligjin për mbrojtjen e denoncuesve pikërisht në Janar të vitit 2021.  Po kështu në Greqi</w:t>
      </w:r>
      <w:r w:rsidRPr="006871FF">
        <w:rPr>
          <w:rStyle w:val="FootnoteReference"/>
          <w:rFonts w:ascii="Georgia" w:hAnsi="Georgia" w:cstheme="majorBidi"/>
        </w:rPr>
        <w:footnoteReference w:id="22"/>
      </w:r>
      <w:r w:rsidRPr="006871FF">
        <w:rPr>
          <w:rFonts w:ascii="Georgia" w:hAnsi="Georgia" w:cstheme="majorBidi"/>
        </w:rPr>
        <w:t xml:space="preserve"> dhe Itali</w:t>
      </w:r>
      <w:r w:rsidRPr="006871FF">
        <w:rPr>
          <w:rStyle w:val="FootnoteReference"/>
          <w:rFonts w:ascii="Georgia" w:hAnsi="Georgia" w:cstheme="majorBidi"/>
        </w:rPr>
        <w:footnoteReference w:id="23"/>
      </w:r>
      <w:r w:rsidRPr="006871FF">
        <w:rPr>
          <w:rFonts w:ascii="Georgia" w:hAnsi="Georgia" w:cstheme="majorBidi"/>
        </w:rPr>
        <w:t>, sërish ai është akoma në modelatite përgatitore.</w:t>
      </w:r>
    </w:p>
    <w:p w:rsidR="00C229C7" w:rsidRDefault="0082140E" w:rsidP="00C229C7">
      <w:pPr>
        <w:pStyle w:val="NoSpacing"/>
        <w:jc w:val="both"/>
        <w:rPr>
          <w:rFonts w:ascii="Georgia" w:hAnsi="Georgia" w:cstheme="majorBidi"/>
        </w:rPr>
      </w:pPr>
      <w:r w:rsidRPr="006871FF">
        <w:rPr>
          <w:rFonts w:ascii="Georgia" w:hAnsi="Georgia" w:cstheme="majorBidi"/>
        </w:rPr>
        <w:t>Gjithashtu ka shembuj pozitiv.  Në Sllovaki në vitin 2021 u krijua një departament i ri plotësisht i pavarur (Zyra për Mbrojtjen e Denoncuesve), kreu i të cilit është përgjegjës vetëm përpara parlamentit</w:t>
      </w:r>
      <w:r w:rsidRPr="006871FF">
        <w:rPr>
          <w:rStyle w:val="FootnoteReference"/>
          <w:rFonts w:ascii="Georgia" w:hAnsi="Georgia" w:cstheme="majorBidi"/>
        </w:rPr>
        <w:footnoteReference w:id="24"/>
      </w:r>
      <w:r w:rsidRPr="006871FF">
        <w:rPr>
          <w:rFonts w:ascii="Georgia" w:hAnsi="Georgia" w:cstheme="majorBidi"/>
        </w:rPr>
        <w:t>.  Në Kroaci Zyra e Ombudspersonit ka filluar të marrë raprote të jashtme nga denoncuesit dhe disa raste të profilit të lartë mbi korrupsionin u zbuluan pas raportimeve të bëra nga denoncuesit</w:t>
      </w:r>
      <w:r w:rsidRPr="006871FF">
        <w:rPr>
          <w:rStyle w:val="FootnoteReference"/>
          <w:rFonts w:ascii="Georgia" w:hAnsi="Georgia" w:cstheme="majorBidi"/>
        </w:rPr>
        <w:footnoteReference w:id="25"/>
      </w:r>
      <w:r w:rsidRPr="006871FF">
        <w:rPr>
          <w:rFonts w:ascii="Georgia" w:hAnsi="Georgia" w:cstheme="majorBidi"/>
        </w:rPr>
        <w:t>.</w:t>
      </w:r>
    </w:p>
    <w:p w:rsidR="00DB1DD5" w:rsidRDefault="0082140E" w:rsidP="00DB1DD5">
      <w:pPr>
        <w:pStyle w:val="NoSpacing"/>
        <w:jc w:val="both"/>
        <w:rPr>
          <w:rFonts w:ascii="Georgia" w:hAnsi="Georgia" w:cstheme="majorBidi"/>
        </w:rPr>
      </w:pPr>
      <w:r w:rsidRPr="006871FF">
        <w:rPr>
          <w:rFonts w:ascii="Georgia" w:hAnsi="Georgia" w:cstheme="majorBidi"/>
        </w:rPr>
        <w:t>Në fund të fundit, çelësi i luftës efektive kundër korrupsionit është Vullneti Politik, një term i cili është keqpërdorur dhe abuzuar masivisht në të gjithë globin.  Shumë shpesh Vullneti politik kuptohet si ekzistencë thjeshtë e dëshirës ndërsa në të vërtetë Vullneti Politik përbëhet nga Dija Politike, Mundësia Politike dhe nga Dëshira Politike.</w:t>
      </w:r>
    </w:p>
    <w:p w:rsidR="00DB1DD5" w:rsidRDefault="0082140E" w:rsidP="00DB1DD5">
      <w:pPr>
        <w:pStyle w:val="NoSpacing"/>
        <w:jc w:val="both"/>
        <w:rPr>
          <w:rFonts w:ascii="Georgia" w:hAnsi="Georgia" w:cstheme="majorBidi"/>
        </w:rPr>
      </w:pPr>
      <w:r w:rsidRPr="006871FF">
        <w:rPr>
          <w:rFonts w:ascii="Georgia" w:hAnsi="Georgia" w:cstheme="majorBidi"/>
        </w:rPr>
        <w:lastRenderedPageBreak/>
        <w:t>Megjithatë, për sa i përket mbrojtjes së denoncuesve, ekzistojnë disa kërkesa themelore, të cilat pamvarsisht se në cilin instrument janë kodifikuar apo përmendur, kanë rëndësi të madhe për mbrojtjen efektive.  Këto nocione përgjithshësisht përkufizohen si denoncues (në sektorin publik dhe privat), ofrimi i kanaleve të ndryshëm të raportimit duke përfshirë atë anonim, masat kundër hakmarrjes ndaj denoncuesve, institucioni i përcaktuar për mbrojtjen e denoncuesve, shpejtësia e dhënies së mbrojtjes, kompensimi i dëmeve.</w:t>
      </w:r>
    </w:p>
    <w:p w:rsidR="00DB1DD5" w:rsidRDefault="00DB1DD5" w:rsidP="00DB1DD5">
      <w:pPr>
        <w:pStyle w:val="NoSpacing"/>
        <w:jc w:val="both"/>
        <w:rPr>
          <w:rFonts w:ascii="Georgia" w:hAnsi="Georgia" w:cstheme="majorBidi"/>
        </w:rPr>
      </w:pPr>
    </w:p>
    <w:p w:rsidR="00DB1DD5" w:rsidRDefault="00DB1DD5" w:rsidP="00DB1DD5">
      <w:pPr>
        <w:pStyle w:val="NoSpacing"/>
        <w:jc w:val="both"/>
        <w:rPr>
          <w:rFonts w:ascii="Georgia" w:hAnsi="Georgia" w:cstheme="majorBidi"/>
        </w:rPr>
      </w:pPr>
    </w:p>
    <w:p w:rsidR="0082140E" w:rsidRPr="00D41405" w:rsidRDefault="008C388A" w:rsidP="00DB1DD5">
      <w:pPr>
        <w:pStyle w:val="NoSpacing"/>
        <w:numPr>
          <w:ilvl w:val="0"/>
          <w:numId w:val="8"/>
        </w:numPr>
        <w:ind w:left="720" w:hanging="720"/>
        <w:jc w:val="both"/>
        <w:rPr>
          <w:rFonts w:ascii="Georgia" w:hAnsi="Georgia" w:cstheme="majorBidi"/>
          <w:color w:val="FF0000"/>
        </w:rPr>
      </w:pPr>
      <w:r w:rsidRPr="00D41405">
        <w:rPr>
          <w:rFonts w:ascii="Georgia" w:hAnsi="Georgia"/>
          <w:b/>
          <w:color w:val="FF0000"/>
        </w:rPr>
        <w:t>Metodika dhe teknika të hetimit të tyre dhe krimeve financiare rrjedhur nga korrupsioni.</w:t>
      </w:r>
    </w:p>
    <w:p w:rsidR="006C2B89" w:rsidRPr="006871FF" w:rsidRDefault="006C2B89" w:rsidP="006C2B89">
      <w:pPr>
        <w:pStyle w:val="NoSpacing"/>
        <w:tabs>
          <w:tab w:val="left" w:pos="720"/>
        </w:tabs>
        <w:ind w:firstLine="720"/>
        <w:jc w:val="center"/>
        <w:rPr>
          <w:rFonts w:ascii="Georgia" w:hAnsi="Georgia" w:cstheme="majorBidi"/>
          <w:lang w:val="sq-AL"/>
        </w:rPr>
      </w:pPr>
    </w:p>
    <w:p w:rsidR="00E252DC" w:rsidRPr="00DB1DD5" w:rsidRDefault="006C2B89" w:rsidP="00DB1DD5">
      <w:pPr>
        <w:pStyle w:val="NoSpacing"/>
        <w:tabs>
          <w:tab w:val="left" w:pos="720"/>
        </w:tabs>
        <w:ind w:left="1350" w:hanging="1350"/>
        <w:jc w:val="both"/>
        <w:rPr>
          <w:rFonts w:ascii="Georgia" w:hAnsi="Georgia" w:cstheme="majorBidi"/>
          <w:i/>
          <w:lang w:val="sq-AL"/>
        </w:rPr>
      </w:pPr>
      <w:r w:rsidRPr="006871FF">
        <w:rPr>
          <w:rFonts w:ascii="Georgia" w:hAnsi="Georgia" w:cstheme="majorBidi"/>
          <w:lang w:val="sq-AL"/>
        </w:rPr>
        <w:t>PËRMBAJTJE: —1.</w:t>
      </w:r>
      <w:r w:rsidRPr="006871FF">
        <w:rPr>
          <w:rFonts w:ascii="Georgia" w:hAnsi="Georgia" w:cstheme="majorBidi"/>
          <w:i/>
          <w:iCs/>
          <w:lang w:val="sq-AL"/>
        </w:rPr>
        <w:t>Përgjithësisht</w:t>
      </w:r>
      <w:r w:rsidRPr="006871FF">
        <w:rPr>
          <w:rFonts w:ascii="Georgia" w:hAnsi="Georgia" w:cstheme="majorBidi"/>
          <w:lang w:val="sq-AL"/>
        </w:rPr>
        <w:t xml:space="preserve">;  —2.Këqyrja </w:t>
      </w:r>
      <w:r w:rsidRPr="006871FF">
        <w:rPr>
          <w:rFonts w:ascii="Georgia" w:hAnsi="Georgia" w:cstheme="majorBidi"/>
          <w:i/>
          <w:lang w:val="sq-AL"/>
        </w:rPr>
        <w:t>a) rastet dhe format,  b) organi procedues;  c) llojet e këqyrjeve</w:t>
      </w:r>
      <w:r w:rsidRPr="006871FF">
        <w:rPr>
          <w:rFonts w:ascii="Georgia" w:hAnsi="Georgia" w:cstheme="majorBidi"/>
          <w:lang w:val="sq-AL"/>
        </w:rPr>
        <w:t xml:space="preserve"> (-personit, -mjeku detyrimisht, -kufomës, -vendit &amp; sendit);  —3.Kontrollet </w:t>
      </w:r>
      <w:r w:rsidRPr="006871FF">
        <w:rPr>
          <w:rFonts w:ascii="Georgia" w:hAnsi="Georgia" w:cstheme="majorBidi"/>
          <w:i/>
          <w:lang w:val="sq-AL"/>
        </w:rPr>
        <w:t>a) kushtet; b) dorëzimi vullnetarisht;  c) personit;  d) vendit / lokalit;  e) banesës;  f) sekuestrimi gjatë kontrollit</w:t>
      </w:r>
      <w:r w:rsidRPr="006871FF">
        <w:rPr>
          <w:rFonts w:ascii="Georgia" w:hAnsi="Georgia" w:cstheme="majorBidi"/>
          <w:lang w:val="sq-AL"/>
        </w:rPr>
        <w:t xml:space="preserve">;  —4.Sekuestro e provës </w:t>
      </w:r>
      <w:r w:rsidRPr="006871FF">
        <w:rPr>
          <w:rFonts w:ascii="Georgia" w:hAnsi="Georgia" w:cstheme="majorBidi"/>
          <w:i/>
          <w:lang w:val="sq-AL"/>
        </w:rPr>
        <w:t xml:space="preserve">a) objekti i sekuestrimit;  b) të dhënat kompjuterike;  c) korrespondenca;  d) pranë bankave;  e) </w:t>
      </w:r>
      <w:r w:rsidRPr="006871FF">
        <w:rPr>
          <w:rFonts w:ascii="Georgia" w:hAnsi="Georgia" w:cstheme="majorBidi"/>
          <w:bCs/>
          <w:i/>
          <w:lang w:val="sq-AL"/>
        </w:rPr>
        <w:t xml:space="preserve">sekret profesional &amp; shtetëror;  f) </w:t>
      </w:r>
      <w:r w:rsidRPr="006871FF">
        <w:rPr>
          <w:rFonts w:ascii="Georgia" w:hAnsi="Georgia" w:cstheme="majorBidi"/>
          <w:i/>
          <w:lang w:val="sq-AL"/>
        </w:rPr>
        <w:t xml:space="preserve">në zyrat e shërbimeve informative;  g) ankimi;  h) </w:t>
      </w:r>
      <w:r w:rsidRPr="006871FF">
        <w:rPr>
          <w:rFonts w:ascii="Georgia" w:hAnsi="Georgia" w:cstheme="majorBidi"/>
          <w:bCs/>
          <w:i/>
          <w:lang w:val="sq-AL"/>
        </w:rPr>
        <w:t xml:space="preserve">veprimi apo dokumenti i sekuestruar;  i) </w:t>
      </w:r>
      <w:r w:rsidRPr="006871FF">
        <w:rPr>
          <w:rFonts w:ascii="Georgia" w:hAnsi="Georgia" w:cstheme="majorBidi"/>
          <w:i/>
          <w:lang w:val="sq-AL"/>
        </w:rPr>
        <w:t xml:space="preserve">ruajtja;  j) vulosja;  k) kthimi;  </w:t>
      </w:r>
      <w:r w:rsidRPr="006871FF">
        <w:rPr>
          <w:rFonts w:ascii="Georgia" w:hAnsi="Georgia" w:cstheme="majorBidi"/>
          <w:lang w:val="sq-AL"/>
        </w:rPr>
        <w:t>—5.Përgjimet</w:t>
      </w:r>
      <w:r w:rsidRPr="006871FF">
        <w:rPr>
          <w:rFonts w:ascii="Georgia" w:hAnsi="Georgia" w:cstheme="majorBidi"/>
          <w:i/>
          <w:lang w:val="sq-AL"/>
        </w:rPr>
        <w:t xml:space="preserve"> a) përgjimi &amp; komunikimi;  b) disponimi që lejon përgjimin;  c) ankimi;  d) veprimtaria përgjuese;  e) ruajtja dhe asgjësimi;  f) -përdorimi në procedime të t</w:t>
      </w:r>
      <w:r w:rsidR="00DB1DD5">
        <w:rPr>
          <w:rFonts w:ascii="Georgia" w:hAnsi="Georgia" w:cstheme="majorBidi"/>
          <w:i/>
          <w:lang w:val="sq-AL"/>
        </w:rPr>
        <w:t>jera;  g) ndalimi i përdorimit.</w:t>
      </w:r>
      <w:r w:rsidR="003D3B86" w:rsidRPr="006871FF">
        <w:rPr>
          <w:rFonts w:ascii="Georgia" w:hAnsi="Georgia" w:cstheme="majorBidi"/>
          <w:b/>
          <w:color w:val="FF0000"/>
          <w:lang w:val="sq-AL"/>
        </w:rPr>
        <w:t xml:space="preserve"> </w:t>
      </w:r>
      <w:r w:rsidR="00E252DC" w:rsidRPr="006871FF">
        <w:rPr>
          <w:rFonts w:ascii="Georgia" w:hAnsi="Georgia" w:cstheme="majorBidi"/>
          <w:b/>
          <w:color w:val="FF0000"/>
          <w:lang w:val="sq-AL"/>
        </w:rPr>
        <w:t>–</w:t>
      </w:r>
      <w:r w:rsidR="003D3B86" w:rsidRPr="006871FF">
        <w:rPr>
          <w:rFonts w:ascii="Georgia" w:hAnsi="Georgia" w:cstheme="majorBidi"/>
          <w:b/>
          <w:color w:val="FF0000"/>
          <w:lang w:val="sq-AL"/>
        </w:rPr>
        <w:t xml:space="preserve"> </w:t>
      </w:r>
      <w:r w:rsidR="00E252DC" w:rsidRPr="006871FF">
        <w:rPr>
          <w:rFonts w:ascii="Georgia" w:hAnsi="Georgia" w:cstheme="minorBidi"/>
          <w:b/>
          <w:lang w:val="sq-AL"/>
        </w:rPr>
        <w:t>Veprimet simuluese</w:t>
      </w:r>
      <w:r w:rsidR="00E252DC" w:rsidRPr="006871FF">
        <w:rPr>
          <w:rFonts w:ascii="Georgia" w:hAnsi="Georgia" w:cstheme="majorBidi"/>
          <w:b/>
          <w:color w:val="FF0000"/>
          <w:lang w:val="sq-AL"/>
        </w:rPr>
        <w:t xml:space="preserve">; </w:t>
      </w:r>
      <w:r w:rsidR="00E252DC" w:rsidRPr="006871FF">
        <w:rPr>
          <w:rFonts w:ascii="Georgia" w:hAnsi="Georgia" w:cstheme="minorBidi"/>
          <w:b/>
          <w:lang w:val="sq-AL"/>
        </w:rPr>
        <w:t xml:space="preserve">Punonjësi i policisë i infiltruar, </w:t>
      </w:r>
      <w:r w:rsidR="00E252DC" w:rsidRPr="006871FF">
        <w:rPr>
          <w:rFonts w:ascii="Georgia" w:hAnsi="Georgia" w:cstheme="minorBidi"/>
          <w:b/>
          <w:bCs/>
          <w:lang w:val="sq-AL"/>
        </w:rPr>
        <w:t>Dorëzimi i kontrolluar.</w:t>
      </w:r>
    </w:p>
    <w:p w:rsidR="006C2B89" w:rsidRPr="006871FF" w:rsidRDefault="006C2B89" w:rsidP="00DB1DD5">
      <w:pPr>
        <w:pStyle w:val="NoSpacing"/>
        <w:tabs>
          <w:tab w:val="left" w:pos="0"/>
        </w:tabs>
        <w:jc w:val="center"/>
        <w:rPr>
          <w:rFonts w:ascii="Georgia" w:hAnsi="Georgia" w:cstheme="majorBidi"/>
          <w:b/>
          <w:lang w:val="sq-AL"/>
        </w:rPr>
      </w:pPr>
      <w:r w:rsidRPr="006871FF">
        <w:rPr>
          <w:rFonts w:ascii="Georgia" w:hAnsi="Georgia" w:cstheme="majorBidi"/>
          <w:b/>
          <w:lang w:val="sq-AL"/>
        </w:rPr>
        <w:t>Përgjithësisht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Nga vetë emri i vënë, ‘mjet kërkimi’, ato janë instrumente rregullues të veprimtarisë, në funksion të provës, ku rezultati i përdorimit të tyre është vetë ajo.  Është rëndësia dhe pesha e madhe që mbart prova si elementi i vetëm i krijimit të bindjes mbi ekzistencën apo jo të faktit penalisht të ndëshkueshëm, ajo që ka nxitur ligjvënësin të disiplinojë në kufij optimal, instrumente të aftë për gjetjen dhe paraqitjen e provave përpara gjykatës, mbi të cilat përputh dhe zbatimin e të drejtës.</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Në ‘mjetet e kërkimit të provës’ ligjvënësi ka disiplinuar këqyrjen, kontrollin, sekuestrimin provues dhe përgjimin, të cilët janë instrumentet ligjor të tipizuar që shprehin veprimtarinë apo aktivitetin e përqendruar si në përfitimin e -drejtpërdrejtë të provës, siç prova e llojit dokument, e përfituar nga veprimtaria kontrolluese dhe sekuestruese, ashtu dhe në përfitimin e -tërthortë të provës, siç burimi i provës ‘personi që është në gjendje të tregojë rrethanat e faktit’, i përfituar nga veprimtaria përgjuese e bisedave telefonike.  Po ashtu janë normuar ‘veprimi simulues’ (neni 294/a Kpp) së bashku me ‘infiltrimin’ (neni 294/b Kpp), institute të cilat mbartin karakteristikat e instrumentit të kërkimit të provës, të ngjashëm me mjetet e tjera si këqyrja, kontrolli, sekuestro dhe përgjimi, për të cilat do të komentohet në seksionin përkatës, por të ndryshëm sepse të tillë janë personat fizik.</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Duke u rikthyer, ‘mjetet e kërkimit të provës’, mundësojnë që përgjatë fazës së hulumtimit paraprak të vënë në dispozicion të prokurorit prova dhe burime prove, siç respektivisht të llojit njohje, ballafaqim, eksperiment, materiale, dokument dhe dëshmitar, të bashkëpandehur, ekspert, palë private.  Po ashtu mundësojnë që përgjatë procesit në fazën e shqyrtimit gjyqësor, të merret tamam vetë prova e rrjedhur nga këta të fundit.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Sepse janë mjete të kërkimit të provës dhe jo prova, parashikimi ligjor i tyre është i ndryshëm.  Kështu, ndërsa për provën flitet për papërdorshmëri të saj kur merret në shkelje të ndalimeve të parashikuara nga ligji (§3, neni 151 Kpp), për ‘mjetet e kërkimit’ nuk mund të ngrihet një pretendim i tillë përveçse ai i pavlefshmërisë, siç ai i procesverbalit, materializues i veprimtarisë (§1, neni 122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Karakteri ‘kërkues’ i të katër këtyre mjeteve nuk është i njëjtë dhe në secilin prej tyre përfshihen veti të ndryshme të përfitimit të njohjes mbi ekzistencën e provës.  Objekti i veprimtarisë së çdo mjeti të kërkimit është prova, pra është veprimtaria për të njohur apo për të marrë dije mbi ekzistencën e saj.  Kështu në mënyrë përmbledhëse formohet fillimisht veprimtaria ‘</w:t>
      </w:r>
      <w:r w:rsidRPr="006871FF">
        <w:rPr>
          <w:rFonts w:ascii="Georgia" w:hAnsi="Georgia" w:cstheme="majorBidi"/>
          <w:i/>
          <w:lang w:val="sq-AL"/>
        </w:rPr>
        <w:t>këqyrse</w:t>
      </w:r>
      <w:r w:rsidRPr="006871FF">
        <w:rPr>
          <w:rFonts w:ascii="Georgia" w:hAnsi="Georgia" w:cstheme="majorBidi"/>
          <w:lang w:val="sq-AL"/>
        </w:rPr>
        <w:t xml:space="preserve">’, ajo që konsiston në vëzhgimin e lirë, të kujdesshëm e të përqendruar, </w:t>
      </w:r>
      <w:r w:rsidRPr="006871FF">
        <w:rPr>
          <w:rFonts w:ascii="Georgia" w:hAnsi="Georgia" w:cstheme="majorBidi"/>
          <w:lang w:val="sq-AL"/>
        </w:rPr>
        <w:lastRenderedPageBreak/>
        <w:t>më pas formohet veprimtaria ‘</w:t>
      </w:r>
      <w:r w:rsidRPr="006871FF">
        <w:rPr>
          <w:rFonts w:ascii="Georgia" w:hAnsi="Georgia" w:cstheme="majorBidi"/>
          <w:i/>
          <w:lang w:val="sq-AL"/>
        </w:rPr>
        <w:t>kontrolluese</w:t>
      </w:r>
      <w:r w:rsidRPr="006871FF">
        <w:rPr>
          <w:rFonts w:ascii="Georgia" w:hAnsi="Georgia" w:cstheme="majorBidi"/>
          <w:lang w:val="sq-AL"/>
        </w:rPr>
        <w:t xml:space="preserve">’, që konsiston në zbulimin apo heqjen e mbulesave të qëllimshme apo jo, që pengojnë dallimin e qartë apo të shquarin e zakonshëm/lehtë, siç dhe ajo </w:t>
      </w:r>
      <w:r w:rsidRPr="006871FF">
        <w:rPr>
          <w:rFonts w:ascii="Georgia" w:hAnsi="Georgia" w:cstheme="majorBidi"/>
          <w:i/>
          <w:lang w:val="sq-AL"/>
        </w:rPr>
        <w:t>përgjuese</w:t>
      </w:r>
      <w:r w:rsidRPr="006871FF">
        <w:rPr>
          <w:rFonts w:ascii="Georgia" w:hAnsi="Georgia" w:cstheme="majorBidi"/>
          <w:lang w:val="sq-AL"/>
        </w:rPr>
        <w:t>, që konsiston në veprimtarinë e fshehtë apo tinëzare që siguron njohjen e komunikimit, si rezultat provues.  Në rastin e suksesshëm, pra të gjetjes, dallimit, shquarjes, njohjes, identifikimit apo individualizimit të provës, formohet më tej veprimtaria ‘</w:t>
      </w:r>
      <w:r w:rsidRPr="006871FF">
        <w:rPr>
          <w:rFonts w:ascii="Georgia" w:hAnsi="Georgia" w:cstheme="majorBidi"/>
          <w:i/>
          <w:lang w:val="sq-AL"/>
        </w:rPr>
        <w:t>sekuestruese</w:t>
      </w:r>
      <w:r w:rsidRPr="006871FF">
        <w:rPr>
          <w:rFonts w:ascii="Georgia" w:hAnsi="Georgia" w:cstheme="majorBidi"/>
          <w:lang w:val="sq-AL"/>
        </w:rPr>
        <w:t>’</w:t>
      </w:r>
      <w:r w:rsidRPr="006871FF">
        <w:rPr>
          <w:rStyle w:val="FootnoteReference"/>
          <w:rFonts w:ascii="Georgia" w:hAnsi="Georgia" w:cstheme="majorBidi"/>
          <w:lang w:val="sq-AL"/>
        </w:rPr>
        <w:footnoteReference w:id="26"/>
      </w:r>
      <w:r w:rsidRPr="006871FF">
        <w:rPr>
          <w:rFonts w:ascii="Georgia" w:hAnsi="Georgia" w:cstheme="majorBidi"/>
          <w:lang w:val="sq-AL"/>
        </w:rPr>
        <w:t xml:space="preserve"> që konsiston në ruajtjen e përkohshme të provës materiale dhe të provës dokument në dispozicion të organit që procedon, e aftë të shmangë të drejtën e disponimit apo/ose tjetërsimit të këtij sendi nga titullari i tij.  Ndërkohë që për burimet e provës ‘person fizik’ ruajtja e përkohshme e burimit të provës, realizohet dhe sigurohet nëpërmjet një procesi më të sofistikuar të ‘procesverbalizimit’ të deklarimeve apo përgjigjeve, pasojë e nxitjes me anë të ‘pyetjes’, si të personit që është në gjendje të tregojë rrethanat e faktit, të bashkëpandehurit, apo ekspertit.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Mjetet e kërkimit të provës janë veprimtari apo aktivitet kryesisht para-procesor dhe sepse para procesit, në të quajturën fazë e hetimit paraprak, organe që procedojnë janë prokurori dhe pol.gjyq., janë ata që kryejnë edhe këtë veprimtari apo aktivitet të kërkimit të provës, apo përdorin këto mjete të kërkimit të saj.  Për më tepër është prokurori i cili përpara gjykatës për të bërë të vlefshëm akuzën e ngritur prej tij, patjetër duhet të jetë në ‘posedim’ të provave apo burimeve të provave, të cilat gjithsesi, nëpërmjet kërkimit me këto mjete i ka siguruar.  Por nuk bie mundësia që këto mjete të përdoren apo të zbatohen edhe përgjatë procesit, gjithsesi përjashtimisht, atëherë kur gjykata, për zbatimin e të drejtës që është ligji dhe krijimin e të drejtës së veçantë që është vendimi «[...] në qoftë se është e nevojshme, mund [...] të disponojë, edhe kryesisht, marrjen e provave të reja» (neni 367 Kpp), individualizimi e të cilave – pavarësisht se e rrallë – bëhet nëpërmjet aplikimit të ‘mjeteve të kërkimit’ të tyre.</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Nga ana tjetër, për shkak karakterit të kundërligjshëm të veprës penale pasues i ndëshkimit, prirja objektive e fshehjes së identitetit të autorit, madje dhe të vetë veprës penale, ngre krye.  Përkundrejt funksionit të prokurorit dhe pol.gjyq. dhe iniciativës së tyre të zbulimit, është autori tashmë në ‘avantazh’, përparësi të cilën, ndër të tjera, nëpërmjet ushtrimit të befasishëm të mjeteve të kërkimit të provës, duhet ta kapërcejnë të parët.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Kështu që, duke qenë nën interesin e prokurori dhe pol.gjyq. gjetja dhe përdorimi i provës fajësuese të të pandehurit, veprimtaria apo aktiviteti kërkues i saj, pra mjetet e kërkimit të provës, janë tërësisht të njëanshëm.</w:t>
      </w:r>
      <w:r w:rsidRPr="006871FF">
        <w:rPr>
          <w:rStyle w:val="FootnoteReference"/>
          <w:rFonts w:ascii="Georgia" w:hAnsi="Georgia" w:cstheme="majorBidi"/>
          <w:lang w:val="sq-AL"/>
        </w:rPr>
        <w:footnoteReference w:id="27"/>
      </w:r>
      <w:r w:rsidRPr="006871FF">
        <w:rPr>
          <w:rFonts w:ascii="Georgia" w:hAnsi="Georgia" w:cstheme="majorBidi"/>
          <w:lang w:val="sq-AL"/>
        </w:rPr>
        <w:t xml:space="preserve">  Pastaj sepse ato duhet të jenë të befta, nuk ka sesi të pretendohet paraprakisht zhvillimi i kontradiktoritetit për përdorimin e tyre.  Po ashtu, sepse ato nuk mund të rindërtohen në të njëjtat kushte vërtetësie dhe njëjtësie apo nuk mund të merren të njëjtat rezultate, siç kur ato përmbushen në befasi, apo edhe sepse agjentët atmosferik dhe ai kohor deformojnë rezultatet, mjetet e kërkimit të provës janë të papërsëritshëm dhe për këtë përbërës të fashikullit gjyqësor të formuar nga prokurori (shkronja ‘dh’ &amp; ‘f’, §1, neni 332/ë Kpp).  Madje këqyrja, edhe pse mund të mos jetë e zhvilluar në kushte befasie dhe për këtë, për shkak të vlerave njohëse sidoqoftë mund të futet në veprimet/aktet që përbëjnë fashikullin gjyqësor.</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Në nenet 35, 36, 37, 41 të Kushtetutës, në tërësinë e saj, gjen mbrojtje e drejta e privatësisë</w:t>
      </w:r>
      <w:r w:rsidRPr="006871FF">
        <w:rPr>
          <w:rFonts w:ascii="Georgia" w:hAnsi="Georgia" w:cstheme="majorBidi"/>
          <w:i/>
          <w:lang w:val="sq-AL"/>
        </w:rPr>
        <w:t>/privacy</w:t>
      </w:r>
      <w:r w:rsidRPr="006871FF">
        <w:rPr>
          <w:rFonts w:ascii="Georgia" w:hAnsi="Georgia" w:cstheme="majorBidi"/>
          <w:lang w:val="sq-AL"/>
        </w:rPr>
        <w:t xml:space="preserve"> në formën e sigurimit të ‘të dhënave që lidhen me personin’, të ‘fshehtësisë së komunikimit’ apo të ‘paprekshmërisë e mos kontrollit të banesës si dhe të atij vetjak’, si dhe gjen mbrojtje të veçantë e drejta e pronësisë private, duke evidentuar se që në preambulën kushtetuese është marrë zotimi për mbrojtjen e dinjitetit dhe të personalitetit njerëzor.  Në vështrim të këtyre garancive kushtetuese lehtësisht dallohet se të katër mjetet e kërkimit të provës ‘këqyrja’, ‘kontrolli’, ‘përgjimi’ &amp; ‘sekuestro’, kanë prirjen të kufizojnë apo të lëndojnë si të drejtën e privatësisë ashtu dhe atë të pronës, çka ka bërë që ligjvënësi të jetë mjaft i kujdesshëm në disiplinimin e këtyre instrumenteve, me synimin e arritjes së standardeve garantues.  Nga ana tjetër, mjetet e kërkimit të provës, në ndryshim nga vetë prova, që është instrument i nevojshëm për procesin, janë institute për provën dhe si të tilla, parimisht, pjesë të aktivitetit hulumtues të organeve që këtë veprimtari zhvillojnë.  Në këtë kuptim, ligjvënësi pasi i ka disiplinuar këto instrumente në nenet 198 deri në 226 të Kpp, </w:t>
      </w:r>
      <w:r w:rsidRPr="006871FF">
        <w:rPr>
          <w:rFonts w:ascii="Georgia" w:hAnsi="Georgia" w:cstheme="majorBidi"/>
          <w:lang w:val="sq-AL"/>
        </w:rPr>
        <w:lastRenderedPageBreak/>
        <w:t>zbatimin praktik të tyre, e rregullon në dispozitat për veprimtarinë hetimore paraprake, pra nëse për provën flitet me referim tek procesi, për ‘mjetin e kërkimit’ të saj, flitet me referim në veprimtarinë hulumtuese.</w:t>
      </w:r>
    </w:p>
    <w:p w:rsidR="006C2B89" w:rsidRPr="006871FF" w:rsidRDefault="006C2B89" w:rsidP="00A6151F">
      <w:pPr>
        <w:pStyle w:val="NoSpacing"/>
        <w:tabs>
          <w:tab w:val="left" w:pos="0"/>
        </w:tabs>
        <w:ind w:firstLine="567"/>
        <w:jc w:val="both"/>
        <w:rPr>
          <w:rFonts w:ascii="Georgia" w:hAnsi="Georgia" w:cstheme="majorBidi"/>
          <w:lang w:val="sq-AL"/>
        </w:rPr>
      </w:pPr>
      <w:r w:rsidRPr="006871FF">
        <w:rPr>
          <w:rFonts w:ascii="Georgia" w:hAnsi="Georgia" w:cstheme="majorBidi"/>
          <w:lang w:val="sq-AL"/>
        </w:rPr>
        <w:t>Disiplinimi apo tipizimi i katër mjeteve të kërkimit të provës nuk ka karakter shterues.  Siç parashikimi për marrjen e një prove që nuk rregullohet me ligj (§2, neni 149 Kpp) parashikim flagrant i mohimit të përshtatjes së parimit të taksativitetit të llojeve të provave vetëm në ato të tipizuara apo disiplinuara nga ligji procedural penal, edhe mjetet për kërkimin, qoftë të vetë atyre provave që nuk rregullohen nga ligji, tregojnë se edhe ato mund të jenë të tilla, që nuk janë rregulluar gjithashtu nga ligji.  Një lloj prove e panjohur në karakteristikat e saj, është e arsyeshme që të mendohet, se edhe veprimtaria për ‘kërkimin’ e saj të mos njihet dhe për këtë të jetë e ndryshme nga ato që ka parashikuar ligji në këqyrjen, kontrollin, përgjimin dhe sekuestron.  Kështu nëse tipike do të quhen ‘këqyrja’, ‘kontrolli, ‘përgjimi’ dhe ‘sekuestro provuese’, pa emër apo a-tipike do të quhen ato veprimtari që konsistojnë në ‘kërkimin’ e provës, që minimalisht «[...] nuk cenon lirinë e vullnetit të personit [...]» (§2, neni 149 Kpp), nuk formohen si praktika që përdorin «[...] metoda ose teknika për të ndikuar mbi lirinë e vullnetit ose për të ndryshuar aftësinë e kujtesës e të vlerësimit të fakteve» (§2, neni 38 Kpp) dhe që gjithsesi nuk formojnë cenim më të rëndë të së drejtës së privatësisë dhe të pronës se sa mjetet e tipizuara të kërkimit të</w:t>
      </w:r>
      <w:r w:rsidR="00A6151F" w:rsidRPr="006871FF">
        <w:rPr>
          <w:rFonts w:ascii="Georgia" w:hAnsi="Georgia" w:cstheme="majorBidi"/>
          <w:lang w:val="sq-AL"/>
        </w:rPr>
        <w:t xml:space="preserve"> provës.</w:t>
      </w:r>
    </w:p>
    <w:p w:rsidR="006C2B89" w:rsidRPr="006871FF" w:rsidRDefault="006C2B89" w:rsidP="00A6151F">
      <w:pPr>
        <w:pStyle w:val="NoSpacing"/>
        <w:tabs>
          <w:tab w:val="left" w:pos="0"/>
        </w:tabs>
        <w:jc w:val="center"/>
        <w:rPr>
          <w:rFonts w:ascii="Georgia" w:hAnsi="Georgia" w:cstheme="majorBidi"/>
          <w:b/>
          <w:lang w:val="sq-AL"/>
        </w:rPr>
      </w:pPr>
      <w:r w:rsidRPr="006871FF">
        <w:rPr>
          <w:rFonts w:ascii="Georgia" w:hAnsi="Georgia" w:cstheme="majorBidi"/>
          <w:b/>
          <w:lang w:val="sq-AL"/>
        </w:rPr>
        <w:t>Këqyrja</w:t>
      </w:r>
    </w:p>
    <w:p w:rsidR="006C2B89" w:rsidRPr="006871FF" w:rsidRDefault="006C2B89" w:rsidP="00AB321B">
      <w:pPr>
        <w:pStyle w:val="NoSpacing"/>
        <w:numPr>
          <w:ilvl w:val="1"/>
          <w:numId w:val="26"/>
        </w:numPr>
        <w:tabs>
          <w:tab w:val="left" w:pos="1134"/>
        </w:tabs>
        <w:ind w:left="0" w:firstLine="567"/>
        <w:rPr>
          <w:rFonts w:ascii="Georgia" w:hAnsi="Georgia" w:cstheme="majorBidi"/>
          <w:b/>
          <w:i/>
          <w:lang w:val="sq-AL"/>
        </w:rPr>
      </w:pPr>
      <w:r w:rsidRPr="006871FF">
        <w:rPr>
          <w:rFonts w:ascii="Georgia" w:hAnsi="Georgia" w:cstheme="majorBidi"/>
          <w:b/>
          <w:i/>
          <w:lang w:val="sq-AL"/>
        </w:rPr>
        <w:t>rastet dhe format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Këqyrja konsiston në veprimtarinë apo aktivitetin e vëzhgimit të lirë, të kujdesshëm, të përqendruar dhe të pandërmjetëm me qëllimin për të dalluar, zbuluar, identifikuar, individualizuar dhe sidoqoftë për të perceptuar gjurmët dhe pasojat e tjera materiale të veprës penale (§1, neni 198 Kpp) kudo të ndodhura, në një person, vend apo send.  Arritja e një rezultati pozitiv dhe për këtë gjetja e provës materiale, është dhe arritja e synimit kryesor të kësaj veprimtarie.  Ndërkohë që arritja e një rezultati pozitiv, për organin që procedon, do të thotë gjithashtu, një mundësi e gjetjes së «[...] çdo elementi të vlefshëm për rindërtimin e faktit dhe për individualizimin e fajtorit» (§1, neni 294 Kpp) aq i nevojshëm për zhvillimin e mëtejshëm të veprimtarisë hulumtuese në drejtimin e duhur.</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Siç është përmendur, si për shkak të veprimtarisë së mundshme të autorit të veprës penale, që interes për të fshehur ka, ashtu dhe për shkak të agjentëve atmosferik dhe lëvizjes së sendeve e personave, gjurmët dhe pasojat e tjera materiale të veprës penale, përgjatë kalimit të kohës, gjithnjë e më shumë, humbin efektin domethënës dhe kështu dhe vlerat njohëse të tyre.  Për këtë, në një shkallë të madhe, suksesi i përfitimit në mënyrë të vlefshme të gjurmëve dhe shenjave materiale të veprës penale, varet nga kryerja e veprimit të këqyrjes, sapo ose menjëherë pas, kryerjes së faktit vepër penale.</w:t>
      </w:r>
    </w:p>
    <w:p w:rsidR="006C2B89" w:rsidRPr="006871FF" w:rsidRDefault="006C2B89" w:rsidP="00AB321B">
      <w:pPr>
        <w:pStyle w:val="NoSpacing"/>
        <w:numPr>
          <w:ilvl w:val="1"/>
          <w:numId w:val="26"/>
        </w:numPr>
        <w:tabs>
          <w:tab w:val="left" w:pos="1134"/>
        </w:tabs>
        <w:ind w:left="0" w:firstLine="567"/>
        <w:rPr>
          <w:rFonts w:ascii="Georgia" w:hAnsi="Georgia" w:cstheme="majorBidi"/>
          <w:b/>
          <w:bCs/>
          <w:i/>
          <w:lang w:val="sq-AL"/>
        </w:rPr>
      </w:pPr>
      <w:r w:rsidRPr="006871FF">
        <w:rPr>
          <w:rFonts w:ascii="Georgia" w:hAnsi="Georgia" w:cstheme="majorBidi"/>
          <w:b/>
          <w:i/>
          <w:lang w:val="sq-AL"/>
        </w:rPr>
        <w:t>organi procedues</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bCs/>
          <w:lang w:val="sq-AL"/>
        </w:rPr>
        <w:t>Sipas fazës në të cilën është e nevojshme të kryhet këqyrja, për përmbushjen e saj, vendos me urdhër, ‘organi që procedon’ në atë fazë.  Kështu për efekt të parashikimit të emërtuar ‘organet e ngarkuara për hetimet paraprake’ në titullin e nenit 277 Kpp që parashikon se «</w:t>
      </w:r>
      <w:r w:rsidRPr="006871FF">
        <w:rPr>
          <w:rFonts w:ascii="Georgia" w:hAnsi="Georgia" w:cstheme="majorBidi"/>
          <w:lang w:val="sq-AL"/>
        </w:rPr>
        <w:t>prokurori dhe pol.gjyq. zhvillojnë, brenda kompetencave të caktuara, hetimet e nevojshme që lidhen me ushtrimin e ndjekjes penale</w:t>
      </w:r>
      <w:r w:rsidRPr="006871FF">
        <w:rPr>
          <w:rFonts w:ascii="Georgia" w:hAnsi="Georgia" w:cstheme="majorBidi"/>
          <w:bCs/>
          <w:lang w:val="sq-AL"/>
        </w:rPr>
        <w:t>»</w:t>
      </w:r>
      <w:r w:rsidRPr="006871FF">
        <w:rPr>
          <w:rFonts w:ascii="Georgia" w:hAnsi="Georgia" w:cstheme="majorBidi"/>
          <w:lang w:val="sq-AL"/>
        </w:rPr>
        <w:t xml:space="preserve"> (§1, neni 277 Kpp), janë përgjatë hetimit paraprak, si prokurori ashtu dhe pol.gjyq., organe që vendosin kryerjen e këqyrjes në kuadrin e hetimeve të nevojshme, ndërsa është gjykata që vendos këqyrjen, atëherë kur është ajo që procedon gjatë procesit të shqyrtimit gjyqësor.  Pastaj, sepse është pol.gjyq. që kryen veprimet hetimore me iniciativë (§1, neni 30 Kpp) dhe në rast se «[...] prokurori nuk mund të ndërhyjë urgjentisht [...]» (§2, neni 300 Kpp), pra në kushtet e ngutjes dhe sepse këqyrja është një veprim i kryer kryesisht në kushte befasuese, ajo e disponuar nga pol.gjyq., nuk paraprihet nga një urdhër i veçantë, por është i përfshirë në të njëjtin proces verbal që dokumenton veprimtarinë e këqyrjes, në të cilin, ndër të tjera, tregohen dhe shkaqet si dhe situata që legjitimojnë disponimin.  Nga sa, kuptohet se në të kundërt, kur nuk ekzistojnë kushte të ngutjes, edhe pol.gjyq. e legjitimuar për të kryer këqyrje, duhet më parë se të ekzekutojë atë, të nxjerrë në veprim të veçantë urdhrin përkatës që e justifikon k</w:t>
      </w:r>
      <w:r w:rsidRPr="006871FF">
        <w:rPr>
          <w:rFonts w:ascii="Georgia" w:hAnsi="Georgia" w:cstheme="majorBidi"/>
          <w:bCs/>
          <w:lang w:val="sq-AL"/>
        </w:rPr>
        <w:t>ëqyrjen</w:t>
      </w:r>
      <w:r w:rsidRPr="006871FF">
        <w:rPr>
          <w:rFonts w:ascii="Georgia" w:hAnsi="Georgia" w:cstheme="majorBidi"/>
          <w:lang w:val="sq-AL"/>
        </w:rPr>
        <w:t xml:space="preserve">.  Siç në parim të përgjithshëm, këqyrja është veprim që përmbushet gjatë hetimeve paraprake ashtu dhe urdhri i emetuar i saj, parimisht, si i njëanshëm, nuk i nënshtrohet ndonjë </w:t>
      </w:r>
      <w:r w:rsidRPr="006871FF">
        <w:rPr>
          <w:rFonts w:ascii="Georgia" w:hAnsi="Georgia" w:cstheme="majorBidi"/>
          <w:lang w:val="sq-AL"/>
        </w:rPr>
        <w:lastRenderedPageBreak/>
        <w:t>kontradiktoriteti, sepse nxirret sipas ritit ‘pa asnjë vështirësi’</w:t>
      </w:r>
      <w:r w:rsidRPr="006871FF">
        <w:rPr>
          <w:rFonts w:ascii="Georgia" w:hAnsi="Georgia" w:cstheme="majorBidi"/>
          <w:i/>
          <w:lang w:val="sq-AL"/>
        </w:rPr>
        <w:t>/de plano</w:t>
      </w:r>
      <w:r w:rsidRPr="006871FF">
        <w:rPr>
          <w:rFonts w:ascii="Georgia" w:hAnsi="Georgia" w:cstheme="majorBidi"/>
          <w:lang w:val="sq-AL"/>
        </w:rPr>
        <w:t>, në përmbushje të interesave të organit që procedon përgjatë hetimit paraprak.  Kjo në ndryshim nga urdhri që mund të emetohet nga gjykata përgjatë shqyrtimit gjyqësor, i cili sidoqoftë praktikisht është i rrallë.  Po ashtu, ligjvënësi nuk normon detyrimin e organit që procedon në fazën e hetimit paraprak për të emetuar urdhër të arsyetuar, siç në të kundërt, në çfarëdo lloj situate, parashihet për ato që emeton gjykata.</w:t>
      </w:r>
    </w:p>
    <w:p w:rsidR="006C2B89" w:rsidRPr="006871FF" w:rsidRDefault="006C2B89" w:rsidP="006C2B89">
      <w:pPr>
        <w:pStyle w:val="NoSpacing"/>
        <w:tabs>
          <w:tab w:val="left" w:pos="0"/>
        </w:tabs>
        <w:ind w:firstLine="567"/>
        <w:jc w:val="both"/>
        <w:rPr>
          <w:rFonts w:ascii="Georgia" w:hAnsi="Georgia" w:cstheme="majorBidi"/>
          <w:bCs/>
          <w:lang w:val="sq-AL"/>
        </w:rPr>
      </w:pPr>
      <w:r w:rsidRPr="006871FF">
        <w:rPr>
          <w:rFonts w:ascii="Georgia" w:hAnsi="Georgia" w:cstheme="majorBidi"/>
          <w:bCs/>
          <w:lang w:val="sq-AL"/>
        </w:rPr>
        <w:t xml:space="preserve">Përgjatë hetimit paraprak, edhe pse formohet si një veprim i njëanshëm në përcaktimin e nevojave për përmbushjen e saj, këqyrja si veprimtari, sepse drejtohet në kërkimin dhe </w:t>
      </w:r>
      <w:r w:rsidRPr="006871FF">
        <w:rPr>
          <w:rFonts w:ascii="Georgia" w:hAnsi="Georgia" w:cstheme="majorBidi"/>
          <w:lang w:val="sq-AL"/>
        </w:rPr>
        <w:t>zbulimin e gjurmëve dhe pasojave materiale të veprës penale si prova në ngarkim të të pandehurit</w:t>
      </w:r>
      <w:r w:rsidRPr="006871FF">
        <w:rPr>
          <w:rFonts w:ascii="Georgia" w:hAnsi="Georgia" w:cstheme="majorBidi"/>
          <w:bCs/>
          <w:lang w:val="sq-AL"/>
        </w:rPr>
        <w:t>, për këtë të fundit, parashikohet si garanci e drejta e mbrojtësit për të asistuar apo për të qenë i pranishëm në momentin e përmbushjes së këqyrjes.</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bCs/>
          <w:lang w:val="sq-AL"/>
        </w:rPr>
        <w:t xml:space="preserve">Në varësi të organit që urdhëron këqyrjen, për atë që urdhërohet nga prokurori, është i detyrueshëm ‘lajmërimi i mbrojtësit të zgjedhur dhe në mungesë të tij, i mbrojtësit që detyrimisht caktohet kryesisht nga prokurori (§1, neni 309 Kpp), «[...] </w:t>
      </w:r>
      <w:r w:rsidRPr="006871FF">
        <w:rPr>
          <w:rFonts w:ascii="Georgia" w:hAnsi="Georgia" w:cstheme="majorBidi"/>
          <w:lang w:val="sq-AL"/>
        </w:rPr>
        <w:t>të paktën njëzet e katër orë përpara – dhe – kur vonesa mund të dëmtojë, lajmërimi i mbrojtësit bëhet urgjentisht» (§2, neni 309 Kpp) pa respektuar afatin 24 orësh.</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Më tej, rasti i këqyrjes’ së personit të hetuar, veprim i cili nuk mund të përmbushet pa praninë fizike të tij (§1, neni 308 Kpp), sepse parashikohet detyrimi i caktimit të një mbrojtësi kryesisht, nëse të tillë i hetuari nuk ka, pa u kërkuar nga vetë i hetuari, ky caktim kryesisht përmbushet nga prokurori, sepse nga ligji kërkohet prania e mbrojtësit (§5, neni 49 Kpp) që do të thotë se ajo është e detyrueshme, ku mbrojtësi jo vetëm ndihmon të pandehurin (§2, neni 6 Kpp), por edhe garanton përmbushjen ligjërisht të veprimit.  Për këtë mungesa e mbrojtësit dërgohet për t’u vlerësuar sipas parashikimit mbi pavlefshmërinë e veprimit (shkronja ‘c’, §1, neni 128/a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Ndërsa përkundrejt këqyrjes së ushtruar nga pol.gjyq., duke pasur parasysh këtu se ‘verifikimi’ është pikërisht këqyrja e kryer si veprim ‘hetimor i domosdoshëm’ në kushtet e nenit 300 të Kpp, mbrojtësi i të hetuarit gëzon të drejtën apo mbart fakultetin për të asistuar, por ai nuk ka të drejtën e ‘paralajmërimit’ për zhvillimin e këqyrjes së kryer në kushtet e urgjencës apo ngutjes.  Për këtë disiplinohet se «mbrojtësi i personit ndaj të cilit zhvillohen hetimet ka të drejtë të asistojë, pa pasur të drejtën që të lajmërohet që më parë, në [...] verifikimet e ngutshme në vend [...]» (neni 302 Kpp).  Kështu, në ndryshim nga këqyrja e urdhëruar nga prokurori, për atë të kryer nga pol.gjyq., nuk parashikohet roli i mbrojtësit si garant i ligjshmërisë së veprimit, për çka dhe prania e tij nuk është e detyrueshme.  Prevalojnë në këtë rast, nevojat e procedimit penal në kushtet e urgjencës, për pasojë edhe mungesa apo mos prania e mbrojtësit, nuk shkakton ndonjë pavlefshmëri të veprimit.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Ndërtimi apo struktura e Kodit, veçanërisht ajo që normon funksionin dhe veprimtarinë e pol.gjyq., është normuar mbi bazën e ‘iniciativës’, ‘shpejtësisë’ dhe ‘ngutjes/urgjencës’, të cilat justifikojnë, veçanërisht në kushtet e ‘këqyrjes’ edhe shmangien e disa garancive për personin e interesuar.  Mir</w:t>
      </w:r>
      <w:r w:rsidRPr="006871FF">
        <w:rPr>
          <w:rFonts w:ascii="Georgia" w:hAnsi="Georgia" w:cstheme="majorBidi"/>
          <w:bCs/>
          <w:lang w:val="sq-AL"/>
        </w:rPr>
        <w:t>ë</w:t>
      </w:r>
      <w:r w:rsidRPr="006871FF">
        <w:rPr>
          <w:rFonts w:ascii="Georgia" w:hAnsi="Georgia" w:cstheme="majorBidi"/>
          <w:lang w:val="sq-AL"/>
        </w:rPr>
        <w:t xml:space="preserve">po pushtetin e ngarkuar pol.gjyq. për të qenë edhe ajo urdhëruese e këtij veprimi – si organ që procedon, sepse ligjvënësi nuk bën diferencim, – qoftë edhe atëherë kur nuk është në kushte të tilla të ‘shpejtësisë’ apo të ‘ngutjes/urgjencës, ligjvënësi nuk e ka shoqëruar dhe me parashikimin e normave që e rregullojnë atë, siç në të kundërt ka paralelizuar pushtetin e prokurorit, më sipër të përmendur.  Për një pjesë të studiuesve kjo lidhet me mungesën e pushtetit apo me pamundësinë e pol.gjyq. për të përmbushur veprime, jashtë atyre të parashikuar nga neni 293 – 303 Kpp, që me iniciativë të saj i lejohen të përmbushë, për çka dhe ligjvënësi nuk ka se çfarë të parashikojë për to.  Ndërsa për qëndrimin që ka përparësi në jurisprudencës, i cili pranon mundësinë e kryerjes së pol.gjyq. të të gjitha veprimeve të nevojshme hetimore, përsëri brenda tij, është formuar qëndrimi se pol.gjyq. nuk është e paprekur nga kushtet, së paku, nga ato që duhet të përmbushë prokurori në rastin kur vendos të kryhet një këqyrje.  Për këtë, gjithnjë kur pol.gjyq. për interesa të hetimit vendos të kryejë këqyrje, dhe sigurisht në mungesë të kërkesave të urgjencës dhe befasisë, duhet jo vetëm të emetojë urdhrin e këqyrjes, por dhe njëkohësisht të bëjë të mundur ushtrimin e të drejtës së mbrojtësit për të asistuar në këtë këqyrje.  Për këtë edhe ajo, në po të njëjtat kushte si të prokurorit, duhet të </w:t>
      </w:r>
      <w:r w:rsidRPr="006871FF">
        <w:rPr>
          <w:rFonts w:ascii="Georgia" w:hAnsi="Georgia" w:cstheme="majorBidi"/>
          <w:lang w:val="sq-AL"/>
        </w:rPr>
        <w:lastRenderedPageBreak/>
        <w:t>lajmërojë të paktën 24 orë përpara mbrojtësin sido të zgjedhur apo caktuar kryesisht dhe kur janë kushtet që vonesa do të sillte dëm, të bëjë të mundur lajmërimin e tij urgjentisht.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Është e mundur që, për shkaqe të ndryshme, vepra penale të mos ketë lënë gjurmë, shenja apo të mos ketë efekte të jashtme të natyrës materiale.  Për më tepër, jo vetëm për shkak të natyrës së saj, por kur për shkak të kujdesit të autorit apo se nën veprimin e faktorëve të ndryshëm, shenjat dhe gjurmët materiale të veprës penale janë zhdukur, humbur apo janë ndryshuar e lëvizur, çka vështirëson së tepërmi dhe arritjen e qëllimit të këqyrjes, që është zbulimi i tyre, organit që procedon i është njohur një pushtet ‘verifikimi’.  Ai, pasi në veprimin dokumentues të veprimtarisë së këqyrjes, pasqyron gjendjen në fakt ashtu siç e gjen, ka autoritet që «[…] verifikon se si ka qenë ajo para ndryshimeve, si dhe merr masa që të saktësojë mënyrën, kohën dhe shkaqet e ndryshimeve që mund të kenë ndodhur» (§2, neni 198 Kpp), pra të përcaktojë situatën dhe strukturën e ambientit para ndryshimeve, pra menjëherë pas kryerjes së faktit penal apo përpara zhdukjes, humbjes, lëvizjes s</w:t>
      </w:r>
      <w:r w:rsidRPr="006871FF">
        <w:rPr>
          <w:rFonts w:ascii="Georgia" w:hAnsi="Georgia" w:cstheme="majorBidi"/>
          <w:bCs/>
          <w:lang w:val="sq-AL"/>
        </w:rPr>
        <w:t xml:space="preserve">ë </w:t>
      </w:r>
      <w:r w:rsidRPr="006871FF">
        <w:rPr>
          <w:rFonts w:ascii="Georgia" w:hAnsi="Georgia" w:cstheme="majorBidi"/>
          <w:lang w:val="sq-AL"/>
        </w:rPr>
        <w:t>gjurmëve apo shenjave dhe gjithsesi përpara ndryshimit të të gjithë panoramës së skenës së veprës penale, maturi kjo mjaft e gjerë.  E duke pasur parasysh se veprimi në fjalë është kryer nga anëtari i organit shtetëror në zbatim të funksionit të tij (§1, neni 277 Kpp) dhe sipas parashikimit ligjor (§2, neni 198 Kpp), që në procesin e çmuarjes është i vërtetë, përmbushja e tij kërkon jo vetëm një ndërgjegjësim të thellë, por dhe një nivel të lartë të përgatitjes profesionale.</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Ashtu siç në dokumentimin e seancës gjyqësore, sepse «për dokumentimin e akteve gjatë fazës së hetimeve paraprake zbatohen, për aq sa është e mundur, dispozitat e mësipërme» (§5, neni 116 Kpp) të cilat janë ato të nenit 115 dhe 116 të Kpp, nëse është e mundur me qëllimin e zbulimit sa më të detajuar e t</w:t>
      </w:r>
      <w:r w:rsidRPr="006871FF">
        <w:rPr>
          <w:rFonts w:ascii="Georgia" w:hAnsi="Georgia" w:cstheme="majorBidi"/>
          <w:bCs/>
          <w:lang w:val="sq-AL"/>
        </w:rPr>
        <w:t>ë</w:t>
      </w:r>
      <w:r w:rsidRPr="006871FF">
        <w:rPr>
          <w:rFonts w:ascii="Georgia" w:hAnsi="Georgia" w:cstheme="majorBidi"/>
          <w:lang w:val="sq-AL"/>
        </w:rPr>
        <w:t xml:space="preserve"> qartë të gjurmëve dhe shenjave të tjera materiale të veprës penale si dhe të konservimit në të njëjtin nivel, organi që procedon dokumenton këqyrjen nëpërmjet regjistrimit audio-viziv (§1, neni 115 Kpp).  Nëse këto mjete nuk janë në dispozicion të tij, dokumentimi bëhet nëpërmjet proces verbalit të çdo veprimi apo veprimtarie me shtypshkrim a dorëshkrim (§3, neni 115 Kpp).  Në këtë rast «organi procedues mund të urdhërojë fotografime [...] dhe çdo veprim tjetër teknik» (§3, neni 198 Kpp), pasi mjetet për filmime, pra audio vizive ai nuk i posedon.</w:t>
      </w:r>
    </w:p>
    <w:p w:rsidR="006C2B89" w:rsidRPr="006871FF" w:rsidRDefault="006C2B89" w:rsidP="00AB321B">
      <w:pPr>
        <w:pStyle w:val="NoSpacing"/>
        <w:numPr>
          <w:ilvl w:val="1"/>
          <w:numId w:val="26"/>
        </w:numPr>
        <w:tabs>
          <w:tab w:val="left" w:pos="1134"/>
        </w:tabs>
        <w:ind w:left="0" w:firstLine="567"/>
        <w:rPr>
          <w:rFonts w:ascii="Georgia" w:hAnsi="Georgia" w:cstheme="majorBidi"/>
          <w:b/>
          <w:i/>
          <w:lang w:val="sq-AL"/>
        </w:rPr>
      </w:pPr>
      <w:r w:rsidRPr="006871FF">
        <w:rPr>
          <w:rFonts w:ascii="Georgia" w:hAnsi="Georgia" w:cstheme="majorBidi"/>
          <w:b/>
          <w:i/>
          <w:lang w:val="sq-AL"/>
        </w:rPr>
        <w:t>llojet e këqyrjeve</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Sipas objektit mbi të cilin drejtohet veprimtaria këqyrjes, ligjvënësi ka preferuar të titullojë apo të klasifikojë llojet e saj.  Të veçuar në ‘person’, ‘kufomë’, ‘vend’, dhe ‘send’ objektet mbi të cilët kërkohet të zbulohen gjurmët apo shenjat materiale të veprës penale, ligjvënësi ka emërtuar veçmas ‘këqyrja e personave’, ‘këqyrja e kufomës’ &amp; ‘këqyrja e vendeve dhe e sendeve’, duke disiplinuar dhe përmbushjen e këqyrjes sipas një riti me veçoritë specifike për secilën lloj të këqyrjes.</w:t>
      </w:r>
    </w:p>
    <w:p w:rsidR="006C2B89" w:rsidRPr="006871FF" w:rsidRDefault="006C2B89" w:rsidP="006C2B89">
      <w:pPr>
        <w:pStyle w:val="NoSpacing"/>
        <w:tabs>
          <w:tab w:val="left" w:pos="0"/>
        </w:tabs>
        <w:ind w:firstLine="567"/>
        <w:jc w:val="right"/>
        <w:rPr>
          <w:rFonts w:ascii="Georgia" w:hAnsi="Georgia" w:cstheme="majorBidi"/>
          <w:lang w:val="sq-AL"/>
        </w:rPr>
      </w:pPr>
      <w:r w:rsidRPr="006871FF">
        <w:rPr>
          <w:rFonts w:ascii="Georgia" w:hAnsi="Georgia" w:cstheme="majorBidi"/>
          <w:lang w:val="sq-AL"/>
        </w:rPr>
        <w:t>(personit)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Ndërsa është thënë se mjetet e kërkimit të provës rrezikojnë të cenojnë të drejtën e privatësisë dhe atë të pronësisë, ligjvënësi në ekzekutimin e këqyrjes personale ka vërejtur se në mundësinë për t’u lënduar, qëndron personaliteti i njeriut, në vlerën më të spikatur të dinjitetit, pikërisht çka në preambulën kushtetuese është marrë përsipër me zë të lartë të mbrohet.  Për këtë, vendoset si parakusht i kryerjes apo përmbushjes së këqyrjes së personit ‘respektimi i dinjitetit dhe integritetit personal’ dhe kështu mbrojtja e tij, pa ju shmangur qëllimit të vetë këqyrjes (§1, neni 199 Kpp).  Parashihet si një veprimtari delikate, e mundshme për të ndikuar në vlerat që kanë të bëjnë me konsideratën ndaj vetvetes, turpin,</w:t>
      </w:r>
      <w:r w:rsidRPr="006871FF">
        <w:rPr>
          <w:rStyle w:val="FootnoteReference"/>
          <w:rFonts w:ascii="Georgia" w:hAnsi="Georgia" w:cstheme="majorBidi"/>
          <w:lang w:val="sq-AL"/>
        </w:rPr>
        <w:footnoteReference w:id="28"/>
      </w:r>
      <w:r w:rsidRPr="006871FF">
        <w:rPr>
          <w:rFonts w:ascii="Georgia" w:hAnsi="Georgia" w:cstheme="majorBidi"/>
          <w:lang w:val="sq-AL"/>
        </w:rPr>
        <w:t xml:space="preserve"> cipën apo imazhin e personit, njohja dhe mbajtja parasysh e të cilave, mundëson dhe respektimin e tyre, duke përmbushur në mënyrë korrekte vetë veprimtarinë e këqyrjes në funksion të procedimit penal.</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 xml:space="preserve">Në dispozitën specifike të këqyrjes ligji, nuk përmend veçanërisht, siç bën në këqyrjen e kufomës, njoftimin e një pjesëtari të familjes (neni 200 Kpp) apo në këqyrjen e vendeve apo sendeve, që parashikon dorëzimin e kopjes së vendimit për kryerjen e këqyrjes, atij që ka në dispozicion vendin apo sendin, detyrimin për të njohur personin me veprimin që urdhëron këqyrjen.  Por, nuk ka më tepër se është thënë ky detyrim, atëherë kur ligji parasheh detyrimin për respektimin e dinjitetit të tij, sepse është në minimumin e </w:t>
      </w:r>
      <w:r w:rsidRPr="006871FF">
        <w:rPr>
          <w:rFonts w:ascii="Georgia" w:hAnsi="Georgia" w:cstheme="majorBidi"/>
          <w:lang w:val="sq-AL"/>
        </w:rPr>
        <w:lastRenderedPageBreak/>
        <w:t>mundshëm të respektimit, njohja e personit me urdhrin që ka disponuar këqyrjen e tij personale.</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Në një kuptim të përputhur me respektimin e dinjitetit të të këqyrurit, parashikohet se «këqyrja bëhet në vende të përshtatshme [...]» (§1, neni 199 Kpp), duke shmangur kështu vështrimin e personave të tjerë që nuk kanë lidhje me veprimin e këqyrjes.  Ndërsa në kuptim me respektimin e integritetin e të këqyrurit është e udhës që personi të këqyret, nga ata që të të njëjtit seks me të, janë.</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Madje, nëse është rasti për të kryer këqyrjen e personit, ligjvënësi parasheh detyrimin e organit që procedon drejtpërdrejtë, që t’i bëjë me dije atij që është objekt i këqyrjes dhe dinjiteti e integriteti i të cilit duhet respektuar, të drejtën për të kërkuar praninë e një të besuari (§2, neni 199 Kpp), prania e të cilit vendoset pikërisht si një garanci e respektimit të dinjitetit të tij.  Por, nuk mund të shërbejë përmbushja e kësaj të drejte si një pengesë e përmbushjes së vetë veprimit të këqyrjes.  Ajo është e lidhur vetëm me të drejtën e respektimit të dinjitetit e integritetit dhe jo me përmbushjen e këqyrjes.  Dhe për të shmangur keq përdorimin e saj, ligji normon se personi që zgjidhet si i besuar duhet të gjendet menjëherë (§2, neni 199 Kpp), pra jo të deklarohet pas kalimit të kohës apo të jetë në pamundësi të pranisë fizike, në kohën dhe vendin që ndaj të vëzhguarit ushtrohet këqyrja.  Po ashtu, për të qenë e vlefshme kjo zgjedhje, duhet që personi duhet të jetë i përshtatshëm (§2, neni 199 Kpp), në atë kuptim që i kërkon neni 108 Kpp dëshmitarët në veprimet procedurale.  Për këtë, i përshtatshëm do të quhet personi që nuk është i mitur deri më 14 vjeç, ai që nuk ka sëmundje mendore të dukshme, që nuk është në gjendje të rëndë dehje ose intoksikimi, apo ndaj të cilit nuk është marrë një masë sigurimi.</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Këqyrja e personit për të cilën parashikon neni 199 Kpp, është ajo e veprimtarisë vëzhguese, të kujdesshme, të përqendruar dhe të pandërmjetme me qëllimin për të dalluar, zbuluar, identifikuar, individualizuar dhe sidoqoftë për të perceptuar gjurmët dhe pasojat e tjera materiale të veprës penale në një trup njerëzor të caktuar ose pjesë të tij, për shembull nëse gjinden plagë, shenja apo mbetje të tjera materiale në të.</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Mundësia e veprimit të veprës penale dhe për këtë, edhe ajo e lënies së gjurmëve e shenjave të saj, është mbi të gjithë trupat njer</w:t>
      </w:r>
      <w:r w:rsidRPr="006871FF">
        <w:rPr>
          <w:rFonts w:ascii="Georgia" w:hAnsi="Georgia" w:cstheme="majorBidi"/>
          <w:bCs/>
          <w:lang w:val="sq-AL"/>
        </w:rPr>
        <w:t>ë</w:t>
      </w:r>
      <w:r w:rsidRPr="006871FF">
        <w:rPr>
          <w:rFonts w:ascii="Georgia" w:hAnsi="Georgia" w:cstheme="majorBidi"/>
          <w:lang w:val="sq-AL"/>
        </w:rPr>
        <w:t>zor, për çka norma nuk kufizon kryerjen e këqyrjes në subjekte të përcaktuar apo të veçantë të procesit penal.  Kështu që ‘person’ që këqyret, mund të jetë çdo subjekt fizik, i cili praninë e një të besuari mund të kërkojë si dhe i hetuari/pandehuri që praninë e mbrojtësit të tij po ashtu mund të kërkojë.</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Ligjvënësi, nuk e ka lidhur ekzekutimin e këqyrjes me domosdoshmërinë e pranisë fizike të pjesëtarit të organit që procedon.  Madje është parashikuar, veçanërisht në këqyrjet e ushtruara ndaj personit edhe mundësia e përmbushjes së tyre, nga një mjek i deleguar nga ky organ, gjithnjë me pëlqimin e personit (§3, neni 199 Kpp).  Në këtë rast, nuk është paraparë e detyrueshme pjesëmarrja në veprimin e këqyrjes e o.p.gj., prokurorit apo gjyqtarit, të organit që procedon.  Për këtë, lejimi dhe mundësia e kryerjes së këqyrjes nga një mjek, pra një person i pajisur me njohuri e dije të posaçme shkencore, të njëjta me ato që posedon eksperti (§1, neni 178 Kpp), në studiues</w:t>
      </w:r>
      <w:r w:rsidRPr="006871FF">
        <w:rPr>
          <w:rStyle w:val="FootnoteReference"/>
          <w:rFonts w:ascii="Georgia" w:hAnsi="Georgia" w:cstheme="majorBidi"/>
          <w:lang w:val="sq-AL"/>
        </w:rPr>
        <w:footnoteReference w:id="29"/>
      </w:r>
      <w:r w:rsidRPr="006871FF">
        <w:rPr>
          <w:rFonts w:ascii="Georgia" w:hAnsi="Georgia" w:cstheme="majorBidi"/>
          <w:lang w:val="sq-AL"/>
        </w:rPr>
        <w:t xml:space="preserve"> ka përhapur interpretimin e dyfishtë për të njëjtin veprim, si atë të këqyrjes personale të zhvilluar për të zbuluar gjurmë dhe shenja materiale të krimit mbi trupin apo pjesë të tij, ashtu dhe atë të një ekspertimit, për shembull kërkon shenja të një helmatisje, merr të dhëna mbi to dhe bën vlerësimin mbi kohën dhe substancën që e ka shkaktuar.</w:t>
      </w:r>
    </w:p>
    <w:p w:rsidR="006C2B89" w:rsidRPr="006871FF" w:rsidRDefault="006C2B89" w:rsidP="006C2B89">
      <w:pPr>
        <w:pStyle w:val="NoSpacing"/>
        <w:tabs>
          <w:tab w:val="left" w:pos="0"/>
        </w:tabs>
        <w:ind w:firstLine="567"/>
        <w:jc w:val="right"/>
        <w:rPr>
          <w:rFonts w:ascii="Georgia" w:hAnsi="Georgia" w:cstheme="majorBidi"/>
          <w:lang w:val="sq-AL"/>
        </w:rPr>
      </w:pPr>
      <w:r w:rsidRPr="006871FF">
        <w:rPr>
          <w:rFonts w:ascii="Georgia" w:hAnsi="Georgia" w:cstheme="majorBidi"/>
          <w:lang w:val="sq-AL"/>
        </w:rPr>
        <w:t>(mjeku detyrimisht)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Por nëse është e nevojshme që këqyrja të bëhet me anën e një mjeku dhe personi nuk jep pëlqimin apo kur ai është i mitur, këqyrja bëhet në mënyrë të detyruar, ashtu siç parashikon neni 201/a Kpp për kryerjen e procedurave mjekësore (§3, neni 199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 xml:space="preserve">Nga ana tij neni 201/a Kpp është ndërtuar për të rregulluar procedimin kur kërkohet ndërhyrja mjekësore që cenon lirinë e personit, nëse është e domosdoshme për të provuar faktet në procedim (§5, neni 201/a Kpp), për marrjen e kampioneve biologjikë apo mjekësorë me kushtin që nuk dëmtohet shëndeti, nuk vihet në rrezik jeta, integriteti fizik, shëndetësor, që nuk mund të dëmtojnë fëmijën e pa lindur ose që sipas protokolleve mjekësore, nuk mund </w:t>
      </w:r>
      <w:r w:rsidRPr="006871FF">
        <w:rPr>
          <w:rFonts w:ascii="Georgia" w:hAnsi="Georgia" w:cstheme="majorBidi"/>
          <w:lang w:val="sq-AL"/>
        </w:rPr>
        <w:lastRenderedPageBreak/>
        <w:t>të shkaktojnë vuajtje të pa përligjura (§5, neni 201/a Kpp).  Megjithëse kërkohet pëlqimi i personit që i nënshtrohet ndërhyrjes apo e prindit a kujdestarit ligjor për të miturin, për marrjen e kampionëve biologjikë apo procedurës mjekësore, ajo vendoset të kryhet në mënyrë të detyruar qoftë pa këtë pëlqim dhe kur është e nevojshme duke kufizuar lirinë e tij (§5, neni 201/a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Për këtë është prokurori që me kërkesë i drejtohet gjykatës e cila duke vlerësuar rastin – në dhomë këshillimi dhe pa praninë e palëve, sepse mënyra e procedimit nuk parashikohet veçanërisht – jep vendimin mbi marrjen e kampionit biologjik ose procedurën mjekësore, i cili detyrimisht duhet të përmbajë të dhënat personale të personit, veprën penale, përshkrim të përmbledhur të faktit, përshkrimin e detajuar të llojit të kampionit biologjik që do të merret ose të procedurës mjekësore që do të kryhet, arsyet përse prova nuk mund të merret në mënyrë tjetër; të drejtën për mbrojtës a person të besuar të personit, vendin, datën, kohën dhe mënyrën e saktë të marrjes së kampionit biologjik ose kryerjes së procedurës mjekësore; njoftimin që personi që i nënshtrohet marrjes së kampionit biologjik ose procedurës tjetër mjekësore është i detyruar të paraqitet dhe paralajmërimin për shoqërim të detyrueshëm nëse nuk paraqitet pa shkaqe të ligjshme (§6, neni 201/a Kpp).  Vendimit i bashkëngjitet, nëse personi, prindi a kujdestari i të miturit, e ka dhënë pëlqimin (shkronja ‘e’, §6, neni 201/a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Njoftohet vendimi i gjykatës – jo më pak se tre ditë nga data e vendosur për ndërhyrja mjekësore – të pandehurit, mbrojtësit të tij, viktimës dhe mbrojtësit të saj, personit kur ai nuk është i pandehuri apo viktima dhe prindit a kujdestarit kur ai është i mitur (§7, neni 201/a Kpp).  Pra kushdo qoftë personi që i nënshtrohet marrjesh së kampioneve biologjike apo procedurës mjekësore, si i pandehuri dhe mbrojtësi i tij ashtu dhe viktima e mbrojtësit të saj, detyrimisht duhet të lajmërohen.</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Në rast urgjence, kur nga vonesa mund të shkaktohet humbja e provës apo të dëmtohet vërtetësia e saj, vendimi për marrjen e kampionëve biologjik apo kryerjen e procedurës mjekësore, merret nga prokurori (§10, neni 201/a Kpp).  Në një rast të tillë, ai është i detyruar që brenda 48 orëve, ti kërkojë gjykatës vlerësimin si të ligjshëm të vendimit.  Nga ana saj, po ashtu, gjykata është e detyruar të shprehet – në dhomë këshillimi pa praninë e palëve – brenda 48 orëve nga marrja e kërkesës së prokurorit, duke i njoftuar vendimin e marrë si prokurorit ashtu dhe mbrojtësit të të pandehurit. (§1, neni 201/a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Kur pas vendimi të gjykatës mbi marrjen e kampionëve biologjikë apo procedurës mjekësore, personi që është vendosur ti nënshtrohet atyre nuk paraqitet në vendin e caktuar pa arsye të ligjshme, me kërkesën e prokurorit gjykata urdhëron shoqërimin e detyrueshëm (§9, neni 201/a Kpp).  Në ndryshim nëse është vendosur marrja e kampionëve biologjikë apo procedura mjekësore nga prokurori, në rast të mosparaqitjes së paligjshme të personit që do ti nënshtrohet atyre, është prokurori po ashtu që vendos shoqërimin e detyrueshëm të tij (§11, neni 201/a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Në të gjitha rastet kur i pandehuri i nënshtrohet procedurës së marrjes së kampionëve biologjikë apo kryerjes së procedurës mjekësore, është e detyrueshme prania e mbrojtësit (§12, neni 201/a Kpp).  Po ashtu kur personi që i nënshtrohet këtyre proceduarve është i mitur, prania e prindit, kujdestarit ose e një personi të besuar nga ai, është e detyrueshme (§13, neni 201/a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 xml:space="preserve">Në paragrafin 14 të nenit 201/a Kpp, parashikohet edhe se «rezultatet e analizave të kampionëve biologjikë ose procedurës mjekësore të marrë në shkelje të parashikimeve të këtij neni janë të papërdorshme».  Rrjedhimisht nga dija se papërdorshmëria e provës ka vend kur provat merren «[...] në shkelje të ndalimeve të parashikuara nga ligji nuk mund të përdoren [...]» (§3, neni 151 Kpp) dhe se neni 201/a Kpp ndalon marrjen e kampioneve biologjikë ose procedurën mjekësore nëse dëmtohet shëndeti, vihet në rrezik jeta, integriteti fizik ose shëndeti, dëmtohet fëmija e pa lindur ose mund të shkaktohen vuajtje të pa përligjura sipas protokolleve mjekësore (§5, neni 201/a Kpp), shkelja e këtyre ndalimeve formon papërdorshmëri të provës rezultat i analizave të kampioneve biologjike ose procedurës mjekësore dhe pamundësi të përsëritjes së marrjes së kampionëve biologjikë apo të kryerjes së procedurës mjekësore, sepse sipas rastit dëmtohet shëndeti, vihet në rrezik </w:t>
      </w:r>
      <w:r w:rsidRPr="006871FF">
        <w:rPr>
          <w:rFonts w:ascii="Georgia" w:hAnsi="Georgia" w:cstheme="majorBidi"/>
          <w:lang w:val="sq-AL"/>
        </w:rPr>
        <w:lastRenderedPageBreak/>
        <w:t>jeta, integriteti fizik ose shëndeti, dëmtohet fëmija e pa lindur ose mund të shkaktohen vuajtje të pa përligjura.</w:t>
      </w:r>
    </w:p>
    <w:p w:rsidR="006C2B89" w:rsidRPr="006871FF" w:rsidRDefault="006C2B89" w:rsidP="006C2B89">
      <w:pPr>
        <w:pStyle w:val="NoSpacing"/>
        <w:tabs>
          <w:tab w:val="left" w:pos="0"/>
          <w:tab w:val="left" w:pos="810"/>
        </w:tabs>
        <w:ind w:firstLine="567"/>
        <w:jc w:val="both"/>
        <w:rPr>
          <w:rFonts w:ascii="Georgia" w:hAnsi="Georgia" w:cstheme="majorBidi"/>
          <w:lang w:val="sq-AL"/>
        </w:rPr>
      </w:pPr>
      <w:r w:rsidRPr="006871FF">
        <w:rPr>
          <w:rFonts w:ascii="Georgia" w:hAnsi="Georgia" w:cstheme="majorBidi"/>
          <w:lang w:val="sq-AL"/>
        </w:rPr>
        <w:t>Sigurisht është fjala për papërdorshmëri të rezultateve, që do të thotë të atyre gjurmëve dhe pasojave të tjera materiale të veprës penale që janë zbuluar si pasojë e veprimtarisë vëzhguese (§1, neni 198 Kpp) të kampionëve biologjikë të procedurës mjekësore, pra e provave, për të cilat, siç shpesh është përmendur, ngrihet instituti i papërdorshmërisë.  Ligjvënësi ka shkuar drejtpërdrejtë në përcaktimin e pasojës, në rast të evidentimit të shkeljes së dispozitave, pa ju referuar sistemit të pavlefshmërive përkundrejt vetë veprimit të ‘marrjes’ së kampionëve biologjikë apo ‘procedurës’ mjekësore, që formohen si mjete të kërkimit të provës.</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Ky i fundit shfaqet si pavlefshmëri absolute e mosrespektimit të rregullave që lidhen me praninë e detyrueshme të mbrojtësit (shkronja ‘c’, §1, neni 128/a Kpp), kur marrja e kampionëve biologjik ose kryerja e procedurës mjekësore ndaj të pandehurit, është ekzekutuar pa praninë e mbrojtësit (§12, neni 201/a Kpp) e kështu me mundësinë e përsëritjes së sipas rregullit të nenit 131 të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Më tej, sipas një procedure të përcaktuar parashikohet edhe koha e ruajtjes dhe asgjësimi i kampionëve biologjik (neni 201/b Kpp), ndërsa «mënyra e ruajtjes së kampionëve, procedura dhe organi kompetent për asgjësimin e tyre, parashikohen me udhëzim të përbashkët të ministrit përgjegjës për rendin dhe sigurinë publike dhe ministrit përgjegjës për shëndetësinë» (§8, neni 201/b Kpp).</w:t>
      </w:r>
    </w:p>
    <w:p w:rsidR="006C2B89" w:rsidRPr="006871FF" w:rsidRDefault="006C2B89" w:rsidP="006C2B89">
      <w:pPr>
        <w:pStyle w:val="NoSpacing"/>
        <w:tabs>
          <w:tab w:val="left" w:pos="0"/>
        </w:tabs>
        <w:ind w:firstLine="567"/>
        <w:jc w:val="right"/>
        <w:rPr>
          <w:rFonts w:ascii="Georgia" w:hAnsi="Georgia" w:cstheme="majorBidi"/>
          <w:lang w:val="sq-AL"/>
        </w:rPr>
      </w:pPr>
      <w:r w:rsidRPr="006871FF">
        <w:rPr>
          <w:rFonts w:ascii="Georgia" w:hAnsi="Georgia" w:cstheme="majorBidi"/>
          <w:lang w:val="sq-AL"/>
        </w:rPr>
        <w:t>(kufomës)</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Nëse këqyrja e personit apo pjesëve të tij mund të bëhej edhe me anën e një mjeku (§3, neni 199 Kpp), ajo e kufomës domosdoshmërish kryhet në praninë e detyrueshme të tij.  Është gjendja e ndryshme e pazakontë e objektit që këqyret ajo që përcakton nevojën e pranisë së mjekut, madje që aktiv në ushtrimin e profesionit është.  Ligja parashikon shprehjen ‘ligjor’, e cila nënkupton veçmas në këtë rast, konfirmimin e aftësive dhe shprehive të mjekut në sferën shëndetësore, nga një komision, i cili sipas ligjit, ka autoritetin t’i afirmojë.</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E njëjtë është situata e këqyrjes së një kufome, varrimi i së cilës është bërë.  Nëse pjesëmarrja e njërit prej familjarëve të të vdekurit në zhvarrim nuk dëmton qëllimin e këqyrjes, pasi paraprakisht – me një disponim të veçantë, nga prokurori në fazën e hetimit paraprak dhe nga gjykata në atë të shqyrtimit gjyqësor – vendoset zhvarrimi, i njoftohet familjarit që ka të drejtë të asistojë në zhvarrim.  Edhe në këtë rast prania e mjekut ligjor është e domosdoshme, pasi përveçse të nevojshme jan</w:t>
      </w:r>
      <w:r w:rsidRPr="006871FF">
        <w:rPr>
          <w:rFonts w:ascii="Georgia" w:hAnsi="Georgia" w:cstheme="majorBidi"/>
          <w:bCs/>
          <w:lang w:val="sq-AL"/>
        </w:rPr>
        <w:t xml:space="preserve">ë </w:t>
      </w:r>
      <w:r w:rsidRPr="006871FF">
        <w:rPr>
          <w:rFonts w:ascii="Georgia" w:hAnsi="Georgia" w:cstheme="majorBidi"/>
          <w:lang w:val="sq-AL"/>
        </w:rPr>
        <w:t>aftësitë dhe shkathtësitë e tij në përmbushjen e ‘këqyrjes’, ato lidhen dhe me zbatimin e kushteve higjienike të procesit të zhvarrimit.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Siç shihet, ligjvënësi nuk e kushtëzon kryerjen e këqyrjes me dhënien apo jo të pëlqimit të të afërmve të familjes së të vdekurit, pasi në asnjë rast kushdo qoftë pretendimi i respektimit ndaj të vdekurit, nuk mund të prevalojë mbi nevojat dhe interesat e procedimit penal.</w:t>
      </w:r>
    </w:p>
    <w:p w:rsidR="006C2B89" w:rsidRPr="006871FF" w:rsidRDefault="006C2B89" w:rsidP="006C2B89">
      <w:pPr>
        <w:pStyle w:val="NoSpacing"/>
        <w:tabs>
          <w:tab w:val="left" w:pos="0"/>
        </w:tabs>
        <w:ind w:firstLine="567"/>
        <w:jc w:val="right"/>
        <w:rPr>
          <w:rFonts w:ascii="Georgia" w:hAnsi="Georgia" w:cstheme="majorBidi"/>
          <w:lang w:val="sq-AL"/>
        </w:rPr>
      </w:pPr>
      <w:r w:rsidRPr="006871FF">
        <w:rPr>
          <w:rFonts w:ascii="Georgia" w:hAnsi="Georgia" w:cstheme="majorBidi"/>
          <w:lang w:val="sq-AL"/>
        </w:rPr>
        <w:t>(vendit &amp; sendit)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Veçmas është parashikuar këqyrja e vendeve dhe e sendeve (neni 201 Kpp) në të cilën spikat detyrimi i organit që procedon për të ‘dorëzuar kopje të vendimit për kryerjen e këqyrjes’ tek i pandehuri si dhe tek ai që në dispozicion apo posedim vendin që do të këqyret ka, nëse i tillë i pandehur nuk është.  Është fjala gjithnjë për këqyrjen e disponuar nga organi që procedon, në mungesë të ngutjes/urgjencës, sepse një procedurë e tillë, kur ngutje ka, nuk është e detyrueshme të ndiqet, nga që vetë situata e ngutjes nuk e lejon.  E tregon më së miri këtë parashikimi se «të pandehurit kur është i pranishëm [...] u dorëzohet në fillim kopja e vendimit për kryerjen e këqyrjes» (§1, neni 201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Dorëzimi i urdhrit që ka caktuar këqyrjen është një garanci për disponuesin apo poseduesin e vendit apo sendit, i cili për këtë është në gjendje të kontrollojë ligjshmërinë e veprimit që në pronën, e disponuar apo poseduar prej tij, bëhet.  Është e lidhur kjo me të drejtën e privatësisë dhe të pronësisë e cila, në ekstrem, mund të përbëjë edhe shkak të shkeljes sipas nenit 254 kPenal, por jo shkelje që lidhet me procedimin në fjalë, sepse asnjë pavlefshmëri e veprimit të këqyrjes nuk parashikohet në rast të moszbatimit.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lastRenderedPageBreak/>
        <w:t>Mbrojtësi mund të jetë i pranishëm në këqyrje edhe kur ajo kryhet nga pol.gjyq. në kushtet e ngutjes/urgjencës (neni 302 Kpp), por nuk gëzon të drejtën për t’u lajmëruar paraprakisht.  Ndërsa kur është fjala për këqyrje të caktuara nga prokurori përgjatë hetimit paraprak, mbrojtësi ka të drejtën të lajmërohet së paku 24 orë përpara dhe kur vonesa sjell dëm, ka të drejtën të lajmërohet urgjentisht, por pa të drejtën që të vonojë kryerjen e këqyrjes me shkakun e dëshirës për të qenë i pranishëm në të (§2, neni 309 Kpp).</w:t>
      </w:r>
    </w:p>
    <w:p w:rsidR="006C2B89" w:rsidRPr="006871FF" w:rsidRDefault="006C2B89" w:rsidP="006C2B89">
      <w:pPr>
        <w:pStyle w:val="NoSpacing"/>
        <w:tabs>
          <w:tab w:val="left" w:pos="0"/>
          <w:tab w:val="left" w:pos="810"/>
        </w:tabs>
        <w:ind w:firstLine="567"/>
        <w:jc w:val="both"/>
        <w:rPr>
          <w:rFonts w:ascii="Georgia" w:hAnsi="Georgia" w:cstheme="majorBidi"/>
          <w:lang w:val="sq-AL"/>
        </w:rPr>
      </w:pPr>
      <w:r w:rsidRPr="006871FF">
        <w:rPr>
          <w:rFonts w:ascii="Georgia" w:hAnsi="Georgia" w:cstheme="majorBidi"/>
          <w:lang w:val="sq-AL"/>
        </w:rPr>
        <w:t>Kur këqyrja ka për objekt një vend të caktuar, organi që procedon, duke parashtruar shkaqe të arsyeshme që lidhen gjithashtu me zbulimin dhe gjetjen e gjurmëve dhe shenjave materiale të veprës penale, mund të urdhërojë që «[...] që të pranishmit të mos largohen para se të ketë përfunduar këqyrja [...]» (§2, neni 201 Kpp).  Po ashtu atij i është njohur autoriteti, sipas rastit, të përdorë vetë apo të urdhërojnë përdorimin e forcës, nëse të gjithë apo ndonjëri prej të pranishmëve, pasi janë njohur me urdhrin, përpiqet të largohet nga vendi që këqyret.</w:t>
      </w:r>
    </w:p>
    <w:p w:rsidR="006C2B89" w:rsidRPr="006871FF" w:rsidRDefault="006C2B89" w:rsidP="006C2B89">
      <w:pPr>
        <w:pStyle w:val="NoSpacing"/>
        <w:tabs>
          <w:tab w:val="left" w:pos="0"/>
          <w:tab w:val="left" w:pos="810"/>
        </w:tabs>
        <w:ind w:firstLine="567"/>
        <w:jc w:val="both"/>
        <w:rPr>
          <w:rFonts w:ascii="Georgia" w:hAnsi="Georgia" w:cstheme="majorBidi"/>
          <w:lang w:val="sq-AL"/>
        </w:rPr>
      </w:pPr>
      <w:r w:rsidRPr="006871FF">
        <w:rPr>
          <w:rFonts w:ascii="Georgia" w:hAnsi="Georgia" w:cstheme="majorBidi"/>
          <w:lang w:val="sq-AL"/>
        </w:rPr>
        <w:t>Ndërkohë që një status të veçantë dhe për këtë edhe me pasoja të veçanta, shfaqet disiplinimi i këqyrjes – së bashku me të edhe i mjeteve të tjera të kërkimit të provës – kur ajo duhet të kryhet në zyrën e mbrojtësit.  Është fjala për këqyrje, e cila i referohen hapësirës së ambientit të mbrojtësit dhe për këtë në kushtet e garancive për të (neni 52 Kpp), të cilat shfaqen prevaluese.  Kështu, përveçse këqyrja në zyrën e mbrojtësit, në dallim nga ajo e kryer në çfarëdo ambient tjetër, duhet të kryhet personalisht nga titullari i organit që procedon – respektivisht, prokurori përgjatë hetimit paraprak dhe gjithnjë mbi bazën e një autorizimi paraprak të gj.k.h.p.  dhe gjyqtari, kur është fjala për këqyrje përgjatë shqyrtimit gjyqësor të themelit, – mos përmbushja korrekte apo e kryer në shkelje të dispozitave që parashikon neni 52 Kpp, shkakton papërdorshmëri të rezultateve të këqyrjes (§6, neni 52 Kpp).  Sigurisht është fjala për papërdorshmëri të rezultateve, që do të thotë të atyre ‘gjurmëve dhe pasojave të tjera materiale të veprës penale’ që janë zbuluar si pasojë e veprimtarisë vëzhguese (§1, neni 198 Kpp), pra e provave apo burimeve të provave, për të cilat, siç shpesh është përmendur, ngrihet instituti i papërdorshmërisë.  Ligjvënësi ka shkuar drejtpërdrejtë në përcaktimin e pasojës, në rast të evidentimit të shkeljes së dispozitave, pa ju referuar sistemit të pavlefshmërive përkundrejt vetë veprimit të këqyrjes, që është përmbushur në shkelje.  Parimisht, sipas të njëjtit mekanizëm, pra duke ju referuar ‘rezultatit’ të ardhur nga aktivizimi i mjetit të kërkimit të provës, është disiplinuar nga ligjvënësi edhe për institutin e ‘përgjimeve’, sepse për vetë mjetin e kërkimit të provës, nuk mund të flitet për papërdorshmëri.</w:t>
      </w:r>
    </w:p>
    <w:p w:rsidR="006C2B89" w:rsidRPr="006871FF" w:rsidRDefault="006C2B89" w:rsidP="00710C8A">
      <w:pPr>
        <w:pStyle w:val="NoSpacing"/>
        <w:tabs>
          <w:tab w:val="left" w:pos="0"/>
        </w:tabs>
        <w:jc w:val="center"/>
        <w:rPr>
          <w:rFonts w:ascii="Georgia" w:hAnsi="Georgia" w:cstheme="majorBidi"/>
          <w:b/>
          <w:lang w:val="sq-AL"/>
        </w:rPr>
      </w:pPr>
      <w:r w:rsidRPr="006871FF">
        <w:rPr>
          <w:rFonts w:ascii="Georgia" w:hAnsi="Georgia" w:cstheme="majorBidi"/>
          <w:b/>
          <w:lang w:val="sq-AL"/>
        </w:rPr>
        <w:t>Kontrollet</w:t>
      </w:r>
    </w:p>
    <w:p w:rsidR="006C2B89" w:rsidRPr="006871FF" w:rsidRDefault="006C2B89" w:rsidP="00AB321B">
      <w:pPr>
        <w:pStyle w:val="NoSpacing"/>
        <w:numPr>
          <w:ilvl w:val="1"/>
          <w:numId w:val="25"/>
        </w:numPr>
        <w:tabs>
          <w:tab w:val="left" w:pos="1134"/>
        </w:tabs>
        <w:ind w:left="0" w:firstLine="567"/>
        <w:jc w:val="both"/>
        <w:rPr>
          <w:rFonts w:ascii="Georgia" w:hAnsi="Georgia" w:cstheme="majorBidi"/>
          <w:b/>
          <w:i/>
          <w:lang w:val="sq-AL"/>
        </w:rPr>
      </w:pPr>
      <w:r w:rsidRPr="006871FF">
        <w:rPr>
          <w:rFonts w:ascii="Georgia" w:hAnsi="Georgia" w:cstheme="majorBidi"/>
          <w:b/>
          <w:i/>
          <w:lang w:val="sq-AL"/>
        </w:rPr>
        <w:t>kushtet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Kontrolli si mjet i kërkimit të provës formohet me qëllimin e zbulimit nëpërmjet heqjes së mbulesave të qëllimshme apo jo, të cilat pengojnë dallimin e qartë apo të shquarin e zakonshëm/lehtë të provës materiale, – si mjet i kryerjes së krimit</w:t>
      </w:r>
      <w:r w:rsidRPr="006871FF">
        <w:rPr>
          <w:rFonts w:ascii="Georgia" w:hAnsi="Georgia" w:cstheme="majorBidi"/>
          <w:i/>
          <w:lang w:val="sq-AL"/>
        </w:rPr>
        <w:t>/corpus delicti</w:t>
      </w:r>
      <w:r w:rsidRPr="006871FF">
        <w:rPr>
          <w:rFonts w:ascii="Georgia" w:hAnsi="Georgia" w:cstheme="majorBidi"/>
          <w:lang w:val="sq-AL"/>
        </w:rPr>
        <w:t>, si send që i përket apo është produkt i veprës penale</w:t>
      </w:r>
      <w:r w:rsidRPr="006871FF">
        <w:rPr>
          <w:rFonts w:ascii="Georgia" w:hAnsi="Georgia" w:cstheme="majorBidi"/>
          <w:i/>
          <w:lang w:val="sq-AL"/>
        </w:rPr>
        <w:t xml:space="preserve"> producta sceleris</w:t>
      </w:r>
      <w:r w:rsidRPr="006871FF">
        <w:rPr>
          <w:rFonts w:ascii="Georgia" w:hAnsi="Georgia" w:cstheme="majorBidi"/>
          <w:lang w:val="sq-AL"/>
        </w:rPr>
        <w:t xml:space="preserve"> – dhe të zbulimit të atij që në flagrancë të veprës penale është apo se është emetuar një masë arresti, ndalimi apo një urdhër i burgosjes, është duke ikur (neni 202 Kpp).  Si veprim që cenon lirinë e njeriut, ligjvënësi në rastet e kryerjes së tij, ka përshtatur disiplinim apo sugjeron, përmbushjen e standardeve në mbrojtje të dinjitetit dhe të privatësisë.</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Kontrolli i urdhëruar nga gjykata kryhet nga ajo vetë, nga o.p.gj. të caktuar nga ajo (§2, neni 202 Kpp) si dhe nga prokuror (§1, neni 310 Kpp).  Në dallim nga këqyrja, kontrolli, atëherë kur ka arsye të bazuara për të menduar se dikush fsheh në personin e tij prova materiale të veprës penale ose sende që i përkasin veprës penale apo kur ka arsye të bazuara për të menduar se prova materiale të veprës penale ose sende që i përkasin veprës penale, ndodhen në një vend të caktuar, mbi bazën e kërkesës së prokurorit, vendoset nga gj.k.h.p. në fazën e hetimit paraprak dhe vendoset nga gjykata që shqyrton themelin, gjatë shqyrtimit gjyqësor që mund të procedojë vetë apo të delegojë pol.gjyq., për ekzekutimin e tij (§2, neni 202 Kpp).  Për këtë, në parim të përgjithshëm e në kushte të zakonshme nuk parashikohet që organi që procedon përgjatë hetimit paraprak – pra qoftë prokurori, qoftë pol.gjyq. – të urdhërojë kontrollin, si të personit ashtu dhe të vendit apo banesës.</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bCs/>
          <w:lang w:val="sq-AL"/>
        </w:rPr>
        <w:lastRenderedPageBreak/>
        <w:t xml:space="preserve">Në varësi të organit që urdhëron dhe kryen kontrollin, për atë që përmbushet nga prokurori, </w:t>
      </w:r>
      <w:r w:rsidRPr="006871FF">
        <w:rPr>
          <w:rFonts w:ascii="Georgia" w:hAnsi="Georgia" w:cstheme="majorBidi"/>
          <w:lang w:val="sq-AL"/>
        </w:rPr>
        <w:t>pasi më parë ka marrë urdhrin nga gj.k.h.p., disiplinohet njoftimi i pandehurit që të jetë i pranishëm së bashku me mbrojtësin e zgjedhur dhe, kur nuk e ka një të tillë, prokurori cakton një mbrojtës kryesisht (§1, neni 310 Kpp).  Për më tepër, njësoj siç edhe për këqyrjen personale të të hetuarit, por të normuar në një dispozitë specifike, sepse parashikohet detyrimi i caktimit të një mbrojtësi, nëse i hetuari nuk ka një të tillë, pa u kërkuar nga vetë i hetuari, ky caktim kryesisht përmbushet nga prokurori, sepse nga ligji kërkohet prania e mbrojtësit (§5, neni 49 Kpp) e detyrueshme, ku mbrojtësi jo vetëm ndihmon të pandehurin (§2, neni 6 Kpp) por edhe garanton përmbushjen ligjërisht të veprimit.  Rrjedhimisht mungesa e mbrojtësit i referohet vlerësimit sipas normimit mbi pavlefshmërinë e veprimit (shkronja ‘c’, §1, neni 128/a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Siç edhe për rastin e ‘këqyrjes’ së urdhëruar nga prokurori, është i ndryshëm ky përfundim, nga ai, që për të njëjtat shkaqe, konsideron, edhe për rastin e kontrollit të urdhëruar nga gjykata, por të zbatuar nga prokurori, se prania/asistimi i mbrojtësit është fakultativ dhe asfare i detyrueshëm, i cili gjithsesi ka të drejtën për t’u lajmëruar.  Po ashtu, mbi këtë rast është i dukshëm fakti se zbehet në maksimum roli i garantit të mbrojtësit, duke pasur parasysh se është fjala për kryerjen e një veprimi, i cili është urdhëruar nga gj.k.h.p. dhe që për këtë, luan ky i fundit, rolin e garantit të ligjshmërisë së veprimit.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Në përmbushje të kërkesave për sinqeritetin e rezultateve të veprimit të kontrollit dhe për këtë në realizim të kushteve për përmbushje të befasishme të tij, edhe disponimi i gjykatës, i nxjerrë në mbështetje të kërkesës së prokurorit për ushtrimin e kontrollit, zhvillohet në kushtet e mungesës së dijenisë së të pandehurit dhe mbrojtësit të tij.  Për këtë «gjykata merr vendim/disponim të arsyetuar në dhomë këshillimi, brenda 24 orëve nga kërkesa e prokurorit [...]» (§2, neni 202/a Kpp), pra seanca zhvillohet në kushtet e shqyrtimit të kërkesës së prokurorit dhe kurrsesi në prani të të hetuarit/pandehurit, mbrojtësit të tij dhe të publikut, dija e të cilëve bëhet shkak i humbjes së karakterit befasues dhe rezultatit të sinqertë të kontrollit.  Në rast të refuzimit të kërkesës për kontroll, prokurorit i njihet e drejta për të ankuar refuzimin brenda afatit të ngushtë 24 orësh.  Me të njëjtin preokupim, «gjykata e apelit shqyrton ankimin brenda 48 orëve nga marrja e akteve» (§3, neni 202/a Kpp), disponim i cili merret gjithashtu në dhomë këshillimi, pra pa praninë e palëve dhe të publikut.  Sidoqoftë ky i fundit, ndaj tij nuk parashikohet se mund të ushtrohet rekurs.</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Siç dhe çdo disponim tjetër i gjykatës, edhe urdhri i kontrollit, duhet të jetë i arsyetuar (§3, neni 112 Kpp &amp; §2, neni 202/a Kpp) dhe duhet «[...] të tregojë llojin e kontrollit, personin që kontrollohet dhe gjeneralitetet e tij, vendin apo banesën objekt kontrolli, provat materiale apo sendet që kërkohen, arsyet që lejojnë kontrollin, si edhe autoritetin që do të kryejë atë» (§1, neni 202/a Kpp).  Kontrolli në një sistem informatik a telematik të mbrojtur, kërkon urdhërimin për të përdorur masa teknike të përshtatshme të cilat sigurojnë të dhënat origjinale dhe tregimin në të të informacionit dhe mënyrës së marrjes së tij (§2, neni 202/a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Dhe për të mos përdorur vendimin e kontrollit, si mjet i shantazhit apo i frikësimit është parashikuar se «kontrolli duhet të përfundojë brenda 72 orëve nga momenti i marrjes së vendimit për kryerjen e tij» (§4, neni 202/a Kpp).  Gjithsesi mosrespektimi i këtij afati nuk pas sjell asnjë pasojë për procedimin konkret, përveçse bëhet shkak i evidentimit të moszbatimit të rregullt të detyrës.</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Përjashtimisht kontrolli kryhet në mungesë të një urdhri të gjykatës, atëherë kur është rasti i flagrancës ose i ndjekjes së personit që është duke ikur (§3, neni 202 Kpp), raste të cilat përputhen me ato të ngutjes/urgjencës në të cilat nuk është objektivisht e mundur të emetohet paraprakisht urdhri i gjykatës, madje as të emetohet njëkohësisht qartë dhe urdhri i pol.gjyq. i cili për këtë bëhet pjesë integrale e vetë veprimit të kontrollit (§2, neni 298 Kpp).  Në këtë rastin e fundit, kontrolli formohet jo vetëm si një mjet i kërkimit të provës, por edhe si një mjet i kërkimit të personit, kur duhet, përveçse të neutralizohet rrezikshmëria e autorit të veprës penale, të kryhet një ndalim, të ekzekutohet një urdhërim arresti ose një vendim dënimi me burgim.</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lastRenderedPageBreak/>
        <w:t>Megjithatë, edhe në përmbushjen e veprimit të kontrollit nga pol.gjyq.,  ligjvënësi ka parashikuar të drejtën e mbrojtësit për të asistuar apo për të qenë i pranishëm (neni 302 Kpp).  Formohet kjo e drejtë përkrah mohimit të detyrimit për t’u lajmëruar më parë për kryerjen e kontrollit, pastaj mungesa e detyrimit për të caktuar një mbrojtës kryesisht, kur i hetuari të tillë nuk ka, bën të kuptohet se nuk është fjala për një veprim të garantuar që detyrimisht kërkon praninë e mbrojtësit, për çka nuk mund të dërgohet apo të referohet në ndonjë rast pavlefshmërie të veprimit.</w:t>
      </w:r>
    </w:p>
    <w:p w:rsidR="006C2B89" w:rsidRPr="006871FF" w:rsidRDefault="006C2B89" w:rsidP="00AB321B">
      <w:pPr>
        <w:pStyle w:val="NoSpacing"/>
        <w:numPr>
          <w:ilvl w:val="1"/>
          <w:numId w:val="25"/>
        </w:numPr>
        <w:tabs>
          <w:tab w:val="left" w:pos="1134"/>
        </w:tabs>
        <w:ind w:left="0" w:firstLine="567"/>
        <w:jc w:val="both"/>
        <w:rPr>
          <w:rFonts w:ascii="Georgia" w:hAnsi="Georgia" w:cstheme="majorBidi"/>
          <w:b/>
          <w:i/>
          <w:lang w:val="sq-AL"/>
        </w:rPr>
      </w:pPr>
      <w:r w:rsidRPr="006871FF">
        <w:rPr>
          <w:rFonts w:ascii="Georgia" w:hAnsi="Georgia" w:cstheme="majorBidi"/>
          <w:b/>
          <w:i/>
          <w:lang w:val="sq-AL"/>
        </w:rPr>
        <w:t>dorëzimi vullnetarisht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Zakonisht, në ndryshim nga këqyrja, kontrolli ushtrohet në kushtet kur ka një qëllim të caktuar të asaj çka kërkohet, pra si të thuash njihet përgjithësisht sendi provë materiale që duhet të gjendet apo zbulohet, për t’u marrë më pas nëpërmjet sekuestros së provës.  Për këtë ligjvënësi në tentativë të shmangies së veprimeve jo fort të këndshme të kontrollit dhe përshtypjes që lënë ato, gjithnjë në mbrojtje të dinjitetit dhe integritetit personal, ka orientuar që së bashku me urdhrin që autorizon kontrollin, personit në ambientin e të cilit do të ushtrohet ai apo atij që mban një titull apo shkak ligjor pronësie apo posedimi, i kërkohet dorëzimi i sendit, përmbushje e cila parimisht shmang kontrollin.  E njëjta kërkesë është e këshillueshme edhe në rastin e kontrollit në kushtet e nenit 298 të Kpp, atëherë kur pol.gjyq. është në kërkim të personit, autori i veprës penale në situatën e flagrancës dhe ndalimit, apo ndaj të cilit duhet të ekzekutohet masa e sigurimit apo vendimi i burgimit.  Edhe në këtë rast, nëse personi i kërkuar paraprakisht dorëzohet dhe për këtë shkaku i kontrollit bie, pol.gjyq. nuk duhet të kryejë veprime të mëtejshme në përmbushje të kontrollit.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Por, gjithsesi, në kuptimin që, është e arsyeshme të mendohet se atje ku sendi provë materiale ndodhet apo fshihet, ose atje ku i ndjekuri nga pol.gjyq. ndodhet, të gjinden apo të zbulohen edhe prova apo burime provash të tjera të veprës penale dhe për këtë të nevojshme për vazhdimin e mëtejshëm të hetimit, përjashtimisht kontrolli mund të bëhet (§1, neni 203 Kpp), edhe pse sendi apo personi janë dorëzuar vullnetarisht pas kërkesës së dorëzimit.  Është për këtë në autoritetin e pol.gjyq., e cila zakonisht bën ekzekutimin e kontrollit, që në çmuarje të rrethanave të faktit dhe në përgjithësi të situatës hetimore, të përcaktojë mundësinë e zhvillimit, apo jo të mëtejshëm, të kontrollit.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Po ashtu, disiplinohet se ‘organi procedues’ ose o.p.gj.. të autorizuar prej tij, mund të kontrollojnë veprimet, dokumentet dhe korrespondencën pranë bankave (§2, neni 203 Kpp).  Është fjala më tepër për një lloj verifikimi inspektues që ka për objekt aktivitete të shoqërive financiare si banka dhe institute kreditimi, në dokumente, llogari bankare, korrespondencë dhe në përgjithësi të llogarive kontabël, për të cilat për nevoja të hetimit ekziston interesi i njohjes së tyre.  Disiplinimi se urdhri i kontrollit apo autorizimi i lëshuar pol.gjyq. për të ekzekutuar atë, emetohet nga ‘organi procedues’ nuk duhet të krijojë idenë se për një veprimtari të tillë kontrolli është ‘prokurori apo pol.gjyq.’ që mund të disponojnë.  Është përcaktuar fillimisht se për kontrollin disponon gjykata dhe kështu ‘organ që procedon’ në këtë rast duhet të kuptohet vetëm ajo.  Për këtë, dispozita merr kuptimin pengues të veprimtarisë së prokurorit apo pol.gjyq. në përmbushjen e kontrollit, pa disponimin urdhër të gjykatës, i vetmi që legjitimon atë pranë bankave apo instituteve financiare të ngjashme me të.</w:t>
      </w:r>
    </w:p>
    <w:p w:rsidR="006C2B89" w:rsidRPr="006871FF" w:rsidRDefault="006C2B89" w:rsidP="00AB321B">
      <w:pPr>
        <w:pStyle w:val="NoSpacing"/>
        <w:numPr>
          <w:ilvl w:val="1"/>
          <w:numId w:val="25"/>
        </w:numPr>
        <w:tabs>
          <w:tab w:val="left" w:pos="1134"/>
        </w:tabs>
        <w:ind w:left="0" w:firstLine="567"/>
        <w:jc w:val="both"/>
        <w:rPr>
          <w:rFonts w:ascii="Georgia" w:hAnsi="Georgia" w:cstheme="majorBidi"/>
          <w:b/>
          <w:i/>
          <w:lang w:val="sq-AL"/>
        </w:rPr>
      </w:pPr>
      <w:r w:rsidRPr="006871FF">
        <w:rPr>
          <w:rFonts w:ascii="Georgia" w:hAnsi="Georgia" w:cstheme="majorBidi"/>
          <w:b/>
          <w:i/>
          <w:lang w:val="sq-AL"/>
        </w:rPr>
        <w:t>personit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 xml:space="preserve">Si dhe mjetet e tjera të kërkimit të provës edhe kontrolli personal është veprim që godet sferën, kushtetutshmërish dhe ligjërisht të mbrojtur dhe për këtë, janë disiplinuar forma të caktuara të garancisë.  Ai konsiston në aktivitetin e kërkimit mbi trupin apo pjesë të trupit si dhe mbi çka personi ka të veshur, të sendeve të veprës penale apo gjurmëve të lëna prej saj.  Si person që duhet të kontrollohet, përfshihet si i hetuari/pandehuri ashtu dhe çdo person tjetër qoftë edhe i pa lidhur me autorin apo veprën penale si dhe çdo i pa interesuar, por që dyshohet se ai «[...] fsheh në personin e tij prova materiale të veprës penale ose sende që i përkasin veprës penale [...]» (§1, neni 202 Kpp).  Në ndryshim nga këqyrja personale, për të cilin është i efektshëm edhe urdhri i prokurorit, për ekzekutimin e një kontrolli personal është i nevojshëm domosdoshmërish vetëm urdhri i gjykatës.  Pastaj, si për këqyrjen personale edhe për kontrollin personal, mjafton iniciativa e pol.gjyq. për të </w:t>
      </w:r>
      <w:r w:rsidRPr="006871FF">
        <w:rPr>
          <w:rFonts w:ascii="Georgia" w:hAnsi="Georgia" w:cstheme="majorBidi"/>
          <w:lang w:val="sq-AL"/>
        </w:rPr>
        <w:lastRenderedPageBreak/>
        <w:t>ushtruar kontroll personal, kur ajo është në kushtet e ngutjes/urgjencës në rastin e ‘flagrance ose të ndjekjes së personit që është duke ikur pasi ndaj tij duhet të kryhet një ndalim, të ekzekutohet një urdhërim arresti ose një vendim dënimi me burgim (§3, neni 202 Kpp &amp; neni 298 Kpp), për çka janë të paefektshme të gjitha ato praktika për shkak të të cilave, i lejohet asaj të procedojë në kontrolle edhe në mungesë të tyre.</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Kushtetuta disponon që kontrolli ‘vetjak’ (§3, neni 37 Kusht.) – që për terminologjinë procedural penale, quhet ‘personal’ – mund të ushtrohet në procesin penal, sigurisht sipas procedurave ligjore që për të janë normuar, në formën e garancive.  Kështu përveç atyre të përmendura më sipër, në ligjin procedural penal (§1, neni 203 Kpp) disiplinohet detyrimi i organit që ekzekuton kontrollin personal, që të dorëzojë tek ai që do të kontrollohet, kopje të urdhrit të gjykatës që e ka emetuar, çka të kontrolluarit i jep mundësinë e kontrollit dhe verifikimit të ligjshmërisë së disponimit (§1, neni 204 Kpp).  Pastaj për shkak të garancisë që duhet t’i jepen për respektimin e dinjitetit dhe integritetit personal të atij që kontrollohet (§2, neni 204 Kpp), atij i bëhet me dije e drejta për të kërkuar praninë e një personi të besuar, me kusht që ai të gjendet shpejt dhe të jetë i përshtatshëm (§1, neni 204 Kpp).  Siç dhe këqyrja personale edhe kontrolli personal është një aktivitet që cenon intimitetin e personit, nga ku nën frymën e respektimit të dinjitetit e integritetit personal, ai kryhet «[...] nga një person i së njëjtës gjini [...]» me të kontrolluarin, gjithnjë kur situata dhe kushtet e lejojnë këtë.</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Kontrolli duhet të ekzekutohet në kushtet e respektimit jo vetëm të dinjitetit e integritetit personal por edhe në kushtet e ‘mbrojtjes së atij që kontrollohet’.  Për këtë, e drejta për të asistuar apo qenë i pranishëm një i besuar, në rastin kur i kontrolluari, nuk është i hetuar/pandehur, përmbush dhe kërkesat për mbrojtjen e tij.  Ndërsa kur i kontrolluari është njëkohësisht i hetuar/pandehur, respektimi i mbrojtjes lidhet me të drejtën që i njihet mbrojtësit të tij për të qenë i pranishëm në kontrollin personal.  Kjo e drejtë përmbushet në kuptimin që mbrojtësit i lind e drejta për t’u njoftuar, jo më vonë se njëkohësisht me fillimin e aktivitetit kontrollues (neni 310 Kpp).  Kështu nëse mbrojtësi qoftë i zgjedhur apo i caktuar nuk paraqitet, caktohet kryesisht një i tillë për të qenë i pranishëm në veprimtarinë kontrolluese, që sipas rastit ka të drejtë të ngrejë objeksione.  Ligjvënësi në mbrojtje të befasisë së kontrollit, parashikon detyrimin për të caktuar kryesisht mbrojtës, qoftë edhe kur ai është i njoftuar dhe pa shkaqe të arsyeshme nuk është paraqitur.  Por gjithsesi nuk lejon që të përmbushet veprimi i këqyrjes personale pa praninë e mbrojtësit, kur ai edhe pse i njoftuar rregullisht, ka shkak të arsyeshëm për mos praninë.</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Shkak i një kontrolli të personit, si rast përjashtues, mund të bëhet edhe ‘kontrolli i vendit’ (§4, neni 205 Kpp), i cili është i justifikueshëm nën idenë se aty ku dyshohet se gjinden sende dhe gjurmë të veprës penale, nga personat e pranishëm është e mundur të ndryshohen apo fshihen ato.</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Ndërkohë që veçmas, duhet të përmendet se garancitë për vetë mbrojtësin avokat, mbulojnë vetëm sferën e ambientit (neni 52 Kpp) dhe për këtë ‘i zbuluar’ kushdo mbrojtës ndaj kontrollit personal.</w:t>
      </w:r>
    </w:p>
    <w:p w:rsidR="006C2B89" w:rsidRPr="006871FF" w:rsidRDefault="006C2B89" w:rsidP="00AB321B">
      <w:pPr>
        <w:pStyle w:val="NoSpacing"/>
        <w:numPr>
          <w:ilvl w:val="1"/>
          <w:numId w:val="25"/>
        </w:numPr>
        <w:tabs>
          <w:tab w:val="left" w:pos="1134"/>
        </w:tabs>
        <w:ind w:left="0" w:firstLine="567"/>
        <w:rPr>
          <w:rFonts w:ascii="Georgia" w:hAnsi="Georgia" w:cstheme="majorBidi"/>
          <w:b/>
          <w:i/>
          <w:lang w:val="sq-AL"/>
        </w:rPr>
      </w:pPr>
      <w:r w:rsidRPr="006871FF">
        <w:rPr>
          <w:rFonts w:ascii="Georgia" w:hAnsi="Georgia" w:cstheme="majorBidi"/>
          <w:b/>
          <w:i/>
          <w:lang w:val="sq-AL"/>
        </w:rPr>
        <w:t>vendit / lokalit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 xml:space="preserve">Është përmendur, se kontrolli, përfshirë edhe ai i vendit, mbi bazën e kërkesës së prokurorit, urdhërohet nga gjykata.  Por, siç për kontrollin e personit edhe për kontrollin e vendit në kuptimin e lokalit, si send i paluajtshëm, pol.gjyq., kur ka shkaqe të veçanta të urgjencës që nuk lejojnë nxjerrjen e urdhrit të kontrollit, ka të drejtë/detyrimin që me iniciativë në kushtet e flagrancës ose të ndjekjes së personit që është duke ikur, sepse duhet të kryhet një ndalim, të ekzekutohet një urdhërim arresti ose një vendim dënimi me burgim (§3, neni 202 &amp; §1, §2 neni 298 Kpp), të kryejë kontrollin pa urdhrin paraprak të gjykatës.  Çdo lloj sendi i paluajtshëm, vend apo lokal, është objekt i aktivitetit të kërkimit apo zbulimit të sendeve të veprës penale apo gjurmëve të lëna prej saj, dhe meqenëse mbi to ka disponim apo posedim të personit, urdhri i gjykatës për kontrollin, i dorëzohet «të pandehurit, kur është i pranishëm, dhe atij që ka në dispozicion vendin [...]» (§1, neni 205 Kpp) si mundësi e verifikimit të ligjshmërisë.  Natyrisht, nuk mund të bëhet pengesë e kryerjes së kontrollit mos prania e personit që ka në dispozicion vendin apo lokalin – i cili mund të jetë si i hetuari/pandehuri apo dhe në i tretë – prandaj nëse «[...] nuk njihet ose nuk gjendet pronari ose poseduesi i sendit, organi procedues kryen kontrollin në praninë e detyrueshme të </w:t>
      </w:r>
      <w:r w:rsidRPr="006871FF">
        <w:rPr>
          <w:rFonts w:ascii="Georgia" w:hAnsi="Georgia" w:cstheme="majorBidi"/>
          <w:lang w:val="sq-AL"/>
        </w:rPr>
        <w:lastRenderedPageBreak/>
        <w:t>mbrojtësit të caktuar kryesisht» (§5, neni 205 Kpp).  Normimi tregon pamundësinë e kryerjes së kontrollit të vendit a lokalit vetëm në prani të atij që e kryen atë, kushdo qoftë ai, duke u formuar si një ndalim, shkelja e të cilit bën që rezultatet të mos përdoren (§3, neni 151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Sigurisht, veprimi i kopjes së urdhrit të gjykatës është i ndryshëm nga ai i njoftimit për të qenë i pranishëm në kontroll, që duhet të bëjë prokurori të hetuarit/pandehurit dhe mbrojtësit të tij (neni 310 Kpp), pasi vetëm në momentin e fillimit të kryerjes së kontrollit, i pandehuri dhe ai që në dispozicion lokalin ka, njihet me aktivitetin hulumtues, për çka jashtë mundësisë për të ndërhyrë apo prishur rezultatin e kontrollit.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Siç është përmendur edhe më sipër, gjithnjë për të siguruar respektimin e dinjitetit të atij, të cilit lokali apo vendi i kontrollohet, i bëhet me dije se ka të drejtën që të ketë praninë e një personi tek i cili ka besim.  Dhe për të mos u bërë pengesë artificiale e kryerjes së kontrollit, i besuari duhet të gjendet shpejt dhe të jetë i përshtatshëm, në kuptimin që nuk duhet të jetë i mitur deri në katërmbëdhjetë vjeç, nuk duhet të jetë i dukshëm</w:t>
      </w:r>
      <w:r w:rsidRPr="006871FF">
        <w:rPr>
          <w:rFonts w:ascii="Georgia" w:hAnsi="Georgia" w:cstheme="majorBidi"/>
          <w:i/>
          <w:lang w:val="sq-AL"/>
        </w:rPr>
        <w:t>/</w:t>
      </w:r>
      <w:r w:rsidRPr="006871FF">
        <w:rPr>
          <w:rFonts w:ascii="Georgia" w:hAnsi="Georgia" w:cstheme="majorBidi"/>
          <w:i/>
          <w:iCs/>
          <w:lang w:val="sq-AL"/>
        </w:rPr>
        <w:t>ictu oculi</w:t>
      </w:r>
      <w:r w:rsidRPr="006871FF">
        <w:rPr>
          <w:rFonts w:ascii="Georgia" w:hAnsi="Georgia" w:cstheme="majorBidi"/>
          <w:lang w:val="sq-AL"/>
        </w:rPr>
        <w:t xml:space="preserve"> i sëmurë mendor, i dehur rëndë, i helmuar me lëndë narkotike a psikotrope, apo që ka marrë masë sigurimi (neni 108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Nëse mbrojtësi nuk është i pranishëm por praninë e tij e kërkon i pandehuri, «[...] organi procedues shtyn kryerjen e kontrollit deri në mbërritjen e mbrojtësit, por jo më shumë se 2 orë nga momenti që mbrojtësi ka marrë dijeni për kontrollin [...]» (§2, neni 205 Kpp), i cili gjithsesi bën të zgjatet afati i përfundimit të kontrollit prej 72 orësh aq sa zgjat edhe shtyrja (§3, neni 205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Përjashtimisht, në kushtet kur nga organi që procedon në ekzekutimin e këqyrjes, formohet dyshimi se personat e pranishëm në vendin apo lokalin, që befasisht këqyret, mund të fshehin prova materiale apo produkte të veprës penale, justifikohet këqyrja personale e tyre.  Madje, pasi urdhërohen që të mos largohen para se të mbarojë kontrolli, çdo kush që tenton të largohet bëhet shkak i përdorimit të ligjshëm të forcës së pol.gjyq. (§3, neni 205 Kpp).</w:t>
      </w:r>
    </w:p>
    <w:p w:rsidR="006C2B89" w:rsidRPr="006871FF" w:rsidRDefault="006C2B89" w:rsidP="00AB321B">
      <w:pPr>
        <w:pStyle w:val="NoSpacing"/>
        <w:numPr>
          <w:ilvl w:val="1"/>
          <w:numId w:val="25"/>
        </w:numPr>
        <w:tabs>
          <w:tab w:val="left" w:pos="1134"/>
        </w:tabs>
        <w:ind w:left="0" w:firstLine="567"/>
        <w:jc w:val="both"/>
        <w:rPr>
          <w:rFonts w:ascii="Georgia" w:hAnsi="Georgia" w:cstheme="majorBidi"/>
          <w:b/>
          <w:i/>
          <w:lang w:val="sq-AL"/>
        </w:rPr>
      </w:pPr>
      <w:r w:rsidRPr="006871FF">
        <w:rPr>
          <w:rFonts w:ascii="Georgia" w:hAnsi="Georgia" w:cstheme="majorBidi"/>
          <w:b/>
          <w:i/>
          <w:lang w:val="sq-AL"/>
        </w:rPr>
        <w:t>banesës</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Nuk ndryshon asfare kontrolli i banesës dhe i atij vendi të mbyllur ngjitur apo pranë saj, me disiplinimin e kontrollit të vendit, përveçse për të ligjvënësi, në respektim të privatësisë dhe veçanërisht të intimitetit, ka përcaktuar limit apo kufij kohor.  Kështu është e lejuar, që organi që kryen kontrollin e banesës, përveç detyrimeve të dorëzimit të urdhrit të gjykatës për kontrollin e saj, komunikimit të së drejtës për të pasur një person të besuar që aty për aty është i gjindshëm dhe i përshtatshëm, pritjes së mbrojtësit apo caktimit të një mbrojtësi kur pronari apo poseduesi i banesës nuk njihet a nuk gjendet, të kryejë kontrollin jo përpara orës shtatë dhe jo pas orës njëzet.  Është i vlefshëm ky disiplinim atëherë kur flitet për një kontroll të zbatuar në prani të urdhërimit të gjykatës.  Për çka, kontrolli i ushtruar nga pol.gjyq. i cili kryhet në mungesë të urdhërimit të gjykatës, por detyrimisht në ngutje apo urgjencë për shkak se ajo operon me iniciativë për shkak të flagrancës ose të ndjekjes së personit që është duke ikur sepse duhet të kryej një ndalim, të ekzekutojë një urdhërim arresti ose një vendim dënimi me burgim (§3, neni 202 &amp; §1, §2 neni 298 Kpp), mund të kryhet edhe ‘tej këtyre caqeve’ kohorë (neni 206 Kpp) apo jashtë kësaj kohe (§2 neni 298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Veçmas mund të paraqitet si ‘vend i mbyllur ngjitur me banesën’, për shembull garazhi i autoveturës, që për këtë edhe kontrolli në këtë ambient i nënshtrohet ndalimit të kryerjes jashtë caqeve kohore të përcaktuar për banesën.  Po ashtu, interesant është interpretimi i bërë në rastin e ‘zyrës së mbrojtësit’ (neni 52 Kpp) ku jo radhë, banesa e tij luan rolin edhe të zyrës.  Për këtë qëndrimi më racional duket se është ai që i barazon ato dhe për këtë edhe mundësinë e kryerjes së kontrollit të banesës së mbrojtësit, në zbatim të garancive që parashikon neni 52 Kpp.</w:t>
      </w:r>
    </w:p>
    <w:p w:rsidR="006C2B89" w:rsidRPr="006871FF" w:rsidRDefault="006C2B89" w:rsidP="00AB321B">
      <w:pPr>
        <w:pStyle w:val="NoSpacing"/>
        <w:numPr>
          <w:ilvl w:val="1"/>
          <w:numId w:val="25"/>
        </w:numPr>
        <w:tabs>
          <w:tab w:val="left" w:pos="1134"/>
        </w:tabs>
        <w:ind w:left="0" w:firstLine="567"/>
        <w:jc w:val="both"/>
        <w:rPr>
          <w:rFonts w:ascii="Georgia" w:hAnsi="Georgia" w:cstheme="majorBidi"/>
          <w:b/>
          <w:i/>
          <w:lang w:val="sq-AL"/>
        </w:rPr>
      </w:pPr>
      <w:r w:rsidRPr="006871FF">
        <w:rPr>
          <w:rFonts w:ascii="Georgia" w:hAnsi="Georgia" w:cstheme="majorBidi"/>
          <w:b/>
          <w:i/>
          <w:lang w:val="sq-AL"/>
        </w:rPr>
        <w:t>sekuestrimi gjatë kontrollit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 xml:space="preserve">Është e padyshimtë që mjetet e kërkimit të provës, përveçse një qëllimi të përbashkët kërkues, kanë veçmas funksion specifik të ndryshëm.  Për këtë, në më të shumtën e rasteve, do të rezultonte krejt e kotë dhe pa asnjë efekt, përfundimi i këqyrjes dhe veçanërisht ai i kontrollit, pa marrjen apo sigurimin e provës materiale, rezultat pozitiv i tij.  Për këtë, </w:t>
      </w:r>
      <w:r w:rsidRPr="006871FF">
        <w:rPr>
          <w:rFonts w:ascii="Georgia" w:hAnsi="Georgia" w:cstheme="majorBidi"/>
          <w:lang w:val="sq-AL"/>
        </w:rPr>
        <w:lastRenderedPageBreak/>
        <w:t>veçmas është disiplinuar ‘sekuestro provuese’ e normuar në nenet 208 deri 220 të Kpp, e cila parimisht rregullohet nga normimi se «sendet e gjetura gjatë kontrollit sekuestrohen [...]» (§1, neni 207 Kpp).  Dhe për të treguar se detyrimisht sekuestrohen për qëllime të hetimit, kërkon që ato «[...] të jenë të përcaktuara në vendimin për lejimin e kontrollit» (neni 207 Kpp), në të cilin tregohen «[...] arsyet që lejojnë [...]» (§1, neni 202/a Kpp) atë.  Krijohet kështu një lidhje në ritin që organikisht arrin në burimin e provës apo vetë provën, qëllim kryesor i të gjitha mjeteve të kërkimit të saj.  Ndërkohë normohet, por këtë herë si mundësi, që do të thotë në vlerësim të organit që kryen kontrollin, se «sende të tjera të gjetura gjatë kontrollit, që nuk përfshihen në vendimin përkatës, por që lidhen me të njëjtën vepër penale, mund të sekuestrohen [...]» (§2, neni 207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Po ashtu detyrimisht sekuestrohen edhe sendet që, megjithëse nuk përfshihen në kushtin e të përcaktuarit në vendimin e lejimit të kontrollit, «[...] lidhen me një vepër tjetër penale që ndiqet kryesisht [...]» (§3, neni 207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Pastaj sepse kontrolli mbi sendet e pa përcaktuara në vendimin për lejimin e tij kanë tiparet e kontrollit të ushtruar nga pol.gjyq. – pra pa vendim/disponim – në kushtet e flagrancës, ndjekjes së të ikurit (§1, neni 298 Kpp), ndalimit a ekzekutimi të një arresti apo dënimi me burgim (§2, neni 298 Kpp) edhe për sekuestrimin e sendeve të zbuluara nga kontrolli zbatohen kriteret e vlerësimit të sekuestros sipas nenit 301 Kpp (§4, neni 207 Kpp).</w:t>
      </w:r>
    </w:p>
    <w:p w:rsidR="006C2B89" w:rsidRPr="006871FF" w:rsidRDefault="006C2B89" w:rsidP="0010208C">
      <w:pPr>
        <w:pStyle w:val="NoSpacing"/>
        <w:tabs>
          <w:tab w:val="left" w:pos="0"/>
        </w:tabs>
        <w:ind w:firstLine="567"/>
        <w:jc w:val="both"/>
        <w:rPr>
          <w:rFonts w:ascii="Georgia" w:hAnsi="Georgia" w:cstheme="majorBidi"/>
          <w:lang w:val="sq-AL"/>
        </w:rPr>
      </w:pPr>
      <w:r w:rsidRPr="006871FF">
        <w:rPr>
          <w:rFonts w:ascii="Georgia" w:hAnsi="Georgia" w:cstheme="majorBidi"/>
          <w:lang w:val="sq-AL"/>
        </w:rPr>
        <w:t>Duke interpretuar raportin ndërmjet kontrollit dhe sekuestros provuese, si një marrëdhënie ndërmjet dy instituteve që kanë fizionomi autonome, vepruese në kushte të ndryshme ligjore, arsyeshëm rezulton se nuk konfirmohet ndonjë reflektim i pavlefshmërisë së kontrollit mbi atë të sekuestros pas ndjekëse të tij, e kështu që «pavlefshmëria e aktit – kontroll – nuk pas-sjell domosdoshmërish papërdorshmërinë e provës së marrë – me sekuestro – […]» (§3, neni 131 Kpp).  Por një interpretim i tillë, bën të humbasë apo anashkalohet, sigurisht për qëllime ekstreme të procedimit apo për të shpëtuar vlera të momentit, vetë qëllimi dhe kuptimi i nenit 207 të Kpp, funksionues pikërisht për shkak të asaj lidhje shkakësore që ndërmjet tyre të dy institutet kanë, nga ku kontrolli është shkaku i sekuestros dhe kjo e fundit është pasojë e të parit, si par</w:t>
      </w:r>
      <w:r w:rsidR="0010208C" w:rsidRPr="006871FF">
        <w:rPr>
          <w:rFonts w:ascii="Georgia" w:hAnsi="Georgia" w:cstheme="majorBidi"/>
          <w:lang w:val="sq-AL"/>
        </w:rPr>
        <w:t>ashikim normativ i detyrueshëm.</w:t>
      </w:r>
    </w:p>
    <w:p w:rsidR="006C2B89" w:rsidRPr="006871FF" w:rsidRDefault="006C2B89" w:rsidP="00710C8A">
      <w:pPr>
        <w:pStyle w:val="NoSpacing"/>
        <w:tabs>
          <w:tab w:val="left" w:pos="0"/>
        </w:tabs>
        <w:jc w:val="center"/>
        <w:rPr>
          <w:rFonts w:ascii="Georgia" w:hAnsi="Georgia" w:cstheme="majorBidi"/>
          <w:lang w:val="sq-AL"/>
        </w:rPr>
      </w:pPr>
      <w:r w:rsidRPr="006871FF">
        <w:rPr>
          <w:rFonts w:ascii="Georgia" w:hAnsi="Georgia" w:cstheme="majorBidi"/>
          <w:b/>
          <w:lang w:val="sq-AL"/>
        </w:rPr>
        <w:t>Sekuestro e provës</w:t>
      </w:r>
    </w:p>
    <w:p w:rsidR="006C2B89" w:rsidRPr="006871FF" w:rsidRDefault="006C2B89" w:rsidP="00AB321B">
      <w:pPr>
        <w:pStyle w:val="NoSpacing"/>
        <w:numPr>
          <w:ilvl w:val="0"/>
          <w:numId w:val="28"/>
        </w:numPr>
        <w:tabs>
          <w:tab w:val="left" w:pos="1134"/>
        </w:tabs>
        <w:ind w:left="0" w:firstLine="567"/>
        <w:jc w:val="both"/>
        <w:rPr>
          <w:rFonts w:ascii="Georgia" w:hAnsi="Georgia" w:cstheme="majorBidi"/>
          <w:b/>
          <w:i/>
          <w:lang w:val="sq-AL"/>
        </w:rPr>
      </w:pPr>
      <w:r w:rsidRPr="006871FF">
        <w:rPr>
          <w:rFonts w:ascii="Georgia" w:hAnsi="Georgia" w:cstheme="majorBidi"/>
          <w:b/>
          <w:i/>
          <w:lang w:val="sq-AL"/>
        </w:rPr>
        <w:t>objekti i sekuestrimit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Sekuestro është ndalimi përkohësisht i disponimit apo/ose tjetërsimit të sendit provë materiale dhe dokument, i marrë në ruajtjen e në dispozicion të organit që procedon.  Për këtë ai shfaqet si instrumenti ligjor që justifikon marrjen në posedim të sendit që shërben për vërtetimin e fakteve penalisht të ndëshkueshëm.  Sepse drejtohet edhe bie mbi sendin që shërben për njoftimin mbi ekzistencën e faktit penal dhe për këtë i klasifikuar si mjet i kërkimit të provës (kreu III, titulli IV, Pjesa Parë, Kpp), sekuestro provuese (neni 208 Kpp) është e ndryshme nga sekuestro konservative/konservuese (neni 270 Kpp) e cila bie mbi sendin me të cilin paguhet dënimi me gjobë, shpenzimet procedurale dhe çdo detyrim tjetër ndaj pasurisë së Shtetit, si dhe e ndryshme nga sekuestro preventive/parandaluese (neni 274 Kpp) e cila bie mbi sendin i cilit ‘rëndon ose të zgjat pasojat e veprës penale apo lehtëson kryerjen e të tjerave, të dyja masa të sigurimit pasuror/reale (kreu VI, i titullit V, Pjesa Parë, Kpp).</w:t>
      </w:r>
      <w:r w:rsidRPr="006871FF">
        <w:rPr>
          <w:rStyle w:val="FootnoteReference"/>
          <w:rFonts w:ascii="Georgia" w:hAnsi="Georgia" w:cstheme="majorBidi"/>
          <w:lang w:val="sq-AL"/>
        </w:rPr>
        <w:footnoteReference w:id="30"/>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 xml:space="preserve">Sepse lejohet sekuestrimi i «[...] provave materiale[...]» (§1, neni 208 Kpp) dhe se «prova materiale janë sendet [...]» (§1, neni 187 Kpp), parimisht objekt i sekuestros provuese, mund të jetë çdo send, që sepse «[...] mund të ndihmojë për sqarimin e rrethanave të çështjes» (§1, neni 187 Kpp), për këtë mbartin fuqi provuese të veçantë.  Për këtë ato janë sendet e caktuara, «[...] që kanë shërbyer si mjete për realizimin e veprës penale ose mbi të cilat gjenden gjurmë apo që kanë qenë objekt i veprimeve të të pandehurit [...] produktet e veprës penale dhe çdo lloj pasurie tjetër, që lejohet të konfiskohet – si dhe sendet – produktet e veprës penale dhe çdo lloj pasurie tjetër, që lejohet të konfiskohet [...]» (§1, neni 187 Kpp), ku në këto të fundit përfshihen dokumentet ose instrumentet ligjore që vërtetojnë tituj ose interesa të tjera në pasurinë që rrjedh ose fitohet drejtpërdrejtë ose tërthorazi nga kryerja e veprës penale;  shpërblimet e dhëna ose të premtuara për kryerjen e veprës penale;  sendet, prodhimi, përdorimi, mbajtja ose tjetërsimi i të cilave përbëjnë vepër penale;  </w:t>
      </w:r>
      <w:r w:rsidRPr="006871FF">
        <w:rPr>
          <w:rFonts w:ascii="Georgia" w:hAnsi="Georgia" w:cstheme="majorBidi"/>
          <w:lang w:val="sq-AL"/>
        </w:rPr>
        <w:lastRenderedPageBreak/>
        <w:t>produktet e veprës penale që janë transformuar ose shndërruar pjesërisht ose plotësisht në pasuri të tjera;  produktet e veprës penale në të njëjtën masë, të bashkuara, transformuar, shndërruar apo të përziera me pasuri të fituara ligjërisht (neni 36 kPenal).  Thënë ndryshe sendi që drejtpërdrejtë lidhet me veprën penale – shërbyes për realizimin e veprës penale</w:t>
      </w:r>
      <w:r w:rsidRPr="006871FF">
        <w:rPr>
          <w:rFonts w:ascii="Georgia" w:hAnsi="Georgia" w:cstheme="majorBidi"/>
          <w:i/>
          <w:lang w:val="sq-AL"/>
        </w:rPr>
        <w:t>/corpora delicti</w:t>
      </w:r>
      <w:r w:rsidRPr="006871FF">
        <w:rPr>
          <w:rFonts w:ascii="Georgia" w:hAnsi="Georgia" w:cstheme="majorBidi"/>
          <w:lang w:val="sq-AL"/>
        </w:rPr>
        <w:t xml:space="preserve"> dhe ai objekt i veprimeve, apo mbi të cilin ka rënë apo ka ndikuar vepra penale</w:t>
      </w:r>
      <w:r w:rsidRPr="006871FF">
        <w:rPr>
          <w:rFonts w:ascii="Georgia" w:hAnsi="Georgia" w:cstheme="majorBidi"/>
          <w:i/>
          <w:lang w:val="sq-AL"/>
        </w:rPr>
        <w:t>/producta sceleris,</w:t>
      </w:r>
      <w:r w:rsidRPr="006871FF">
        <w:rPr>
          <w:rFonts w:ascii="Georgia" w:hAnsi="Georgia" w:cstheme="majorBidi"/>
          <w:lang w:val="sq-AL"/>
        </w:rPr>
        <w:t xml:space="preserve"> – ashtu siç edhe sendi i cili tërthorazi është i lidhur me veprën penale – produkt i veprës penale.</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Kështu është objekt i sekuestros provuese, sendi provë materiale drejtpërdrejtë apo tërthorazi i lidhur me veprën penale që është i domosdoshëm për vërtetimin e faktit (§1, neni 208 Kpp).  Pra është ai send, pa të cilin nuk mund të arrihet në njoftimin mbi ekzistencën e faktit dhe sekuestrimi është mjet i marrjes së tij, krejt instrumental dhe aspak shtrëngues.  Kështu, mund të ndodhë që vërtet sendi të jetë drejtpërdrejtë apo tërthorazi i lidhur me veprën penale, por jo domosdoshmërish vërtetues i faktit – sepse ekzistenca e të njëjtit fakt njoftohet edhe me prova të tjera – për çka dhe jashtë objektit të sekuestrimit provues.</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Normohet se «gjyqtari ose prokurori disponojnë [...] sekuestrimin e provave [...]» (§1, neni 208 Kpp), çka do të thotë se përgjatë hetimit paraprak, sekuestrimi provues caktohet nga prokurori me urdhër, pa nevojën e gjyqtarit dhe gjatë shqyrtimit gjyqësor, vendoset nga gjykata që shqyrton çështjen në themel, sipas kërkesës së palëve.  Ndërsa, në kushtet e verifikimeve të ngutshme në vend dhe kur ka rrezik që gjurmët dhe sendet të ndryshojnë ose të humbasin, është pol.gjyq. që sekuestron provat materiale dhe sendet që lidhen me veprën penale (§2, neni 300 Kpp), madje edhe pa një urdhër të veçantë, por që gjithsesi përfshihet apo pasqyrohet, në procesverbalin e sekuestrimit përkatës.  Për çka, procesverbalin e sekuestrimit të provës brenda 48 orëve, duhet ta paraqesë tek prokurori, i cili po ashtu brenda 48 orëve të ardhshme, në qoftë se ekzistojnë kushtet, me disponim të arsyetuar vleftëson sekuestron, në të kundërt, kthen sendet e sekuestruara nga pol.gjyq. (neni 301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 xml:space="preserve">Karakteristika apo forma e lidhjes së sendit provë materiale me veprën penale, përcakton dhe detyrimin e arsyetimit të disponimit të sekuestrimit provues.  Por për sendin provë materiale që </w:t>
      </w:r>
      <w:r w:rsidRPr="006871FF">
        <w:rPr>
          <w:rFonts w:ascii="Georgia" w:hAnsi="Georgia" w:cstheme="majorBidi"/>
          <w:i/>
          <w:lang w:val="sq-AL"/>
        </w:rPr>
        <w:t>drejtpërdrejtë është i lidhur</w:t>
      </w:r>
      <w:r w:rsidRPr="006871FF">
        <w:rPr>
          <w:rFonts w:ascii="Georgia" w:hAnsi="Georgia" w:cstheme="majorBidi"/>
          <w:lang w:val="sq-AL"/>
        </w:rPr>
        <w:t xml:space="preserve"> me veprën penale – shërbyes për realizimin e veprës penale</w:t>
      </w:r>
      <w:r w:rsidRPr="006871FF">
        <w:rPr>
          <w:rFonts w:ascii="Georgia" w:hAnsi="Georgia" w:cstheme="majorBidi"/>
          <w:i/>
          <w:lang w:val="sq-AL"/>
        </w:rPr>
        <w:t>/corpora delicti</w:t>
      </w:r>
      <w:r w:rsidRPr="006871FF">
        <w:rPr>
          <w:rFonts w:ascii="Georgia" w:hAnsi="Georgia" w:cstheme="majorBidi"/>
          <w:lang w:val="sq-AL"/>
        </w:rPr>
        <w:t xml:space="preserve"> dhe ai objekt i veprimeve, apo mbi të cilin ka rënë apo ka ndikuar vepra penale</w:t>
      </w:r>
      <w:r w:rsidRPr="006871FF">
        <w:rPr>
          <w:rFonts w:ascii="Georgia" w:hAnsi="Georgia" w:cstheme="majorBidi"/>
          <w:i/>
          <w:lang w:val="sq-AL"/>
        </w:rPr>
        <w:t>/producta sceleris –</w:t>
      </w:r>
      <w:r w:rsidRPr="006871FF">
        <w:rPr>
          <w:rFonts w:ascii="Georgia" w:hAnsi="Georgia" w:cstheme="majorBidi"/>
          <w:lang w:val="sq-AL"/>
        </w:rPr>
        <w:t xml:space="preserve"> sepse në vetvete ai ka fuqi provuese që domosdoshmërish janë vërtetues të faktit, nuk është e nevojshme të tregohet kjo lidhje dhe domosdoshmëria e sekuestrimit të tij. Ndërsa për sendin që në mënyrë të </w:t>
      </w:r>
      <w:r w:rsidRPr="006871FF">
        <w:rPr>
          <w:rFonts w:ascii="Georgia" w:hAnsi="Georgia" w:cstheme="majorBidi"/>
          <w:i/>
          <w:lang w:val="sq-AL"/>
        </w:rPr>
        <w:t>tërthortë është i lidhur</w:t>
      </w:r>
      <w:r w:rsidRPr="006871FF">
        <w:rPr>
          <w:rFonts w:ascii="Georgia" w:hAnsi="Georgia" w:cstheme="majorBidi"/>
          <w:lang w:val="sq-AL"/>
        </w:rPr>
        <w:t xml:space="preserve"> me veprën penale siç është ‘produkti’ i veprës penale – çdo lloj pasurie, si dhe dokumentet ose instrumentet ligjore që vërtetojnë tituj ose interesa të tjera në pasurinë që rrjedh ose fitohet drejtpërdrejtë ose tërthorazi nga kryerja e veprës penale;  shpërblimet e dhëna ose të premtuara për kryerjen e veprës penale;  sendet, prodhimi, përdorimi, mbajtja ose tjetërsimi i të cilave përbëjnë vepër penale;  produktet e veprës penale që janë transformuar ose shndërruar pjesërisht ose plotësisht në pasuri të tjera – sepse nuk e nënkupton, apo nuk e mban në vetvete këtë fuqi provuese dhe nuk është pashmangshmërisht vërtetues i faktit, është e nevojshme të tregohet dhe të arsyetohet lidhja që bën absolutisht të nevojshëm, sekuestrimin e tij.</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Sepse lidhet me nevoja të të provuarit dhe aspak me raportin e pronësisë, sekuestro provuese bie mbi çdo send, pavarësisht nga personi titullar i pronësisë apo i përdorimit të sendit, por kurdoherë, vetëm kur është domosdoshmërish vërtetues i faktit.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Ekzekutimi i sekuestros provuese, pra kryerja e veprimtarisë marrëse-përfituese e sendit provë materiale, përmbushet nga «[...] vetë ai që ka nxjerrë vendim [...]» (§2, neni 208 Kpp) dhe për këtë, sipas rastit nga gjykata apo prokurori.  Po ashtu ajo mund të përmbushet – dhe në fakt në më të shumtën e rasteve – nga o.p.gj., të cilët për këtë, delegohen me të njëjtin vendim (§2, neni 208 Kpp), që ka vendosur sekuestrimin provues.</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Sipas asaj që është e nevojshme apo jo një veprimtari paraprake zbuluese e provës materiale, sekuestro provuese ndjek në më të shumtën e rasteve kontrollin, si mjet i kërkimit të provës.</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 xml:space="preserve">Për sekuestron provuese të caktuar gjatë procesit nga gjykata, të drejtat e mbrojtjes janë të siguruara, kjo si pasojë e disiplinimit normues të vetë procesit.  Po ashtu edhe për atë </w:t>
      </w:r>
      <w:r w:rsidRPr="006871FF">
        <w:rPr>
          <w:rFonts w:ascii="Georgia" w:hAnsi="Georgia" w:cstheme="majorBidi"/>
          <w:lang w:val="sq-AL"/>
        </w:rPr>
        <w:lastRenderedPageBreak/>
        <w:t>të urdhëruar nga prokurori këto të drejta janë të siguruara pasi «prokurori, kur do të kryejë kontroll ose sekuestrim njofton të pandehurin që të jetë i pranishëm së bashku me mbrojtësin e zgjedhur dhe, kur nuk e ka këtë, cakton një mbrojtës kryesisht» (§1, neni 310 Kpp), por pa u njohur me objektin konkret të tij, çka nuk i humbet veprimtarisë sekuestruese befasinë, duke shpëtuar nevojat e procedimit.  Ndërsa sekuestro provuese me iniciativë të pol.gjyq. përgjatë hetimit paraprak, në mënyrë të kufizuar është e garantuar.  Në çdo rast, mbrojtësi ka të drejtën në jetë i pranishëm dhe pastaj, sepse edhe sekuestro provuese është një veprimtari befasuese, në verifikime të ngutshme në vend (§2, neni 300 Kpp), ndihma e mbrojtësit nuk shtrihet në lajmërimin e tij që më parë, për ekzekutimin e saj (neni 302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Në kryerjen e sekuestrimit të provës, pasojë e një vendimi të prokurorit apo gjykatës, «kopja e vendimit të sekuestrimit i dorëzohet të interesuarit» (§3, neni 208 Kpp), çka i jep mundësinë atij të verifikojë ligjshmërinë e sekuestrimit.  Për të interesuar, kuptohet personi i cili ka një titull pronësie apo posedimi, mbi sendin që bie sekuestro.</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Edhe për veprimtarinë sekuestruese të provës me iniciativë të pol.gjyq., në rastet e verifikimeve të ngutshme në vend të pol.gjyq., bëhet redaktimi në procesverbal, kopje e të cilit, i dorëzohet personit të interesuar (§1, neni 301 Kpp) dhe që për këtë formon urdhrin e sekuestrimit të bërë nga ajo.  Për çka, procesverbali që përshkruan ekzekutimin e sekuestros, i cili detyrimisht përmban edhe shënimin e shkakut (§1, neni 301 Kpp) të sekuestrimit të sendit, është mjeti që provon veprimtarinë e pol.gjyq. dhe që justifikon atë.  Të njëjtën procedurë ndjekin edhe sekuestrimet e provave të kryera gjatë kontrollit (neni 207 Kpp), sepse ato konsiderohen se kryhen kur është rasti që «ka rrezik që gjurmët dhe sendet të ndryshojnë ose të humbasin [...]» (§2, 300 Kpp).</w:t>
      </w:r>
      <w:r w:rsidRPr="006871FF">
        <w:rPr>
          <w:rStyle w:val="FootnoteReference"/>
          <w:rFonts w:ascii="Georgia" w:hAnsi="Georgia" w:cstheme="majorBidi"/>
          <w:lang w:val="sq-AL"/>
        </w:rPr>
        <w:footnoteReference w:id="31"/>
      </w:r>
    </w:p>
    <w:p w:rsidR="006C2B89" w:rsidRPr="006871FF" w:rsidRDefault="006C2B89" w:rsidP="00AB321B">
      <w:pPr>
        <w:pStyle w:val="NoSpacing"/>
        <w:numPr>
          <w:ilvl w:val="0"/>
          <w:numId w:val="28"/>
        </w:numPr>
        <w:tabs>
          <w:tab w:val="left" w:pos="1134"/>
        </w:tabs>
        <w:ind w:left="0" w:firstLine="567"/>
        <w:jc w:val="both"/>
        <w:rPr>
          <w:rFonts w:ascii="Georgia" w:hAnsi="Georgia" w:cstheme="majorBidi"/>
          <w:b/>
          <w:i/>
          <w:lang w:val="sq-AL"/>
        </w:rPr>
      </w:pPr>
      <w:r w:rsidRPr="006871FF">
        <w:rPr>
          <w:rFonts w:ascii="Georgia" w:hAnsi="Georgia" w:cstheme="majorBidi"/>
          <w:b/>
          <w:i/>
          <w:lang w:val="sq-AL"/>
        </w:rPr>
        <w:t>të dhënat kompjuterike</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Mbi bazën e kuptimit se dokumentet «[...] përfaqësojnë fakte persona ose sende nëpërmjet fotografimit, filmimit, fonografit ose çdo mjeti tjetër» (§1, neni 191 Kpp), nga ku përfaqësimi është pikërisht prova, apo njoftimi/dija mbi faktin, mund të thuhet se në fushën kompjuterike, ku ruajtja e të dhënave bëhet nëpërmjet regjistrimit magnetik në hard disk a shirit magnetik, këta të fundit janë ‘burimi i provës dokument’ dhe përfaqësimi i faktit, personit a sendit, është e dhëna e ruajtura në të.  Për këtë, sepse sekuestro është ndalimi përkohësisht i disponimit apo/ose tjetërsimit të sendit provë materiale dhe dokument, i marrë në ruajtjen e në dispozicion të organit që procedon, në rastin e sekuestrimit të të dhënave ose sistemeve kompjuterike, ai bie mbi mbajtësen e tyre hard disk.  Porse për shkak të vështirësive të llojeve të ndryshme praktike dhe teorike, ligjvënësi ka parë të udhës të normojë se «në rastin e procedimeve për krime që lidhen me teknologjinë e informacionit, gjykata, me kërkesën e prokurorit, urdhëron sekuestrimin e të dhënave ose sistemeve kompjuterike» (§1, neni 208/a Kpp).  Pra ka parashikuar sekuestrimin e drejtpërdrejtë të vetë përfaqësimit të faktit, personit a sendit që janë të dhënat ose sistemet kompjuterike të ruajtura në hard disk a shirit magnetik dhe jo këto të fundit.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 xml:space="preserve">Normimi parashikon gjithashtu dhe se përjashtimisht në këto raste është gjykata ajo që vendos sekuestron, me kërkesën e prokurorit.  Po ashtu ajo në vendimin që lejon sekuestron </w:t>
      </w:r>
      <w:r w:rsidRPr="006871FF">
        <w:rPr>
          <w:rFonts w:ascii="Georgia" w:hAnsi="Georgia" w:cstheme="majorBidi"/>
          <w:lang w:val="sq-AL"/>
        </w:rPr>
        <w:lastRenderedPageBreak/>
        <w:t>«[…] përcakton të drejtën për të hyrë, kërkuar dhe marrë të dhënat kompjuterike në sistemin kompjuterik, si dhe ndalimin për kryerjen e veprimeve të mëtejshme apo sigurimin e të dhënave ose të sistemit kompjuterik» (§1, neni 208/a Kpp).  Shkelja e këtij ndalimi, mbi bazën e normimit se «provat e marra në shkelje të ndalimeve të parashikuara nga ligji nuk mund të përdoren [...] » (§3, neni 151 Kpp) e bën të dhënën e përfituar të papërdorshme.  Në veprimtarinë e kërkimit mund të rezultojë se të dhënat e kërkuar janë memorizuar në një sistem tjetër kompjuterik.  Kur gjykata – mbi bazën e kërkesës së prokurorit – çmon se «[...] këto të dhëna janë në mënyrë të ligjshme të kapshme [...] urdhëron menjëherë kërkimin ose hyrjen edhe në këtë sistem kompjuterik» (§2, neni 208/a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Dhe sepse në këto raste nuk është urdhëruar sekuestro e burimit të provës hard disk, që është sendi i regjistrimit të të dhënave të kërkuara, për të siguruar autenticitetin, mos dëmtimin, mos falsifikimin a mos humbjen e të dhënave, parashikohet se prokurori ose o.p.gj. i deleguar nga ai «[...] merr masa për të ndaluar kryerjen e veprimeve të mëtejshme ose për të siguruar sistemin kompjuterik, vetëm të një pjese të tij ose të një mjeti tjetër memorizimi të dhënash;  për të nxjerrë dhe marrë kopje të të dhënave kompjuterike;  për të penguar hyrjen në të dhënat kompjuterike, ose për t'i hequr këto të dhëna nga sistemet kompjuterike me të drejtë hyrjeje;  për të siguruar paprekshmërinë e të dhënave përkatëse, të memorizuara» (§3, neni 208/a Kpp).  Pastaj, duke marrë parasysh se përmbushja e këtyre masave kërkon njohuri të posaçme rreth funksionimit të sistemeve kompjuterike, prokurori mund të urdhërojë thirrjen e një eksperti për kryerjen e tyre, i cili «[...]nuk mund të refuzojë detyrën pa shkaqe të arsyeshme» (§4, neni 208/a Kpp).</w:t>
      </w:r>
    </w:p>
    <w:p w:rsidR="006C2B89" w:rsidRPr="006871FF" w:rsidRDefault="006C2B89" w:rsidP="00AB321B">
      <w:pPr>
        <w:pStyle w:val="NoSpacing"/>
        <w:numPr>
          <w:ilvl w:val="0"/>
          <w:numId w:val="28"/>
        </w:numPr>
        <w:tabs>
          <w:tab w:val="left" w:pos="1134"/>
        </w:tabs>
        <w:ind w:left="0" w:firstLine="567"/>
        <w:jc w:val="both"/>
        <w:rPr>
          <w:rFonts w:ascii="Georgia" w:hAnsi="Georgia" w:cstheme="majorBidi"/>
          <w:b/>
          <w:i/>
          <w:lang w:val="sq-AL"/>
        </w:rPr>
      </w:pPr>
      <w:r w:rsidRPr="006871FF">
        <w:rPr>
          <w:rFonts w:ascii="Georgia" w:hAnsi="Georgia" w:cstheme="majorBidi"/>
          <w:b/>
          <w:i/>
          <w:lang w:val="sq-AL"/>
        </w:rPr>
        <w:t>korrespondenca</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Rreptësia kushtetuese e mbrojtjes së korrespondencës, se «liria dhe fshehtësia e korrespondencës ose e çdo mjeti tjetër të komunikimit, janë të garantuara» (nenin 36), ka bërë që ligjvënësi të jetë më ‘i shtrënguar’ në parashikimin përjashtues të sekuestrimit provues për gjithçka, si: letrat, zarfet, pakot, vlerat monetare e pasurore, telegramet ose mjetet e tjera, që lidhen me korrespondencën.  Për këtë, në rrugë të zakonshme është vetëm gjykata, mbi bazën e kërkesës së prokurorit – përgjatë hetimeve paraprake, nga gj.k.h.p. (neni 278 Kpp) dhe përgjatë procesit, nga gjykata e shqyrtimit gjyqësor të themelit – që cakton dhe urdhëron sekuestron «[...] në zyrat postare ose telegrafike gjenden letra, letra me vlerë, zarfe, pako, telegrame dhe objekte të tjera të korrespondencës që janë dërguar nga i pandehuri ose që i drejtohen atij, qoftë edhe me emër tjetër ose nëpërmjet një personi tjetër [...]» (§1, neni 209 Kpp).  Përjashtimisht dhe për raste të ngutshme, gjatë hetimit paraprak është prokurori i cili mund të vendosë sekuestro provuese mbi letrat, zarfet, pakot, vlerat monetare e pasurore, telegramet ose mjetet e tjera të korrespondencës, për të cilat më parë nga pol.gjyq. është urdhëruar pezullimi i dërgimit të tyre (§2, neni 299 Kpp).  Ndërsa parashikohet një pushtet ‘ekstra’ i pol.gjyq. që konsiston në posedimin e përkohshëm në fakt të ‘plikove të vulosura ose sido të mbyllura’ objekt i korrespondencës, – që sidoqoftë nuk është sekuestrim, – të cilat gjithsesi duhet menjëherë të dorëzohen të paprekura apo të pahapura, për të cilat prokurori, po ashtu, nëse është në kushtet e ngutjes/urgjencës, mund të vendosë sekuestro provuese.  Por nuk përfundon këtu, nëse plikot përmbajnë të dhëna që mund të humbasin për shkak të vonesës’, prokurori gjithashtu mund të urdhërojë që ato të hapen nga pol.gjyq. dhe të dorëzohen tek ai ashtu (§1, neni 299 Kpp), që është i vetmi rast i parashikuar në të cilin pol.gjyq., mund të ekzekutojë apo të përmbushë vërtet, veprime sekuestrimi të korrespondencës.</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Edhe sekuestrimi i mjeteve të korrespondencës, i urdhëruar nga gjykata në të njëjtët kufij të ‘posedimit të përkohshëm në fakt’, mund të zbatohet nga pol.gjyq. e treguar në të njëjtin urdhër si dhe e deleguar nga prokurori, për të ekzekutuar urdhërimin e gjykatës.  Në të dyja rastet, pol.gjyq. pasi konkretisht vihet në posedim të korrespondencës, gjithsesi në përputhje të rregullave të përgjithshme të sekuestrimit të provës sipas fazës së përmbushjes, i dorëzon organit gjyqësor: prokurorit, në fazën e hetimeve paraprake dhe gjykatës, në fazën e procesit të themelit, objektet e sekuestruara pa i hapur dhe pa u njohur me ndonjë mënyrë tjetër me përmbajtjen e tyre (§2, neni 209 Kpp), hapje dhe njohje e cila, bëhet nga vetë autoriteti që ka urdhëruar sekuestron.</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lastRenderedPageBreak/>
        <w:t>Objekt i sekuestros janë letrat, letrat me vlerë, zarfet, pakot, telegramet dhe objekte të tjera të korrespondencës’ të cilat i dërgon apo i dërgohen të hetuarit/pandehurit, pavarësisht emrit dhe ndërmjetësisë së personave të tretë (§1, neni 209 Kpp).  Por gjithashtu objekt i sekuestros është edhe çdo mjet i korrespondencës që përbën provë materiale (neni 189 Kpp), edhe pse mundet jo pikërisht i veprës penale për të cilën i hetuari/pandehuri dyshohet.  Nga ku, jashtë objektit të ‘korrespondencës së sekuestrueshme’ del çdo mjet i saj, i cili nuk i drejtohet apo nuk dërgohet nga i hetuari/pandehuri apo që nuk përbën provë materiale.  Për këtë, ato nëse gabimisht janë sekuestruar, «[...] i kthehen atij që i takojnë dhe nuk mund të përdoren» (§3, neni 209 Kpp) si prova të tilla, të «[...] marra në shkelje të ndalimeve të parashikuara nga ligji [...]» (§3, neni 151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Të drejtat e mbrojtjes po ashtu janë të siguruara, për sekuestron e vendosur dhe të ekzekutuar përgjatë gjykimit sipas të njëjtit proces.  Ndërsa për atë të urdhëruar gjatë fazës së hetimit paraprak, mbi bazën e kërkesës së prokurorit si një veprim i befasishëm, i njëjti gjyqtar (§2, neni 279 Kpp), vendos në padijeni të mbrojtësit apo të pandehurit, duke shpëtuar kështu nevojat e procedimit.  Por gjithsesi mbrojtësi ka të drejtën që paraprakisht të njoftohet për të qenë i pranishëm (neni 310 Kpp) në ekzekutimin e sekuestros së asaj korrespondence, për të cilën më parë është urdhëruar pezullimi i dërgimit të saj nga pol.gjyq. (§2, neni 299 Kpp).  Siç në të kundërt bën përjashtim qoftë e drejta e mbrojtësit për të qenë i pranishëm apo për të asistuar, në rastet e hapjes së menjëhershme të plikos të autorizuar nga prokurori, të parashikuar nga §1, neni 299 Kpp (neni 302 Kpp).</w:t>
      </w:r>
    </w:p>
    <w:p w:rsidR="006C2B89" w:rsidRPr="006871FF" w:rsidRDefault="006C2B89" w:rsidP="00AB321B">
      <w:pPr>
        <w:pStyle w:val="NoSpacing"/>
        <w:numPr>
          <w:ilvl w:val="0"/>
          <w:numId w:val="28"/>
        </w:numPr>
        <w:tabs>
          <w:tab w:val="left" w:pos="1134"/>
        </w:tabs>
        <w:ind w:left="0" w:firstLine="567"/>
        <w:jc w:val="both"/>
        <w:rPr>
          <w:rFonts w:ascii="Georgia" w:hAnsi="Georgia" w:cstheme="majorBidi"/>
          <w:b/>
          <w:i/>
          <w:lang w:val="sq-AL"/>
        </w:rPr>
      </w:pPr>
      <w:r w:rsidRPr="006871FF">
        <w:rPr>
          <w:rFonts w:ascii="Georgia" w:hAnsi="Georgia" w:cstheme="majorBidi"/>
          <w:b/>
          <w:i/>
          <w:lang w:val="sq-AL"/>
        </w:rPr>
        <w:t>pranë bankave</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 xml:space="preserve">Lidhja e kujtdo lloji qoftë ajo me veprën penale, e dokumenteve, letrave me vlerë, shumave të depozituara në llogari rrjedhëse dhe e çdo gjëje tjetër, qoftë e ndodhur në kasetat e sigurisë, justifikon mjaftueshëm sekuestrimin e tyre, pranë bankave që janë nën të ashtuquajturin sekret bankar, e pavarur kjo nga përkatësia me të pandehurin apo nga përdorimi apo jo në emër të tij (neni 210 Kpp).  Në të njëjtat kushte, është gjykata që në rrugë të zakonshme, pas kërkesës së prokurorit, vendos sekuestron e tyre.  Përgjatë hetimit paraprak, kërkesa, sepse sekuestro është një veprim i befasishëm, vendoset pa praninë dhe kështu pa dijeninë e të pandehurit dhe mbrojtësit të tij.  Ndërsa në situatë të urgjencës apo në raste të ngutshme, ka pushtetin prokurori, gjithnjë gjatë fazës së hetimit paraprak, të vendosë sekuestron e ‘dokumenteve, shumave të depozituara në monedha a në llogari rrjedhëse dhe çdo gjëje tjetër si bizhuteri a gurë të çmuar, qoftë të ndodhura në kasetat e sigurisë’.  Në të dyja rastet, në veprim të çka parashikon §2 i nenit 208 Kpp, ekzekutimi i sekuestrove pranë bankave kryhet qoftë nga vetë organi që e urdhëron ashtu dhe nga pol.gjyq. e deleguar nga ai.  Funksionon po ashtu dhe neni 203 Kpp, i përqendruar në kërkesën e dorëzimit të sendit, që është përcaktuar për t’u sekuestruar.  Ndërsa për të përcaktuar sendet që mund të jenë objekt i sekuestrimit, pol.gjyq. i është njohur një pushtet verifikimi (neni 203 Kpp) i cili gjithsesi nuk është ai i ‘kontrollit’ të normuar nga neni 202 Kpp, sepse konsiston në </w:t>
      </w:r>
      <w:r w:rsidRPr="006871FF">
        <w:rPr>
          <w:rFonts w:ascii="Georgia" w:hAnsi="Georgia" w:cstheme="majorBidi"/>
          <w:bCs/>
          <w:lang w:val="sq-AL"/>
        </w:rPr>
        <w:t>të drejtën për të ekzaminuar apo shqyrtuar ato sende, që më pas vlerësohen si të sekuestrueshme apo mbi të cilat do të bjerë ekzekutimi i sekuestrimit, gjithnjë nëse ato janë objekt i veprimtarisë, dokumenteve dhe korrespondencës së bankës.</w:t>
      </w:r>
    </w:p>
    <w:p w:rsidR="006C2B89" w:rsidRPr="006871FF" w:rsidRDefault="006C2B89" w:rsidP="006C2B89">
      <w:pPr>
        <w:pStyle w:val="NoSpacing"/>
        <w:tabs>
          <w:tab w:val="left" w:pos="0"/>
        </w:tabs>
        <w:ind w:firstLine="567"/>
        <w:jc w:val="both"/>
        <w:rPr>
          <w:rFonts w:ascii="Georgia" w:hAnsi="Georgia" w:cstheme="majorBidi"/>
          <w:bCs/>
          <w:lang w:val="sq-AL"/>
        </w:rPr>
      </w:pPr>
      <w:r w:rsidRPr="006871FF">
        <w:rPr>
          <w:rFonts w:ascii="Georgia" w:hAnsi="Georgia" w:cstheme="majorBidi"/>
          <w:bCs/>
          <w:lang w:val="sq-AL"/>
        </w:rPr>
        <w:t>Të drejtat e mbrojtjes janë të garantuara.  Ajo ka të drejtë – për rastin gjatë procesit – të jetë e paralajmëruar për ekzekutimin e sekuestrimit pranë bankës, ndërsa për rastin gjatë fazës së hetimeve paraprake – ka të drejtën të njoftohet për të qenë e pranishme, por gjithsesi duke ruajtur karakterin befasues të sekuestros (neni 310 Kpp).  Pastaj, nëse sekuestro pranë bankës, qoftë ajo e caktuar nga gj.k.h.p. ashtu dhe ajo e caktuar nga prokurori në raste të ngutshme (neni 210 Kpp), delegohet për t’u ekzekutuar nga pol.gjyq.,</w:t>
      </w:r>
      <w:r w:rsidRPr="006871FF">
        <w:rPr>
          <w:rFonts w:ascii="Georgia" w:hAnsi="Georgia" w:cstheme="majorBidi"/>
          <w:lang w:val="sq-AL"/>
        </w:rPr>
        <w:t xml:space="preserve"> e cila detyrohet të respektojë dispozitat për caktimin dhe pjesëmarrjen e mbrojtësit në veprimet hetimore (neni 304 Kpp)</w:t>
      </w:r>
      <w:r w:rsidRPr="006871FF">
        <w:rPr>
          <w:rFonts w:ascii="Georgia" w:hAnsi="Georgia" w:cstheme="majorBidi"/>
          <w:bCs/>
          <w:lang w:val="sq-AL"/>
        </w:rPr>
        <w:t>, njësoj qëndron detyrimi i saj, siç ai i prokurorit, për të njoftuar ‘</w:t>
      </w:r>
      <w:r w:rsidRPr="006871FF">
        <w:rPr>
          <w:rFonts w:ascii="Georgia" w:hAnsi="Georgia" w:cstheme="majorBidi"/>
          <w:lang w:val="sq-AL"/>
        </w:rPr>
        <w:t>të pandehurin që të jetë i pranishëm së bashku me mbrojtësin</w:t>
      </w:r>
      <w:r w:rsidRPr="006871FF">
        <w:rPr>
          <w:rFonts w:ascii="Georgia" w:hAnsi="Georgia" w:cstheme="majorBidi"/>
          <w:bCs/>
          <w:lang w:val="sq-AL"/>
        </w:rPr>
        <w:t>’, po ashtu pa humbur sekuestro karakterin e saj të befasisë.  Dhe kërkesa për caktimin e një mbrojtësi, nëse i hetuari nuk ka një të tilla (§1, neni 300 Kpp) apo nuk është paraqitur qoftë edhe për shkaqe të arsyeshme (§2, neni 300 Kpp), do të thotë se ajo është e detyrueshme dhe për këtë i kundërshtueshëm sekuestrimi për pavlefshmëri absolute, në rastin e zbatimit në mungesë të mbrojtësit avokat (shkronja ‘c’, neni 128/a Kpp).</w:t>
      </w:r>
    </w:p>
    <w:p w:rsidR="006C2B89" w:rsidRPr="006871FF" w:rsidRDefault="006C2B89" w:rsidP="00AB321B">
      <w:pPr>
        <w:pStyle w:val="NoSpacing"/>
        <w:numPr>
          <w:ilvl w:val="0"/>
          <w:numId w:val="28"/>
        </w:numPr>
        <w:tabs>
          <w:tab w:val="left" w:pos="1134"/>
        </w:tabs>
        <w:ind w:left="0" w:firstLine="567"/>
        <w:jc w:val="both"/>
        <w:rPr>
          <w:rFonts w:ascii="Georgia" w:hAnsi="Georgia" w:cstheme="majorBidi"/>
          <w:b/>
          <w:bCs/>
          <w:i/>
          <w:lang w:val="sq-AL"/>
        </w:rPr>
      </w:pPr>
      <w:r w:rsidRPr="006871FF">
        <w:rPr>
          <w:rFonts w:ascii="Georgia" w:hAnsi="Georgia" w:cstheme="majorBidi"/>
          <w:b/>
          <w:bCs/>
          <w:i/>
          <w:lang w:val="sq-AL"/>
        </w:rPr>
        <w:lastRenderedPageBreak/>
        <w:t>sekret profesional &amp; shtetëror</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Kufij pengues ndesh sekuestro e ‘akteve dhe dokumenteve dhe çdo gjëje tjetër që ruhet pranë atyre, që për shkak të detyrës e shërbimit, siç nëpunësit shtetërorë, nëpunësit publikë dhe të ngarkuarit me një shërbim publik (neni 160 Kpp) dhe profesionistëve, siç përfaqësuesit e besimeve fetare, avokatët, përfaqësuesit ligjorë dhe noterët, mjekët, kirurgët, farmacistët, obstetër dhe kushdo që ushtron një profesion shëndetësor, si dhe ata që ushtrojnë profesione të tjera, të cilëve ligji u njeh të drejtën të mos dëshmojnë për ato që lidhen me sekretin profesional (neni 159 Kpp), të cilët po ashtu, sipas të njëjtit parim për dëshminë, mund të kundërshtojnë duke deklaruar me shkrim sekuestron, kur pretendojnë sekretin e profesionit apo sekretin shtetëror (§1, neni 211 Kpp).  Në mungesë të këtij deklarimi janë të detyruar «[...] t'i dorëzojnë menjëherë organit procedues aktet dhe dokumentet, edhe në origjinal, dhe çdo gjë tjetër që ruhet pranë tyre për shkak të detyrës, shërbimit ose profesionit, [...]» (§1, neni 211 Kpp).  Është e detyrueshme që organi që procedon të bëjë verifikimin e duhur nëse ngrihet me shkrim sekreti i profesionit, verifikim i cili pengon sekuestron.  Në të kundërt nëse përgjatë shqyrtimit të pretendimit të sekretit të profesionit, ai nuk konfirmohet, pretendimi nuk mund të pengojë më ekzekutimin e sekuestros (§1, neni 211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Ndërsa, edhe pse sekreti shtetëror, pas verifikimeve të detyrueshme konfirmohet nga organi kompetent, por prova vlerësohet se është thelbësore për zgjidhjen e çështjes, organi procedues vendos marrjen e saj, pra ekzekuton gjithsesi sekuestron (§2, neni 211 Kpp), duke u ndaluar kështu për t’u sekuestruar vetëm ajo provë e cila edhe pse mund të jetë e nevojshme nuk është thelbësore për zgjidhjen e çështjes.  Po ashtu, nëse brenda tridhjetë ditëve nga kërkesa e ushtruar në verifikim të pretendimit për sekret shtetëror, organi kompetent nuk jep konfirmimin e sekretit, pra si të thuash nuk pohon pretendimin për sekret shtetëror të ngritur nga kushdo nëpunës shtetërorë, publikë apo i ngarkuar me një shërbim publik, urdhërohet sekuestrimi dhe ekzekutimi i tij (§3, neni 311 Kpp).  Dhe në vështrim tërësor të pretendimit për sekret shtetëror, ai nuk bëhet pengesë e sekuestros provuese, për më tepër, kur është fjala për provë, e cila vlerësohet thelbësore për zgjidhjen e çështjes.</w:t>
      </w:r>
    </w:p>
    <w:p w:rsidR="006C2B89" w:rsidRPr="006871FF" w:rsidRDefault="006C2B89" w:rsidP="00AB321B">
      <w:pPr>
        <w:pStyle w:val="NoSpacing"/>
        <w:numPr>
          <w:ilvl w:val="0"/>
          <w:numId w:val="28"/>
        </w:numPr>
        <w:tabs>
          <w:tab w:val="left" w:pos="1134"/>
        </w:tabs>
        <w:ind w:left="0" w:firstLine="567"/>
        <w:jc w:val="both"/>
        <w:rPr>
          <w:rFonts w:ascii="Georgia" w:hAnsi="Georgia" w:cstheme="majorBidi"/>
          <w:b/>
          <w:i/>
          <w:lang w:val="sq-AL"/>
        </w:rPr>
      </w:pPr>
      <w:r w:rsidRPr="006871FF">
        <w:rPr>
          <w:rFonts w:ascii="Georgia" w:hAnsi="Georgia" w:cstheme="majorBidi"/>
          <w:b/>
          <w:i/>
          <w:lang w:val="sq-AL"/>
        </w:rPr>
        <w:t>në zyrat e shërbimeve informative</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Për shkak të informacionit të klasifikuar që përmbajnë zyrat e shërbimeve informative dhe për shkak të vështirësive të hasura gjatë zbatimit të ligjit procedural penal në marrjen a sekuestrimit të dokumenteve pranë tyre, gjithnjë në funksion të një procedimi penal, është parashikuar veçanërisht procedura e ndjekur për sekuestrimin pranë tyre.  Duke rikujtuar se sidoqoftë konfirmuar apo jo sekreti profesional apo dhe ai shtetëror, sekuestrimi i dokumentit kryhet kur vlerësohet se «[...] prova është thelbësore për zgjidhjen e çështjes [...]» (§2, neni 211 Kpp), në rastin e kërkesës për sekuestrimit të saj pranë zyrave të shërbimeve informative është gjykata – mbi kërkesën e prokurorit – që në arsyetimin e vendimit të sekuestrimit, [...] tregon në mënyrë të detajuar dokumentet, aktet ose sendet objekt sekuestrimi» (§1, neni 211/a Kpp).  Kur është rasti i sekuestrimit të provave, në përmbajtje të të cilëve ka mundësi të jenë edhe të dhëna që nuk lidhen me procedimin penal në fjalë, është gjykata gjithashtu që në vendimin e saj «[...] autorizon prokurorin për shqyrtimin e dokumenteve, akteve dhe sendeve që duhet të sekuestrohen [...]» (§2, neni 211/a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Ndërsa kur në dispozicion të prokurorit nga zyra e shërbimit informativ vihen në dispozicion të shqyrtimit dhe sekuestrimit të paplota – që në mënyrë të arsyeshme është rasti i moszbatimit të vendimit gjyqësor dhe përpara se të bien mbi autorin sanksionet e këtij përcaktimi – «gjykata – mbi bazën e njoftimit të prokurorit – informon organin kompetent, i cili disponon dhënien e dokumenteve, akteve apo sendeve të tjera, ose konfirmon mungesën e tyre» (§3, neni 211/a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 xml:space="preserve">Në rastin kur gjykata ka vendosur për sekuestrimin e një «[...] akti ose sendi të krijuar nga një shërbim informativ i huaj, i dhënë me kushtin e mospërhapjes së tij [...] » (§4, neni 211/a Kpp) si shqyrtimi nga prokuroi ashtu dhe zbatimi i sekuestrimit të tij pezullohet.  Fillon për këtë aktivizimi i organit kompetent që është i detyruar ti kërkojë autoritetit përkatës të huaj që të heqë ruajtjen e mëtejshme të sekretit.  Gjithsesi sidoqoftë përgjigja nga </w:t>
      </w:r>
      <w:r w:rsidRPr="006871FF">
        <w:rPr>
          <w:rFonts w:ascii="Georgia" w:hAnsi="Georgia" w:cstheme="majorBidi"/>
          <w:lang w:val="sq-AL"/>
        </w:rPr>
        <w:lastRenderedPageBreak/>
        <w:t>autoritetit i huaj, ai vendas brenda 60 ditëve «[...] autorizon dhënien e dokumentit, aktit ose sendit ose konfirmon nevojën e ruajtjes së sekretit shtetëror » (§4, neni 211/a Kpp).  Ndërsa kur autoriteti vendas nuk shprehet brenda këtij afati si dhe kur «[...] prova është thelbësore për zgjidhjen e çështjes [...]» (§2, nën 211 Kpp) pavarësisht se është konfirmuar nevoja e ruajtjes së sekretit, «gjykata urdhëron marrjen e dokumentit» (§5, neni 211/a &amp; §2, neni 211 Kpp).</w:t>
      </w:r>
    </w:p>
    <w:p w:rsidR="006C2B89" w:rsidRPr="006871FF" w:rsidRDefault="006C2B89" w:rsidP="00AB321B">
      <w:pPr>
        <w:pStyle w:val="NoSpacing"/>
        <w:numPr>
          <w:ilvl w:val="0"/>
          <w:numId w:val="28"/>
        </w:numPr>
        <w:tabs>
          <w:tab w:val="left" w:pos="1134"/>
        </w:tabs>
        <w:ind w:left="0" w:firstLine="567"/>
        <w:rPr>
          <w:rFonts w:ascii="Georgia" w:hAnsi="Georgia" w:cstheme="majorBidi"/>
          <w:b/>
          <w:i/>
          <w:lang w:val="sq-AL"/>
        </w:rPr>
      </w:pPr>
      <w:r w:rsidRPr="006871FF">
        <w:rPr>
          <w:rFonts w:ascii="Georgia" w:hAnsi="Georgia" w:cstheme="majorBidi"/>
          <w:b/>
          <w:bCs/>
          <w:i/>
          <w:lang w:val="sq-AL"/>
        </w:rPr>
        <w:t>veprimi apo dokumenti i sekuestruar</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Ndërsa mbrojtësi, për marrjen e kopjes së procesverbalit të sekuestrimit, shfrytëzon të drejtën e marrjes në sekretarinë e prokurorit, të kopjes së procesverbalit së çdo veprimi që përmbush ai apo pol.gjyq. (§2, neni 309 Kpp), sepse – përjashtuar rastin e hapjes së menjëhershme të plikos të autorizuar nga prokurori (neni 302 Kpp) – atij i njihet e drejta për të asistuar në ekzekutimin e sekuestrimit, personi ose zyra pranë të cilit është ekzekutuar sekuestrimi ka të drejtë në çdo rast, të ketë një kopje të procesverbalit të sekuestrimit (§2, neni 213 Kpp).  Sigurisht një masë kjo e vendosur për të kontrolluar ligjshmërinë e veprimit dhe për të garantuar të drejtën e mbrojtjes së atij, sendet e të cilit, gjykata apo prokurori i ka ndryshuar, pezulluar apo penguar posedimin dhe disponimin e lirë, por që nuk lidhet me vlefshmërinë apo jo të sekuestros në procedimin konkret.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Parimisht organi që procedon në sekuestro, mban në këtë status, veprimin apo dokumentin në origjinal.  Nevoja të aktivitetit në administratën publike dhe shoqëritë private që zhvillohen nëpërmjet lëvizjes apo të transferimit të dokumenteve, kanë nxitur ligjvënësin të parashikojë ‘çlirimin’ apo ‘dublimin’ e veprimeve dhe dokumenteve, të cilat nga organi që procedon, sekuestrohen për nevoja provuese të procedimit penal.  Kështu organi që procedon, është i autorizuar dhe njëkohësisht i detyruar, që të lëshojë për të interesuarit, kopje të vërtetuara të dokumentit origjinal, që të sekuestruar mban.  Në varësi të nevojës, nëse duhet apo jo të mbahen, – vlerësim të cilin e bën organi që sekuestron ka vendosur mbi dokumentin, – ai pasi nxjerr kopje të veprimit apo dokumentit të sekuestruar të cilën e mban vetë, i kthen origjinalin personit apo zyrës pranë së cilës është sekuestruar veprimi apo dokumenti.  Po ashtu, në varësi të nevojës, nëse duhet apo jo të mbahet, organi që procedon mban të gjithë vëllimin apo regjistrin me të cilin është i pandashëm dokumenti i sekuestruar, duke u detyruar të lëshojë për të gjithë vëllimin apo regjistrin kopje, ekstrakte ose vërtetime të interesuarve.  Ndërkohë që po ashtu, organi që procedon, mund të nxjerrë kopje të veprimit apo dokumentit mbi të cilin bie sekuestro, të cilat vetë ai i mban, duke i kthyer vëllimin apo regjistrin, personit apo zyrës pranë së cilës veprimi apo dokumenti i pamundur për t’u ndarë nga vëllimi apo regjistri, është sekuestruar (§3, neni 213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Ekzekutimi i sekuestros mbi veprimin apo dokumentin, pasi ai bëhet pjesë e fashikullit me të drejtë-detyrimin për të lëshuar kopje të tij apo kthimin e origjinalit, duke mbajtur për këtë kopje të tij, përcaktohet sipas fazës së procedimit, nga ai që nën posedimin faktik të të cilit ndodhet fashikulli.  Kështu është prokurori në fazën e hetimeve paraprake dhe gjykata në fazën e shqyrtimit gjyqësor, sipas asaj në të cilën shkallë ndodhet procesi.</w:t>
      </w:r>
    </w:p>
    <w:p w:rsidR="006C2B89" w:rsidRPr="006871FF" w:rsidRDefault="006C2B89" w:rsidP="00AB321B">
      <w:pPr>
        <w:pStyle w:val="NoSpacing"/>
        <w:numPr>
          <w:ilvl w:val="0"/>
          <w:numId w:val="28"/>
        </w:numPr>
        <w:tabs>
          <w:tab w:val="left" w:pos="1134"/>
        </w:tabs>
        <w:ind w:left="0" w:firstLine="567"/>
        <w:jc w:val="both"/>
        <w:rPr>
          <w:rFonts w:ascii="Georgia" w:hAnsi="Georgia" w:cstheme="majorBidi"/>
          <w:b/>
          <w:i/>
          <w:lang w:val="sq-AL"/>
        </w:rPr>
      </w:pPr>
      <w:r w:rsidRPr="006871FF">
        <w:rPr>
          <w:rFonts w:ascii="Georgia" w:hAnsi="Georgia" w:cstheme="majorBidi"/>
          <w:b/>
          <w:i/>
          <w:lang w:val="sq-AL"/>
        </w:rPr>
        <w:t>ruajtja</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Parimisht sendet e sekuestruara lihen në ruajtje në sekretarinë e prokurorit, kur është fjala për ato të sekuestruara gjatë hetimit paraprak dhe në kancelarinë e gjykatës, kur është rasti i sekuestrimit të sendit përgjatë procesit të themelit (§1, neni 214 Kpp).  Pastaj në varësi të llojit të sendit të luajtshëm apo paluajtshëm dhe cilësive kimike-organike-fizike të tij, nga ku për shembull sendi i paluajtshëm është e pamundur të lihet në ruajtje në sekretari apo kancelari, pikërisht për shkak të pamundësisë për t’u lëvizur apo një send me cilësi shpërthyese nuk është e përshtatshme të lihet në ruajtje në sekretarinë apo kancelarinë e organit që ka sekuestruar atë, sendi lihet në ruajtje në një vend të ndryshëm nga sekretaria apo kancelaria.  Përcaktimi i vendit të ruajtjes, i ndryshëm nga ai i sekretarisë apo kancelarisë, detyron gjithashtu organin që procedon të përcaktojë edhe mënyrën e ruajtjes si dhe personin konkret të ngarkuar për të realizuar atë.</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 xml:space="preserve">Formohet në këtë rast një lloj situate e ngjashme me atë të kontratës së depozitës (neni 982 kCivil) e cila nuk përjashton dhe mundësinë e pagimit të ndonjë shume për ruajtësin, nga ku gjatë veprimit të dorëzimit të sendit, ruajtësi i caktuar paralajmërohet për detyrimin që ka për ruajtjen e sendit si dhe për detyrimin që ka për ta paraqitur atë sa herë dhe kurdo </w:t>
      </w:r>
      <w:r w:rsidRPr="006871FF">
        <w:rPr>
          <w:rFonts w:ascii="Georgia" w:hAnsi="Georgia" w:cstheme="majorBidi"/>
          <w:lang w:val="sq-AL"/>
        </w:rPr>
        <w:lastRenderedPageBreak/>
        <w:t>herë që kjo i kërkohet nga organi që atij ja lë në ruajtje (§2, neni 214 Kpp).  Veprimtaria dorëzuese materializohet në proces verbal, i aftë për të provuar detyrimin përkatës të ruajtësit.  Ligja parashikon gjithashtu dhe detyrimin e organit që procedon në dorëzimin e sendit për t’i bërë me dije ruajtësit të ngarkuar «[...] dënimin e parashikuar nga ligji penal për atë që shkel detyrimin e ruajtjes [...]» (§2, neni 214 Kpp), siç mund të jetë për shembull ‘</w:t>
      </w:r>
      <w:r w:rsidRPr="006871FF">
        <w:rPr>
          <w:rFonts w:ascii="Georgia" w:hAnsi="Georgia" w:cstheme="majorBidi"/>
          <w:bCs/>
          <w:lang w:val="sq-AL"/>
        </w:rPr>
        <w:t>Vjedhja e kryer duke shpërdoruar detyrën</w:t>
      </w:r>
      <w:r w:rsidRPr="006871FF">
        <w:rPr>
          <w:rFonts w:ascii="Georgia" w:hAnsi="Georgia" w:cstheme="majorBidi"/>
          <w:lang w:val="sq-AL"/>
        </w:rPr>
        <w:t>’ «[…] e kryer nga personi, që ka për detyrë ta ruajë […]» (neni 135 kPenal) apo ‘Falsifikimi kompjuterik’ «[…] kur kjo vepër kryhet nga personi, që ka për detyrë ruajtjen […]» (neni 186/a kPenal).</w:t>
      </w:r>
    </w:p>
    <w:p w:rsidR="006C2B89" w:rsidRPr="006871FF" w:rsidRDefault="006C2B89" w:rsidP="00AB321B">
      <w:pPr>
        <w:pStyle w:val="NoSpacing"/>
        <w:numPr>
          <w:ilvl w:val="0"/>
          <w:numId w:val="28"/>
        </w:numPr>
        <w:tabs>
          <w:tab w:val="left" w:pos="1134"/>
        </w:tabs>
        <w:ind w:left="0" w:firstLine="567"/>
        <w:rPr>
          <w:rFonts w:ascii="Georgia" w:hAnsi="Georgia" w:cstheme="majorBidi"/>
          <w:b/>
          <w:i/>
          <w:lang w:val="sq-AL"/>
        </w:rPr>
      </w:pPr>
      <w:r w:rsidRPr="006871FF">
        <w:rPr>
          <w:rFonts w:ascii="Georgia" w:hAnsi="Georgia" w:cstheme="majorBidi"/>
          <w:b/>
          <w:i/>
          <w:lang w:val="sq-AL"/>
        </w:rPr>
        <w:t>vulosja</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Për sendet e sekuestruara që nuk ndryshojnë apo nuk prishen, pasi përcaktohet vendi i ruajtjes fizike apo materiale e sendit, §1, neni 215 Kpp përcakton edhe mënyrën e ruajtjes simbolike të tyre, me qëllimin për të ruajtur kështu gjendjen e fillimit të sendit dhe shmangur ndryshimin e manipuluar apo të qëllimshëm.  Kështu organi që procedon është i detyruar që sendit të kudo-ndodhur apo kudo-lënë për ruajtje, në varësi të natyrës së tij, t’i vendosë vulën e organit apo t’i vendosë mjete të tjera të përshtatshme, si kartelë, afishim apo shirita në hyrje apo përreth, që sidoqoftë të tregojnë se ai ruhet për nevoja të drejtësisë, çka devijon vënien dorë apo ndërhyrjen me çfarëdolloj titulli mbi sendin e sekuestruar.</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Në rastet kur është e nevojshme të kryhet ndonjë veprim procedural me sendin, nëpërmjet sendit apo në sendin e sekuestruar, siç mund të jetë shqyrtimi, verifikimi, krahasimi apo të tjera të ngjashme për qëllime të provës apo sidoqoftë të procedimit në përgjithësi, organi që procedon duhet së pari «[...] të verifikojë nëse janë cenuar apo jo [...]» (neni 216 Kpp) vulat apo mjeti tjetër i vendosur që tregon se sendi ruhet për nevoja të drejtësisë’.  Nëse nga verifikimi konstatohen ndryshime, sidoqoftë ato dokumentohen në një procesverbal, i cili së paku provon mos përmbushjen e detyrimit të ruajtësit të sendit.  Pas heqjes së vulës apo mjetit që tregon se sendi ruhet dhe përmbushet veprimtaria për të cilën ato u hoqën, vula apo mjeti tregues i ruajtjes vihet përsëri duke shënuar po ashtu përkrah dhe datën në të cilën u krye veprimi.</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Organi që procedon është i detyruar dhe për këtë «[...] nxjerr kopje të dokumenteve dhe fotografi ose riprodhime të tjera - për të ruajtur kështu së paku në pasqyrim, gjendjen e parë apo të fillimit - të sendeve të sekuestruara që mund të ndryshojnë ose që ruhen me vështirësi [...]» (§2, neni 215 Kpp).  Mbasi një veprimtari e tillë ka përfunduar të njëjtat veprime që vërtetojnë kopjen, fotografinë apo riprodhimin, i bashkon veprimeve të tjera të fashikullit dhe ruhen njësoj si vetë sendi i sekuestruar në sekretari apo kancelari.  Po ashtu, sipas rastit, llojit e natyrës së sendit, vetë sendi i sekuestruar që ka rrezik të prishet apo ndryshojë, tjetërsohet apo asgjësohet (§3, neni 215 Kpp).  Gjithashtu në ruajtjen e sendeve të sekuestruara kihet parasysh edhe disponimi – siç është përmendur më sipër – i nenit 189 Kpp, lidhur me marrjen, që njëlloj është sekuestro e provave materiale.</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Kur për sendet janë nxjerrë kopje të dokumenteve dhe fotografi ose riprodhime të tjera dhe ato janë të ndaluara për t’u prodhuar, zotëruar, mbajtur apo tregtuar dhe përveçse janë të vështira për tu ruajtur por edhe veçanërisht të kushtueshme ose përbëjnë rrezik për sigurinë, shëndetin apo higjienën publike – gjykata me kërkesë të prokurorit – urdhëron «[...] asgjësimin [...] – dhe – marrjen e kampionëve dhe ruajtjen e tyre për qëllime të procedimit [...]» (§4, neni 215 Kpp).  Në asgjësimin e sendit mbrojtësi ka të drejtën të lajmërohet 24 orë përpara, mosparaqitja sidoqoftë e tij nuk pengon marrjen e kampioneve dhe ruajtjen e tyre për qëllime të procedimit (§4, neni 215 Kpp), duke i siguruara gjithsesi të drejtën që të «[...] shqyrtojë dhe të nxjerrë kopje [...]» (§3, neni 309 Kpp) të procesverbalit të ekzekutimit të asgjësimit, si veprim ku ai ka të drejtën të asistojë.</w:t>
      </w:r>
    </w:p>
    <w:p w:rsidR="006C2B89" w:rsidRPr="006871FF" w:rsidRDefault="006C2B89" w:rsidP="00AB321B">
      <w:pPr>
        <w:pStyle w:val="NoSpacing"/>
        <w:numPr>
          <w:ilvl w:val="0"/>
          <w:numId w:val="28"/>
        </w:numPr>
        <w:tabs>
          <w:tab w:val="left" w:pos="1134"/>
        </w:tabs>
        <w:ind w:left="0" w:firstLine="567"/>
        <w:jc w:val="both"/>
        <w:rPr>
          <w:rFonts w:ascii="Georgia" w:hAnsi="Georgia" w:cstheme="majorBidi"/>
          <w:b/>
          <w:i/>
          <w:lang w:val="sq-AL"/>
        </w:rPr>
      </w:pPr>
      <w:r w:rsidRPr="006871FF">
        <w:rPr>
          <w:rFonts w:ascii="Georgia" w:hAnsi="Georgia" w:cstheme="majorBidi"/>
          <w:b/>
          <w:i/>
          <w:lang w:val="sq-AL"/>
        </w:rPr>
        <w:t>kthimi</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Është e qartë se sekuestro provuese është e përkohshme dhe kënaq vetëm interesa të procedimit penal që lidhen me provën, për këtë, me rënien e shkakut, pra kur nuk është e nevojshme mbajtja e sekuestros, sendi provë materiale i sekuestruar «[...] i kthehen atij që i takojnë edhe para se të merret vendimi përfundimtar [...]» (§1, neni 217 Kpp).  Ndërsa me normimin se «[...] sendet e sekuestruara i kthehen atij që i takojnë, përveç rasteve kur vendoset konfiskimi [...]» (§3, neni 217 Kpp), rezulton se mund të kthehen ato sende provë materiale që nuk janë të kryerjes dhe produkt i veprës penale siç çdo lloj pasurie, si dhe dokumentet ose instrumentet ligjore që vërtetojnë tituj ose interesa të tjerë në pasurinë që rrjedh ose fitohet drejtpërdrejt ose tërthorazi nga kryerja e veprës penale;  shpërblimet, të dhëna ose të premtuara, për kryerjen e veprës penale;  të çdo pasurie tjetër, vlera e së cilës i korrespondon asaj të produkteve të veprës penale;  të sendeve, prodhimi, përdorimi, mbajtja ose tjetërsimi i të cilave përbëjnë vepër penale, janë transformuar ose shndërruar pjesërisht ose plotësisht në pasuri të tjera, të bashkuar me pasuri të fituara në rrugë të ligjshme, deri në vlerën e produkteve të veprës penale, të ardhurat ose përfitimet e tjera nga produktet e veprës penale, nga pasuritë në të cilat janë transformuar ose shndërruar produktet e veprës penale ose nga pasuritë me të cilat janë përzier këto produkte, në të njëjtën masë dhe mënyrë sikurse produktet e veprës penale (neni 36 kPenal).</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Kjo do të thotë se si prokurori ashtu dhe gjykata që disponojnë sekuestrimin, mund të vendosin për heqjen e sekuestros dhe kthimin e sendit të sekuestruar për qëllime prove.  Kështu nëse nuk është e nevojshme që më tej të mbahet sekuestrimi, përgjatë fazës së procesit, kthimi i sendeve të sekuestruara urdhërohet nga gjykata dhe gjatë hetimeve paraprake, kthimi i sendeve të sekuestruara urdhërohet nga prokurori (§3, neni 218 Kpp).  Ndaj vendimit të prokurorit që ka urdhëruar kthimin e sendit të interesuarit mund të bëjnë ankim në gjykatë, për disponimin e së cilës nuk është parashikuar më tej ndonjë mjet ankimi, për shkak se ai është një disponim i llojit urdhër që nuk mund të referohet në nenin 422 Kpp dhe ligji nuk parashikon as se mund të ankohet dhe as mjetin e ankimit (§1, neni 407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Megjithatë, në rastet kur kthimi i sendit apo heqja e sekuestros bëhet përpara shpalljes së vendimit përfundimtar, organi që e urdhëron atë, mund t’i kërkojë atij që sendet i kthehen, të ofrojë një mjet të përshtatshëm ligjor, siç peng, dorëzani, kapar apo hipotekë, për të garantuar detyrimin e kthimit të sendit si dhe të kthejë sendet, nëse prania e sendit do të jetë përsëri e nevojshme për procedimin që ende me vendim nuk është përfunduar.  Kjo sepse edhe pas kthimit të sendit të sekuestruar, organit që procedon i njihet e drejta të urdhërojë që të sillen sendet e kthyera (§1, neni 217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Mirëpo, ende pa vendosur kthimin e sendeve për të cilat nuk është me e nevojshme të mbahet sekuestro, prokurori mund t’i kërkojë gjykatës që sekuestro provuese të shndërrohet, sipas rastit në sekuestro konservative, për të siguruar pagimin e dënimit me gjobë, të shpenzimeve të procedimit dhe të çdo detyrimi ndaj pasurisë së shtetit (§1, neni 270 Kpp) apo për të garantuar padinë civile (§2, neni 217 Kpp) si dhe në sekuestro preventive, kur disponimi i lirë i një sendi që lidhet me veprën penale mund të rëndojë ose të zgjasë pasojat e saj apo të lehtësojë kryerjen e veprave të tjera penale (§2, neni 274 Kpp).  Nga vetë kushtet e shndërrimit të sekuestros provuese, kuptohet se ajo preventive mund të kryhet edhe përgjatë fazës së hetimit paraprak, ndërsa ajo konservative, sepse mund ta kërkojë edhe pala që të tillë ka vetëm në proces, përmbushet përgjatë procesit.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Nëse nuk është vendosur kthimi i sendeve të sekuestruara deri në përfundim të procesit – siç zakonisht ndodh – sendet e sekuestruara për qëllim prove i kthehen atij që i takojnë (§3, neni 217 Kpp), duke kuptuar se ‘i takojnë’, përkatësinë ligjore apo një titull të aftë mbi pronësinë apo posedimin.  Këtu përsëri bëhet një përjashtim që lidhet me konfiskimin, i cili sepse është një dënim plotësues (§2, neni 30 kPenal), ka përparësi mbi të drejtën e kthimit të atij sendi, mbi të cilin ka rënë sekuestro provuese.  Për këtë fillimisht, përpara se të vendoset kthimi i sendeve apo heqja e sekuestros, gjykata është e detyruar të konsiderojë mundësinë e konfiskimit, veçanërisht të parashikuar mbi disponimin e provave materiale (shkronja ‘a’, §1, neni 190 Kpp), nga ku sendet që kanë shërbyer ose ishin caktuar si mjet për kryerjen e veprës penale dhe sendet që përbëjnë përfitimin e nxjerrë nga ajo ose shpërblimin e dhënë a të premtuar për kryerjen e saj, merren dhe i kalojnë shtetit’.  Pastaj sepse është fjala për një dënim penal, konfiskimi bie mbi autorin e veprës penale dhe mbi pasurinë e tij.  Për çka është e pamjaftueshme vetëm ekzistenca apo qenia mjet i kryerjes se veprës penale apo produkt i saj pa praninë edhe të raportit të pronësisë a posedimit të pandehurit mbi to, për këtë jashtë mundësisë së konfiskimit të pronës së një të treti, të cilit i mungon lidhja me veprën penale e që nuk mund të ndëshkohet me dënim plotësues.  Si shembull i zakonshëm, jepet rasti i vjedhjes së automjetit dhe kryerja me të e krimit të trafikimit.  Kështu, sepse pronarit të automjetit i mungon ‘lidhja’ me krimin e trafikimit, automjeti edhe pse është mjeti i kryerjes së veprës penale nuk konfiskohet e për këtë i kthehet pronarit.  Ndërsa kur mjeti, sidoqoftë i është dhënë me çfarëdolloj titulli nga pronari personit që kryen veprën penale të trafikimit, sepse verifikohet ‘lidhja’ me veprën penale nëpërmjet titullit që ai ja ka dhënë autorit të kryerjes së saj, automjeti konfiskohet.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Pas përcaktimit të panevojshmërisë së mbajtjes së sekuestros, çka arsyeshëm vjen pas përfundimit të gjykimit në shkallë të parë dhe gjithnjë nëse nuk është evidentuar së paku njëri nga tre rastet: dënimi plotësues i konfiskimit, shndërrimi në sekuestro konservative apo ai në preventive, gjykata vendos kthimin e sendeve të sekuestruara për qëllim prove, apo ato sende që kanë provuar, kur nuk ka dyshim për përkatësinë e tyre (§1, neni 218 Kpp).  Përkatësia e sendit i referohet titullit të pronësisë, i qartë dhe i padyshimtë që si i tillë duhet të verifikohet nga ajo.  Gjithashtu gjykata duhet të mbajë parasysh së sendet, mbajtja ose qarkullimi i të cilave është i ndaluar, u dorëzohen enteve përkatëse ose zhduken, si dhe atë që sendet që nuk kanë asnjë vlerë zhduken (shkronja ‘b’ &amp; ‘c’, §1, neni 190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Nëse sendi është sekuestruar pranë një të treti, pra jo tek i pandehuri dhe për sendin, ngrihet pretendimi i pronësisë së një personi të ndryshëm apo tjetër, qoftë edhe nëse pronësia mbi sendin është krejt e qartë në favor të tij, kthimi i sendit nuk mund të vendoset në dobi të tjetrit, pa u dëgjuar i treti pranë të cilit është sekuestruar sendi.  Për këtë, gjykata me t’u njohur me pretendimin e ‘të tjerëve’ është e detyruar të thërrasë për t’u dëgjuar rreth pronësisë së sendit edhe të tretin pranë të cilit është ekzekutuar sekuestro provuese.  Përputhet në këtë rast situata me normimin se «[...] kur ka konflikt për pronësinë e sendeve, ato ruhen gjersa ai të zgjidhet nga gjykata» (shkronja ‘ç’, §1, neni 190 Kpp).  Më tej duke ditur se procesi penal vazhdon rrugën e tij drejt vendimit të formës së prerë, është e arsyeshme të kuptohet se në këtë rast, konfliktit i dalë mbi pronësinë e sendit ndërmjet personit të tretë pranë të cilit është sekuestruar sendi dhe atij që pretendon pronësinë e sendit, nuk mund të mbajë peng vazhdimin e procesit penal, çka lejon gjykatën penale ta transferojë konfliktin, tashmë krejtësisht civil, në gjykatën që mban gjyqësinë apo juridiksionin civil, gjithsesi pa hequr sekuestron mbi sendin.</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Ndërsa mund të kundërshtohet urdhri i prokurorit që vendos kthimin e sendit që ishte sekuestruar për efekt provues (§3, neni 218 Kpp), sepse mund të vlerësohen nga gjykata nevoja që lidhen me transformimin e sekuestros provuese në atë konservative, nuk ushtrohet ankim ndaj qëndrimit pasiv të prokurorit që refuzon kërkesën për kthimit të sendeve të sekuestruara, sepse ligjvënësi qëllimisht nuk disiplinon një gjë të tillë, pasi gjatë hetimit paraprak ja lë tërësisht prokurorit vlerësimin e oportunitetit të nevojës së mbajtjes së sekuestros provuese.</w:t>
      </w:r>
    </w:p>
    <w:p w:rsidR="006C2B89" w:rsidRPr="006871FF" w:rsidRDefault="006C2B89" w:rsidP="008102BA">
      <w:pPr>
        <w:pStyle w:val="NoSpacing"/>
        <w:tabs>
          <w:tab w:val="left" w:pos="0"/>
        </w:tabs>
        <w:ind w:firstLine="567"/>
        <w:jc w:val="both"/>
        <w:rPr>
          <w:rFonts w:ascii="Georgia" w:hAnsi="Georgia" w:cstheme="majorBidi"/>
          <w:lang w:val="sq-AL"/>
        </w:rPr>
      </w:pPr>
      <w:r w:rsidRPr="006871FF">
        <w:rPr>
          <w:rFonts w:ascii="Georgia" w:hAnsi="Georgia" w:cstheme="majorBidi"/>
          <w:lang w:val="sq-AL"/>
        </w:rPr>
        <w:t>Paragrafi 1, neni 218, parashikon mundësinë e kthimit të sendeve të sekuestruara kur nuk ka dyshim për përkatësinë e tyre.  Në të kundërt, vetëkuptohet se kur qëndron dyshimi, ato nuk kthehen.  Është pikërisht kjo kategori e sendeve që janë sekuestruar për qëllim provues, për të cilët disiplinon neni 219 Kpp.  Kështu nëse pas një viti nga dita që vendimi ka marrë formë të prerë, gjykata tashmë ajo e ek</w:t>
      </w:r>
      <w:r w:rsidR="008102BA" w:rsidRPr="006871FF">
        <w:rPr>
          <w:rFonts w:ascii="Georgia" w:hAnsi="Georgia" w:cstheme="majorBidi"/>
          <w:lang w:val="sq-AL"/>
        </w:rPr>
        <w:t xml:space="preserve">zekutimit të vendimit, urdhëron </w:t>
      </w:r>
      <w:r w:rsidRPr="006871FF">
        <w:rPr>
          <w:rFonts w:ascii="Georgia" w:hAnsi="Georgia" w:cstheme="majorBidi"/>
          <w:lang w:val="sq-AL"/>
        </w:rPr>
        <w:t>që paratë dhe letrat me vlerë të depozitohen në bankë, në një llogari të veçantë.  Ndërsa kur është fjala për sende të tjera urdhëron shitjen e tyre.  Nëse për sendin ka interes shkencor, apo ai mbart vlera arti, urdhërohet kalimi i tij në institucionet përkatëse.  Ky afat nuk respektohet dhe për këtë sendet që kërkojnë shpenzime të mëdha për ruajtjen e tyre apo ato që prishen shiten.  Sidoqoftë shuma e fituar nga shitja derdhet në bankë, në një llogari të veçantë, për të cilën ligjvënësi nuk ka përcaktuar destinacionin.</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Pikërisht nëpërmjet sekuestros konservative mbi sendin, ligjvënësi edhe pse përcakton se shpenzimet që nevojiten për ruajtjen e sendeve të sekuestruara përballohen nga shteti (neni 220 Kpp) siguron këtë kreditim, duke pasur preferenca ndaj çdo kreditori tjetër për shumat e depozituara nga sendet dhe vlerat e pakthyera.  Prandaj është e rëndësishme që prokurori të jetë gjithnjë i vëmendshëm për të kërkuar nga gjykata, ende pa u kthyer sendet që të transformojë sekuestron provuese në sekuestro konservative (§1, neni 270 Kpp).</w:t>
      </w:r>
    </w:p>
    <w:p w:rsidR="006C2B89" w:rsidRPr="006871FF" w:rsidRDefault="006C2B89" w:rsidP="00710C8A">
      <w:pPr>
        <w:pStyle w:val="NoSpacing"/>
        <w:tabs>
          <w:tab w:val="left" w:pos="0"/>
        </w:tabs>
        <w:jc w:val="center"/>
        <w:rPr>
          <w:rFonts w:ascii="Georgia" w:hAnsi="Georgia" w:cstheme="majorBidi"/>
          <w:b/>
          <w:lang w:val="sq-AL"/>
        </w:rPr>
      </w:pPr>
      <w:r w:rsidRPr="006871FF">
        <w:rPr>
          <w:rFonts w:ascii="Georgia" w:hAnsi="Georgia" w:cstheme="majorBidi"/>
          <w:b/>
          <w:lang w:val="sq-AL"/>
        </w:rPr>
        <w:t>Përgjimet</w:t>
      </w:r>
    </w:p>
    <w:p w:rsidR="006C2B89" w:rsidRPr="006871FF" w:rsidRDefault="006C2B89" w:rsidP="00AB321B">
      <w:pPr>
        <w:pStyle w:val="NoSpacing"/>
        <w:numPr>
          <w:ilvl w:val="0"/>
          <w:numId w:val="29"/>
        </w:numPr>
        <w:tabs>
          <w:tab w:val="left" w:pos="1134"/>
        </w:tabs>
        <w:ind w:left="0" w:firstLine="567"/>
        <w:jc w:val="both"/>
        <w:rPr>
          <w:rFonts w:ascii="Georgia" w:hAnsi="Georgia" w:cstheme="majorBidi"/>
          <w:b/>
          <w:i/>
          <w:lang w:val="sq-AL"/>
        </w:rPr>
      </w:pPr>
      <w:r w:rsidRPr="006871FF">
        <w:rPr>
          <w:rFonts w:ascii="Georgia" w:hAnsi="Georgia" w:cstheme="majorBidi"/>
          <w:b/>
          <w:i/>
          <w:lang w:val="sq-AL"/>
        </w:rPr>
        <w:t>përgjimi &amp; komunikimi</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Edhe përgjimi është një mjet i kërkimit të provës, siç dhe ‘këqyrja’, ‘kontrolli’ dhe ‘sekuestro’, nëpërmjet apo me anën e të cilit, në mënyrë të fshehtë apo tinëzare, merret apo përfitohet, njohja e komunikimit, i kujtdo lloji, forme apo mënyre qoftë ai, ndërmjet dy apo më shumë personave.  Duke ditur që «prova janë njoftimet mbi faktet e rrethanat [...]» (§1, neni 149 Kpp) lehtësisht deduktohet se pikërisht rezultati i regjistruar i përgjimit, pra njohja e komunikimit është provë, sepse është ajo që jep njohje mbi faktin.  Pastaj në vështrim të mënyrës së përfitimit të saj, po ashtu mund të nxirret se ‘rezultati’ i përgjimit është një provë tipike, qartësisht e rregulluar nga legjislacioni procedural penal siç dhe provat e tjera tipike dëshmia, ekspertimi edhe pse jo e radhitur siç ato, për shkak se nuk mund të merret në gjykim.</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Dhe kur flitet për ‘komunikime’, Kushtetuta disiplinon se «[...] fshehtësia e korrespondencës ose e çdo mjeti tjetër të komunikimit janë të garantuara» (neni 36 Kusht.), gjithnjë me rezervën se edhe ajo si të drejta  dhe liri të tjera të parashikuara në këtë Kushtetutë, mund të kufizohet «[...] vetëm me ligj për një interes publik ose për mbrojtjen e të drejtave të të tjerëve [...]» (§1, neni 17 Kusht.), kufizim që «[...] nuk mund të cenojnë thelbin e lirive dhe të të drejtave dhe në asnjë rast nuk mund të tejkalojnë kufizimet e parashikuara në KEDNjLTh» (§2, neni 17 Kusht.), bën që ligjvënësi të normojë mjaft kujdesshëm çdo devijim apo shmangie nga kjo ‘garanci’.  Kështu, në ndërthurje, apo duke përdorur shprehjen kushtetuese, përpjesëtueshëm (§1, neni 17 Kusht.) ndërmjet kërkesave që sigurojnë fshehtësinë e komunikimit dhe kështu të drejtën e privatësisë, me ato për njohjen e komunikimeve për nevoja të procedimit penal, si gjendje që dikton kufizimin, janë formuluar shmangie të fshehtësisë së komunikimit dhe të paprekshmërisë së banesës dhe të mjediseve që njësohen me të (neni 37 Kusht.) nën kufij rreptësishtë të përcaktuar.</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 xml:space="preserve">Sipas një regjimi ligjor të diferencuar, janë normuar nga ligjvënësi procedural penal për këtë, pa folur për përgjimin parandalues (§5, neni 221 Kpp), dy lloje të dallueshëm të përgjimit të komunikimeve, ai në </w:t>
      </w:r>
      <w:r w:rsidRPr="006871FF">
        <w:rPr>
          <w:rFonts w:ascii="Georgia" w:hAnsi="Georgia" w:cstheme="majorBidi"/>
          <w:i/>
          <w:lang w:val="sq-AL"/>
        </w:rPr>
        <w:t>vende private</w:t>
      </w:r>
      <w:r w:rsidRPr="006871FF">
        <w:rPr>
          <w:rFonts w:ascii="Georgia" w:hAnsi="Georgia" w:cstheme="majorBidi"/>
          <w:lang w:val="sq-AL"/>
        </w:rPr>
        <w:t xml:space="preserve">, që konsiston në:  –përgjimin e komunikimeve të një personi ose të një numri telefoni me telefon, faks, kompjuter ose me mjete të tjera të çdo lloji (§1, neni 221 Kpp); –përgjimin e fshehtë me mjete teknike i bisedave në vende private (§1, neni 221 Kpp);  –përgjimi me audio dhe video në vende private (§1, neni 221 Kpp);  –regjistrimi i numrave të telefonit, hyrës dhe dalës (§1, neni 221 Kpp);  dhe </w:t>
      </w:r>
      <w:r w:rsidRPr="006871FF">
        <w:rPr>
          <w:rFonts w:ascii="Georgia" w:hAnsi="Georgia" w:cstheme="majorBidi"/>
          <w:i/>
          <w:lang w:val="sq-AL"/>
        </w:rPr>
        <w:t>në vende publike</w:t>
      </w:r>
      <w:r w:rsidRPr="006871FF">
        <w:rPr>
          <w:rFonts w:ascii="Georgia" w:hAnsi="Georgia" w:cstheme="majorBidi"/>
          <w:lang w:val="sq-AL"/>
        </w:rPr>
        <w:t>, i cili konsiston në:  –regjistrimin e fshehtë fotografik, filmik ose me video të personave në vende publike (§2, neni 221 Kpp), i ashtu quajturi përgjim ambiental.</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Karakteristikë esenciale e ‘përgjimit’ është fshehtësia e përfitimit të njohjes së komunikimit në kushtet e padijenisë minimalisht të njërit prej komunikuesve.</w:t>
      </w:r>
      <w:r w:rsidRPr="006871FF">
        <w:rPr>
          <w:rStyle w:val="FootnoteReference"/>
          <w:rFonts w:ascii="Georgia" w:hAnsi="Georgia" w:cstheme="majorBidi"/>
          <w:lang w:val="sq-AL"/>
        </w:rPr>
        <w:footnoteReference w:id="32"/>
      </w:r>
      <w:r w:rsidRPr="006871FF">
        <w:rPr>
          <w:rFonts w:ascii="Georgia" w:hAnsi="Georgia" w:cstheme="majorBidi"/>
          <w:lang w:val="sq-AL"/>
        </w:rPr>
        <w:t xml:space="preserve">  Për këtë, veprimtaria apo akti/aktiviteti përgjues, rrjedhimisht karakterizohet edhe nga ‘befasia’ si dhe nga ‘papërsëritshmëria’, të vlefshme këto përgjatë fazës së hetimit paraprak, e shprehur në mënyrën e procedimit fshehtas, duke sakrifikuar privatësinë dhe paprekshmërinë e banesës, çka bëjnë që të drejtat e mbrojtjes të sigurohen jo përgjatë përmbushjes së veprimit, por pas përfundimit të tij.</w:t>
      </w:r>
      <w:r w:rsidRPr="006871FF">
        <w:rPr>
          <w:rStyle w:val="FootnoteReference"/>
          <w:rFonts w:ascii="Georgia" w:hAnsi="Georgia" w:cstheme="majorBidi"/>
          <w:lang w:val="sq-AL"/>
        </w:rPr>
        <w:footnoteReference w:id="33"/>
      </w:r>
      <w:r w:rsidRPr="006871FF">
        <w:rPr>
          <w:rFonts w:ascii="Georgia" w:hAnsi="Georgia" w:cstheme="majorBidi"/>
          <w:lang w:val="sq-AL"/>
        </w:rPr>
        <w:t xml:space="preserve">  Për këtë, mbrojtësi nuk ka të drejtë dhe nuk mund të asistojë apo të jetë i pranishëm në përmbushjen e aktivitetit përgjues dhe aq më tepër</w:t>
      </w:r>
      <w:r w:rsidRPr="006871FF">
        <w:rPr>
          <w:rFonts w:ascii="Georgia" w:hAnsi="Georgia" w:cstheme="majorBidi"/>
          <w:i/>
          <w:lang w:val="sq-AL"/>
        </w:rPr>
        <w:t>/a fortiori</w:t>
      </w:r>
      <w:r w:rsidRPr="006871FF">
        <w:rPr>
          <w:rFonts w:ascii="Georgia" w:hAnsi="Georgia" w:cstheme="majorBidi"/>
          <w:lang w:val="sq-AL"/>
        </w:rPr>
        <w:t xml:space="preserve"> të njoftohet paraprakisht apo gjatë përmbushjes së veprimit.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Sipas llojit të përgjimit, është normuar si garanci apo siguri themelore e mbrojtjes nga devijimet e mundshme, kompetenca e gjykatës për të lejuar, mbi bazën e kërkesës së prokurorit, përgjimin në vende private (§1, neni 222 Kpp), me mundësinë e disponimit edhe me iniciativë të prokurorit për lejim të përgjimit të komunikimit, «kur ka arsye të bazuara për të menduar se nga vonesa mund t’i vijë një dëm i rëndë hetimeve» (§2, neni 222 Kpp), gjithsesi me nevojën e kontrollit të domosdoshëm për vleftësim nga gjykata (§4, neni 222 Kpp).  Ndërsa, reduktohet niveli i sigurisë, kur është fjala për përgjimet ambientale (§2, neni 221 Kpp), nga ku pushteti, për të lejuar apo autorizuar përgjimin, i është atribuuar prokurorit (§8, neni 222 Kpp).  Dhe në nivel të një garancie të lartë është fakti se për të dyja llojet e përgjimit, pra kushdo qoftë ai, është absolutisht e ndaluar që pol.gjyq. të mund të kryejë a disponojë, sidoqoftë, me ndonjë formë të përgjimit të komunikimeve.</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 xml:space="preserve">Si garanci kufizuese e përgjimeve të komunikimeve – në vende private (§1, neni 221 Kpp) – janë normuar të dallueshëm </w:t>
      </w:r>
      <w:r w:rsidRPr="006871FF">
        <w:rPr>
          <w:rFonts w:ascii="Georgia" w:hAnsi="Georgia" w:cstheme="majorBidi"/>
          <w:i/>
          <w:lang w:val="sq-AL"/>
        </w:rPr>
        <w:t>objektivisht</w:t>
      </w:r>
      <w:r w:rsidRPr="006871FF">
        <w:rPr>
          <w:rFonts w:ascii="Georgia" w:hAnsi="Georgia" w:cstheme="majorBidi"/>
          <w:lang w:val="sq-AL"/>
        </w:rPr>
        <w:t xml:space="preserve"> rastet kur është fjala «për krimet e kryera me dashje, për të cilat parashikohet dënim me burgim jo më pak, në maksimum, se shtatë vjet» (shkronja ‘a’, §1, neni 221 Kpp);  «për çdo vepër penale me dashje kur kryhet me anën e mjeteve të telekomunikimit apo përdorimit të teknologjive informatike ose telematike» (shkronja ‘b’, neni 211 Kpp) &amp; për veprat penale të parashikuara nga shkronja ‘a’, §1, i nenit 75/a, të këtij Kodi» (shkronja ‘c’, neni 221 Kpp).  </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Ndërsa të dallueshëm, për nga</w:t>
      </w:r>
      <w:r w:rsidRPr="006871FF">
        <w:rPr>
          <w:rFonts w:ascii="Georgia" w:hAnsi="Georgia" w:cstheme="majorBidi"/>
          <w:i/>
          <w:lang w:val="sq-AL"/>
        </w:rPr>
        <w:t xml:space="preserve"> subjekti</w:t>
      </w:r>
      <w:r w:rsidRPr="006871FF">
        <w:rPr>
          <w:rFonts w:ascii="Georgia" w:hAnsi="Georgia" w:cstheme="majorBidi"/>
          <w:lang w:val="sq-AL"/>
        </w:rPr>
        <w:t xml:space="preserve"> mbi të cilin drejtohet përgjimi, normohen rastet kundër –të dyshuarit për kryerjen e një vepre penale (shkronja ‘a’, §3, neni 221 Kpp);  –personit që dyshohet se merr ose transmeton komunikime nga i dyshuari (shkronja ‘b’, §3, neni 221 Kpp);  –personit që merr pjesë në transaksione me të dyshuarin (shkronja ‘c’, §3, neni 221 Kpp) &amp; –personit, vëzhgimi i të cilit mund të çojë në zbulimin e vendndodhjes ose të identitetit të të dyshuarit (shkronja ‘ç’, §3, neni 221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Kështu, për shkak se përgjimi i referohet subjektit, në rast se ai – pas një autorizimit të vlefshëm të gjykatës është vendosur në përgjim – ndryshon, për shembull, numrin apo skedën e telefonit, është i panevojshëm një autorizim i ri i gjykatës.  Prokurori njësoj mund të procedojë në përgjim në numrin e ri të ndryshuar të të njëjtit subjekt.</w:t>
      </w:r>
      <w:r w:rsidRPr="006871FF">
        <w:rPr>
          <w:rStyle w:val="FootnoteReference"/>
          <w:rFonts w:ascii="Georgia" w:hAnsi="Georgia" w:cstheme="majorBidi"/>
          <w:lang w:val="sq-AL"/>
        </w:rPr>
        <w:footnoteReference w:id="34"/>
      </w:r>
      <w:r w:rsidRPr="006871FF">
        <w:rPr>
          <w:rFonts w:ascii="Georgia" w:hAnsi="Georgia" w:cstheme="majorBidi"/>
          <w:lang w:val="sq-AL"/>
        </w:rPr>
        <w:t xml:space="preserve">  Pastaj, përderisa garancitë e mbrojtjes shfaqen vetëm pas përfundimit të veprimtarisë përgjuese, ligjvënësi ka parë oportune të normojë, gjithsesi pa rrezikun se cenon ndonjë parim apo të drejtë, se ‘rezultati i përgjimit është i vlefshëm për të gjithë komunikuesit’, pavarësisht se autorizimi është dhënë kundër një tjetri subjekt (§4, neni 221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Ndërkohë si kufij, tregues të nevojave të procedimit penal, të lejimit të përgjimit, të cilat duhet të ekzistojnë që më parë se vetë kërkesa për përgjim, janë normuar: -‘domosdoshmëria për vazhdimin e hetimeve të filluara’ (§1, neni 222 Kpp) dhe ‘dyshimi i arsyeshëm i bazuar në prova’ (§1, neni 222 Kpp).  Nga çka del e qartë se përgjimi është i mundur të lejohet atëherë kur, është rasti i një vepre penale vazhduese ose i një procedimi të lidhur, në të cilin pritet apo është në vazhdim kryerja e një apo disa veprave të tjera penale.  Kjo sepse çfarë kuptimi dhe çfarë vlere do të kishte përgjimi, nëse për veprën aktualisht të kryer ekzistojnë apo ka prova, prova për kërkimin dhe gjetjen e të cilave, aktivizohet dhe vetë përgjimi.</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Të njëjtat kufizime parashikohen edhe për përgjimin ambiental (§2, neni 221 Kpp), të cilat i mbesin të vlerësohen nga prokurori që pa nevojën e gjykatës, ka autoritetin për t’i lejuar, por me ndryshmin se përgjimi ambiental autorizohet edhe për krimet e kryera me dashje, për të cilat parashikohet dënim me burgim jo më pak, në maksimum, se tre vjet, që për këtë, më pak të rëndësishme të mirën ligjore, që cenojnë (§2, neni 221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Në tërësinë e tyre, kufizimet e përmendura janë të tilla që jo vetëm mund ta klasifikojnë përgjimin si mjetin më të sofistikuar të kërkimit të provës, por edhe që përmbushja e tyre kërkon një përgatitje të lartë profesionale, nga operatorë në procedimin konkret penal.</w:t>
      </w:r>
    </w:p>
    <w:p w:rsidR="008102BA" w:rsidRPr="006871FF" w:rsidRDefault="006C2B89" w:rsidP="004E3969">
      <w:pPr>
        <w:pStyle w:val="NoSpacing"/>
        <w:tabs>
          <w:tab w:val="left" w:pos="0"/>
        </w:tabs>
        <w:ind w:firstLine="567"/>
        <w:jc w:val="both"/>
        <w:rPr>
          <w:rFonts w:ascii="Georgia" w:hAnsi="Georgia" w:cstheme="majorBidi"/>
          <w:lang w:val="sq-AL"/>
        </w:rPr>
      </w:pPr>
      <w:r w:rsidRPr="006871FF">
        <w:rPr>
          <w:rFonts w:ascii="Georgia" w:hAnsi="Georgia" w:cstheme="majorBidi"/>
          <w:lang w:val="sq-AL"/>
        </w:rPr>
        <w:t>Nuk mund të lihet pa përmendur, së paku për të bërë dallimin, disiplinimi se «përgjimi parandalues rregullohet me ligj të veçantë.  Rezultatet e tij nuk mund të përdoren si provë» (§5, neni 221 Kpp).  Ky normim përveçse në terma të përgjithshëm shfaq karakteristikën e përgjimit parandalues, sigurisht i autorizuar për parandalimin e kryerjes së veprave penale, por dhe rishfaq një karakteristikë të sipërpërmendur të ‘përgjimit’ të normuar sipas normave të Kpp, që është të vepruarit për kryerjen e një vepre penale vazhduese ose për një procedimi të lidhur, në të cilin pritet apo është në vazhdim kryerja e një ap</w:t>
      </w:r>
      <w:r w:rsidR="008102BA" w:rsidRPr="006871FF">
        <w:rPr>
          <w:rFonts w:ascii="Georgia" w:hAnsi="Georgia" w:cstheme="majorBidi"/>
          <w:lang w:val="sq-AL"/>
        </w:rPr>
        <w:t>o disa veprave të tjera penale.</w:t>
      </w:r>
    </w:p>
    <w:p w:rsidR="006C2B89" w:rsidRPr="006871FF" w:rsidRDefault="006C2B89" w:rsidP="00AB321B">
      <w:pPr>
        <w:pStyle w:val="NoSpacing"/>
        <w:numPr>
          <w:ilvl w:val="0"/>
          <w:numId w:val="29"/>
        </w:numPr>
        <w:tabs>
          <w:tab w:val="left" w:pos="1134"/>
        </w:tabs>
        <w:ind w:left="0" w:firstLine="567"/>
        <w:jc w:val="both"/>
        <w:rPr>
          <w:rFonts w:ascii="Georgia" w:hAnsi="Georgia" w:cstheme="majorBidi"/>
          <w:b/>
          <w:i/>
          <w:lang w:val="sq-AL"/>
        </w:rPr>
      </w:pPr>
      <w:r w:rsidRPr="006871FF">
        <w:rPr>
          <w:rFonts w:ascii="Georgia" w:hAnsi="Georgia" w:cstheme="majorBidi"/>
          <w:b/>
          <w:i/>
          <w:lang w:val="sq-AL"/>
        </w:rPr>
        <w:t>disponimi që lejon përgjimin</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Siç është përmendur, një nga garancitë më të rëndësishme në lëndën e përgjimit të komunikimeve, është ajo e përcaktimit të kompetencës së gjykatës në nxjerrjen, lejimin, pranimin apo autorizimin e përgjimit.  Duke qenë një veprim surprizë apo i befasishëm, jo vetëm në fillimin e tij, por edhe gjatë gjithë përmbushjes, është e natyrshme se ai operon pothuajse gjithmonë në fazën e hetimeve paraprake, megjithëse asnjë dispozitë nuk e pengon që të aktivizohet edhe përgjatë procesit.  Për këtë, është gjykata në kolegj e përbërë nga një gjyqtar (shkronja ‘a’, §2, neni 13 Kpp), i njëjti (§2, neni 278 Kpp) që shqyrton kërkesat e palëve gjatë hetimeve paraprake, i cili, mbi kërkesën e prokurorit apo të dëmtuarit akuzues, me urdhër të arsyetuar, kur ekzistojnë kushtet dhe në rastet e lejuara, autorizon përgjimin (§1, neni 222 Kpp).  Është ky disiplinim që përfshin përgjimin, përjashtuar atë ‘ambiental’, që gjithashtu mbi të njëjtat kushte si për përgjimin e ‘zakonshëm privat’ – përjashtuar rastin se ai vendoset kur është fjala për krime të kryera me dashje, për të cilat parashikohet dënim me burgim jo më pak, në maksimum, se tre vjet (§2, neni 221 Kpp) – autorizon prokurori (§2, neni 222 Kpp).  Është e kuptueshme që disponimi i gjyqtarit të vetëm, i cili lejon përgjimin, merret në dhomë këshillimi (§4, neni 222 Kpp) pa praninë e palëve, nga ku ai konfirmon ose jo kërkimin e prokurori apo të të dëmtuarit akuzues, «[...] brenda 24 orëve nga paraqitja e kërkesës së prokurorit (§4, neni 222 Kpp).  Është ky një shqyrtim i veprimeve të paraqitura së bashku me kërkesën, i cili nuk i nënshtrohet kontradiktoritetit dhe për këtë as njoftimit apo pranisë së subjekteve në konflikt.  Pra është gj.k.h.p. ai që, në verifikim të ekzistencës së kushteve dhe situatave që lejojnë përgjimin, kryen funksionin e kontrollit dhe të sigurisë, si në realizim të ligjshmërisë së përgjimit ashtu dhe në sigurim të pacenueshmërisë së privatësisë, së gjithë atyre që jashtë procedimit penal, janë.</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Ndërsa nga ana tjetër, në justifikim të cenimit të privatësisë, së atij ndaj të cilit përgjimi drejtohet, ligjvënësi ka parashikuar që përgjimi jepet me disponim të arsyetuar, që sepse nuk është vendim dënimi (neni 390 Kpp), pafajësie (neni 388 Kpp) apo i pushimit (neni 387 Kpp), që i jep fund gjykimit, është disponim i gjykatës i llojit urdhër. Në të kundërt, dhe kjo në mbrojtje të interesave të atij që përgjohet, konfigurohet një sanksion i dyfishtë me pasojë pavlefshmëri relative të urdhrit (§3, neni 112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Përjashtimisht, i ndodhur në kushtet e urgjencës, i justifikuar nga arsye të bazuara që lenë të mendosh, se nga vonesa mund t’i vij një dëm i rëndë hetimeve, prokurori ka pushtetin, që pa asnjë vështirësi’</w:t>
      </w:r>
      <w:r w:rsidRPr="006871FF">
        <w:rPr>
          <w:rFonts w:ascii="Georgia" w:hAnsi="Georgia" w:cstheme="majorBidi"/>
          <w:i/>
          <w:lang w:val="sq-AL"/>
        </w:rPr>
        <w:t>/de plano</w:t>
      </w:r>
      <w:r w:rsidRPr="006871FF">
        <w:rPr>
          <w:rFonts w:ascii="Georgia" w:hAnsi="Georgia" w:cstheme="majorBidi"/>
          <w:lang w:val="sq-AL"/>
        </w:rPr>
        <w:t xml:space="preserve"> të autorizojë përgjimin, po ashtu me vendim të arsyetuar (§2, neni 222 Kpp).  Është e kuptueshme se ky devijim i është lejuar prokurorit, përveçse në urgjencë, edhe në prani të të njëjtëve kufij të lejimit të përgjimit (§1 dhe 3 neni 221 Kpp) dhe në kushtet kur është i domosdoshëm për vazhdimin e hetimeve të filluara dhe kur në ngarkim të personit ekziston një dyshim i arsyeshëm (§1, neni 222 Kpp) që kërkohen edhe për autorizimin e gj.k.h.p..  Po ashtu, përjashtimisht parashikohet se është prokurori ai që vendos mbi rastin kur «[...] njëri nga dy personat që do të përgjohen është i gatshëm të kryejë dhe të regjistrojë veprimin përkatës [...]» (§3, neni 222 Kpp).  Në rrethana të tilla, paraprirë nga marrëveshja me o.p.gj. është e vështirë të aktivizohet drejtpërdrejtë gjykatësi, për çka e konsideruar situata si e tillë që autorizimin ta urdhërojë prokurori.</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Gjithsesi në të dyja rastet autorizimi i prokurorit është me vlerë të përkohshme.  Edhe pse shprehimisht nuk parashikohet se ky i fundit duhet të vleftësohet nga gjykata normimi se «në rastet e parashikuara në paragrafët 1, 2 dhe 3, të këtij neni – ku §3 është i nenit 222 Kpp që parashikon autorizimin e prokurorit – gjykata merr vendim/disponon [...] nga paraqitja e kërkesës së prokurorit [...]» (§4, neni 222 Kpp), do të thotë se kërkesa e prokurorit për rastin e pranimit të njërit prej dy personave për të kryer regjistrimin është ajo e vleftësimit.</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Kështu, prokurori për të dyja rastet detyrohet që brenda 24 orëve, pas lëshimit të autorizimit të përgjimit, të kërkojë te gj.k.h.p., vleftësimin e tij.  Brenda të njëjtit afat, ky i fundit është i detyruar të pranojë apo të refuzojë kërkesën e vleftësimit, nga ku edhe vleftësimi jo brenda këtij afati, njësoj si refuzimi pasojnë, rënie qysh nga fillimi</w:t>
      </w:r>
      <w:r w:rsidRPr="006871FF">
        <w:rPr>
          <w:rFonts w:ascii="Georgia" w:hAnsi="Georgia" w:cstheme="majorBidi"/>
          <w:i/>
          <w:lang w:val="sq-AL"/>
        </w:rPr>
        <w:t>/ab initio</w:t>
      </w:r>
      <w:r w:rsidRPr="006871FF">
        <w:rPr>
          <w:rFonts w:ascii="Georgia" w:hAnsi="Georgia" w:cstheme="majorBidi"/>
          <w:lang w:val="sq-AL"/>
        </w:rPr>
        <w:t xml:space="preserve"> të fuqisë së autorizimit të përgjimit të prokurorit, sepse përgjimi nuk mundet të vazhdojë më dhe rezultatet që prej tij, deri atëherë janë përfituar, nuk mund të përdoren (§2, neni 222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Detyrimi i prokurorit për të arsyetuar autorizimin e tij të përgjimit, nëse nuk përmbushet, nuk shoqërohet automatikisht nga ndonjë pavlefshmëri.  Por ai është objekt i kontrollit në momentin e vleftësimit nga gj.k.h.p., i cili pikërisht, sepse nuk pasqyrohen të evidentuara kushtet dhe kufijtë e lejimit si dhe përse vonesa mund të dëmtonte rëndë hetimet dhe për këtë i pa arsyetuar urdhri, ka shkak apo është i detyruar të mos vleftësojë autorizimin e përgjimit të prokurorit, gjithashtu detyrimisht, duke e arsyetuar atë.</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 xml:space="preserve">Edhe seanca e vleftësimit të urdhrit të prokurorit që ka autorizuar përgjimin, sepse veprimi i përgjimit jo vetëm në fillim të zbatimit të tij, por edhe përgjatë përmbushjes është i fshehtë, tinëzar dhe i befasishëm, nuk është publik dhe zhvillohet në dhomë këshillimi (§4, neni 222 Kpp), sigurisht pa praninë e subjekteve, nga ku gj.k.h.p. vendos mbi veprimet e paraqitura nga prokurori në mungesë të kontradiktoritetit.  Është ai që të gjitha kërkesat e palëve gjatë hetimeve paraprake, i shqyrton (§2, neni 278 Kpp), nga ku funksioni i garantit dhe kontrolluesit në këtë shqyrtim shpalosen, për çka mjaftueshëm e justifikuar mungesa në tërësi e kontradiktoritetit dhe në veçanti mos prania e subjekteve.  </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Urdhri i gjyqtarit që lejon përgjimin përmban jo vetëm ekzistencën e kushteve dhe nevojat që bëjnë të domosdoshëm emetimin e përgjimit, por tregon dhe mënyrën e kryerjes së vetë operacionit përgjues (§5, neni 222 Kpp).  Në mënyrën e kryerjes së veprimeve, përfshihen pikërisht mjeti i vënë nën përgjim që realizon përgjimin e komunikimit, si numri i telefonit statik apo i lëvizshëm, lloji i aparatit faks, kompjuter apo i një aparati tjetër që lejon përgjimin e një fluksi komunikimesh hyrës dhe dalës, qoftë në sistem informatik, telematik apo në shumë sisteme.  Po ashtu tregohet mjeti teknik i nevojshëm, i cili bën të mundur përgjimin e fshehtë në vende private, siç me audio, video etj.  Po ashtu në mënyrën e kryerjes së veprimeve përfshihen edhe hyrja në vendet private ku do të kryhet përgjimi i bisedave, i një o.p.gj. ose i specialistit të kualifikuar, me detyrimin e zbatimit të këtij autorizimi, brenda 15 ditëve (§6, neni 222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Po ashtu në vendimin e përgjimit tregohet apo përcaktohet, sipas nevojave të prokurorit, edhe kohëzgjatja e veprimeve përgjuese.  Për këtë ajo nuk mund të kalojë sidoqoftë 15 ditë (§5, neni 222 Kpp).  Është kjo e vlefshme edhe për urdhrin e prokurorit që në urgjencë apo kur ‘ka arsye të bazuara për të menduar se nga vonesa mund t'i vijë një dëm i rëndë hetimeve’, ka autorizuar përgjimin, i cili në rastin pozitiv të vleftësimit gjithashtu duhet të tregohet në urdhrin që gjykata legjitimon atë si të vlefshëm.  Kjo sepse, urdhri i përgjimit i autorizuar nga prokurori, gjithnjë në rastin pozitiv të vleftësimit, legjitimon përgjimin jo vetëm në të shkuarën, që ka filluar nga momenti i zbatimit të autorizimit të prokurorit, por edhe pas vleftësimit të tij nga gj.k.h.p..  Për këtë sidoqoftë, ai në tërësinë e tij, nuk mund të kalojë të njëjtin afat 15 ditor.  Në rastin e mos vleftësimit (§4, neni 222 Kpp) apo të vleftësimit jashtë afatit 24 orësh (§2, neni 222 Kpp), pason ndëshkimi me pamundësi të vazhdimit të përgjimit, që do të thotë se në të kundërt, në rastin e vleftësimit si të ligjshëm, përgjimi mund të vazhdojë dhe për efekt të zbatimit të afatit maksimal (§5, neni 222 Kpp), jo më shumë se 15 ditë.</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Nuk përfshihet, sepse për to nuk disponon asnjë dispozitë, në urdhrin e përgjimit në vende publike autorizuar nga prokurori, jo vetëm detyrimi për vleftësim të tij nga gjykata por as detyrimi i arsyetimit të tij, as detyrimi i tregimit në të, i mënyrës së kryerjes dhe kohëzgjatjes së veprimeve.</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Nga ana tjetër, në varësi të nevojave të procedimit, justifikuar kjo në kërkesën e prokurorit – gjithnjë në kufijtë e lejuar (shkronja ‘a’ &amp; ‘b’, §1, neni 221 Kpp) dhe në situatën kur në ngarkim të personit ekziston një dyshim i arsyeshëm dhe i bazuar në prova se ka kryer një vepër penale (§1, neni 222 Kpp) dhe rezultatet e përgjimit diktojnë nevojën e zgjatjes së afatit (§5, neni 222 Kpp), – afati i përgjimit mund të zgjatet nga gj.k.h.p., sa herë është e nevojshme (§5, neni 222 Kpp).  Këto kushte në çdo rast janë përcaktuese jo vetëm për zgjatjen, por edhe për vetë lejimin e përgjimit.  Dhe në varësi të faktit, nëse është fjala për procedime ndaj krimeve të rënda, çdo zgjatje nuk mund të kalojë afatin 15 ditë (§5, neni 222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Sido qoftë në regjistrin që mbahet në prokurori shënohen aktet që urdhërojnë, autorizojnë, vleftësojnë ose zgjasin përgjimet, si dhe fillimin e mbarimin e veprimeve të çdo përgjimi (§7, neni 222 Kpp).</w:t>
      </w:r>
    </w:p>
    <w:p w:rsidR="006C2B89" w:rsidRPr="006871FF" w:rsidRDefault="006C2B89" w:rsidP="00AB321B">
      <w:pPr>
        <w:pStyle w:val="NoSpacing"/>
        <w:numPr>
          <w:ilvl w:val="0"/>
          <w:numId w:val="29"/>
        </w:numPr>
        <w:tabs>
          <w:tab w:val="left" w:pos="1134"/>
        </w:tabs>
        <w:ind w:left="0" w:firstLine="567"/>
        <w:jc w:val="both"/>
        <w:rPr>
          <w:rFonts w:ascii="Georgia" w:hAnsi="Georgia" w:cstheme="majorBidi"/>
          <w:b/>
          <w:i/>
          <w:lang w:val="sq-AL"/>
        </w:rPr>
      </w:pPr>
      <w:r w:rsidRPr="006871FF">
        <w:rPr>
          <w:rFonts w:ascii="Georgia" w:hAnsi="Georgia" w:cstheme="majorBidi"/>
          <w:b/>
          <w:i/>
          <w:lang w:val="sq-AL"/>
        </w:rPr>
        <w:t>ankimi</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Parashikohet mundësia e ankimit kundër vendimit që pranon përgjimin (§1, neni 222/a Kpp), që do të thotë se është i kundërshtueshëm urdhri i gjyqtarit që autorizon përgjimin, i emetuar mbi kërkesën e prokurorit.  Pastaj sipas interpretimit të mësipërm i kuptuar për urdhrin e gjyqtarit që lejon përgjimin i cili zgjerohet, ankimi bie edhe jo vetëm mbi urdhrin e prokurorit, i cili ka lejuar apo ka autorizuar në kushtet kur nga «[...] vonesa mund t’i vijë një dëm i rëndë hetimeve [...]» (§2, neni 222/a Kpp), por edhe mbi autorizimin e prokurorit kur «njëri nga dy personat që do të përgjohen është i gatshëm të kryejë dhe të regjistrojë veprimin përkatës» (§3, neni 222 Kpp), që gjithashtu duhet të vleftësohet nga gjykatësi (§4, neni 222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Sigurisht, duke ju referuar faktit se ‘përgjimi’ si do qoftë nënkupton fshehtësinë, është e kuptueshme se në rrugë të përgjithshme apo të zakonshme dhe në rastin e zbatimit të suksesshëm të tij, i interesuari, të cilit i referohet §1 e nenit 222/a Kpp, merr dijeni në momentin kur mbrojtësit dhe përfaqësuesit e palëve – megjithëse të tilla palë para ushtrimit të ndjekjes penale dhe jashtë procesit nuk ka – lajmërohen për depozitimin në sekretari (§4, neni 223 Kpp) të procesverbaleve dhe regjistrimeve (§3, neni 223 Kpp).  Është ky momenti nga i cili, të interesuarit i lind e drejta dhe i fillon llogaritja e afatit</w:t>
      </w:r>
      <w:r w:rsidRPr="006871FF">
        <w:rPr>
          <w:rFonts w:ascii="Georgia" w:hAnsi="Georgia" w:cstheme="majorBidi"/>
          <w:i/>
          <w:lang w:val="sq-AL"/>
        </w:rPr>
        <w:t>/dies a quo</w:t>
      </w:r>
      <w:r w:rsidRPr="006871FF">
        <w:rPr>
          <w:rFonts w:ascii="Georgia" w:hAnsi="Georgia" w:cstheme="majorBidi"/>
          <w:lang w:val="sq-AL"/>
        </w:rPr>
        <w:t xml:space="preserve"> 10 ditor të ankimit.  Por, për të njëjtin shkak, se përgjimi është i fshehtë, e drejta e të interesuarit dhe çasti i fillimit të llogaritjes së afatit fillon, kur ai në mënyrë efikase apo konkrete, qoftë edhe jo formalisht sipas procedurës së caktuar, ka marrë dijeni për veprimtarinë përgjuese.</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Nga ana tjetër, po ashtu, parashikohet edhe mundësia si e ankimit kundër vendimit që refuzon kërkesën për përgjim ashtu dhe të atij që refuzon vleftësimin e ligjshëm të autorizimit të përgjimit (§4, neni 222 Kpp), ku sigurisht në të kundërt me ankimin ndaj urdhrit që lejon përgjimin dhe atë që vleftëson autorizimin për përgjim, i legjitimuar për të ushtruar kundërshtim në gjykatën e apelit është prokurori, të cilit kërkimi i është rrëzuar.  Në të njëjtën dispozitë dhe shprehimisht ligja për ankimin ndaj urdhrit që refuzon përgjimin apo që nuk vleftëson autorizimin e prokurorit, parashikon se «[...] bëhet ankim i veçantë në gjykatën e apelit brenda 24 orëve [...]» (§4, neni 222 Kpp), shumë më i ngushtë ky nga afati i ankimit ndaj vendimit që ka pranuar përgjimin apo që ka vleftësuar autorizimin.  Po ashtu shumë më i ngushtë është edhe vendimi i gjykatës së apelit që është e detyruar të shqyrtojë ankimin brenda 48 orëve (§4, neni 222 Kpp).  Në ndryshim gjykata e apelit për rastin e ankimit ndaj vendimit që lejon përgjimin dhe atij të vleftësuar të prokurorit, në shqyrtimin e tyre nuk kushtëzohet nga afate të përcaktuar (neni 222/a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Edhe pse ishte parashikuar se «ankimi shqyrtohet [...] ose nga Prokurori i Përgjithshëm në rast së autorizimi është dhënë nga prokurori» (ish §2, neni 222/a Kpp) sigurisht për rastin e regjistrimit të fshehtë fotografik, filmik ose me video të personave në vende publike dhe përdorimit të pajisjeve gjurmuese të vendndodhjes (përgjimit ambiental) (§2, neni 221 Kpp) dhe ndaj të cilit nuk është e nevojshme të kërkohet vleftësimi i tij në gjykatë, me riformulimin e të njëjtit paragraf të nenit 222/a kjo e drejtë nuk parashikohet më.  Kjo do të thotë, sipas një arsyetimi historik të normimit, se ndaj disponimit të prokurorit për përgjimin ambiental nuk mund të ushtrohet ankim në gjykatë.</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Pastaj, në zbatimit të parimit të taksativitetit të ankimit, për shkak të parashikimit se ligji cakton rastet në të cilat vendimet dhe urdhrat e gjykatës mund të ankohen, si dhe mjetin e ankimit (§1, neni 407 Kpp), vendimi i gjykatës së apelit, nuk parashikohet të rekursohet më tej, sepse nuk ka parashikuar një mundësi të tillë.</w:t>
      </w:r>
    </w:p>
    <w:p w:rsidR="006C2B89" w:rsidRPr="006871FF" w:rsidRDefault="006C2B89" w:rsidP="00AB321B">
      <w:pPr>
        <w:pStyle w:val="NoSpacing"/>
        <w:numPr>
          <w:ilvl w:val="0"/>
          <w:numId w:val="29"/>
        </w:numPr>
        <w:tabs>
          <w:tab w:val="left" w:pos="1134"/>
        </w:tabs>
        <w:ind w:left="0" w:firstLine="567"/>
        <w:jc w:val="both"/>
        <w:rPr>
          <w:rFonts w:ascii="Georgia" w:hAnsi="Georgia" w:cstheme="majorBidi"/>
          <w:b/>
          <w:i/>
          <w:lang w:val="sq-AL"/>
        </w:rPr>
      </w:pPr>
      <w:r w:rsidRPr="006871FF">
        <w:rPr>
          <w:rFonts w:ascii="Georgia" w:hAnsi="Georgia" w:cstheme="majorBidi"/>
          <w:b/>
          <w:i/>
          <w:lang w:val="sq-AL"/>
        </w:rPr>
        <w:t>veprimtaria përgjuese</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Veprimtaria përgjuese, konkretizuese e lejimit, kryhet dhe përmbushet, pra aktualizohet, përpikërish ashtu siç ka treguar në mënyrën e kryerjes, gj.k.h.p. në urdhrin apo në vleftësimin e emetuar, ekskluzivisht «[...] me anën e pajisjeve të instaluara në vende të caktuara, të autorizuara dhe të kontrolluara nga prokurori» (§1, neni 223 Kpp).  Nuk bën përjashtim nga ky rregull, qoftë dhe përgjimi ambiental (§2, neni 221 Kpp) i autorizuar nga vetë prokurori, sepse asnjë dispozitë nuk e shmang.  Edhe pse përgjimi i fshehtë ambiental nëpërmjet pajisjeve apo aparateve fotografik, filmik ose me video, i numrave të telefonit hyrës dhe dalës, përmbushet me ato të vendndodhjes, gjithsesi, janë pajisjet e instaluara në vende të caktuara dhe të autorizuara që kontrollohen nga prokurori, ato që përmbushin detyrimin e ushtrimit të rregullt dhe ligjor të përgjimit.  Për çka, përmbushja e çdo përgjimi të urdhëruar ligjërisht, jo nëpërmjet këtyre aparateve, çka do të thotë edhe jashtë kontrollit të prokurorit, qoftë edhe nga pol.gjyq., përbën shkak të shkeljes së ndalimeve apo të mosrespektimit të seksionit në të cilin është rregulluar nga ligjvënësi mjeti i kërkimit të provës përgjim (§1, neni 226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Në vazhdën e kujdesit dhe në gjithsesi të përmbushjes së rregullt të përgjimit, – me synimin e zgjerimit të sigurisë së pacenueshmërisë së privatësisë, – ligjvënësi ka normuar po ashtu, se është i detyruar o.p.gj. që zbaton përgjimin, të njoftojë menjëherë tek prokurori rastin, kur qoftë njëri prej kushteve të përgjimit nuk ekziston më (§1/1, neni 223 Kpp).  Prokurori, nëse të njëjtën mungesë e verifikon, urdhëron menjëherë ndalimin e veprimtarisë përgjuese, për çka vë në dijeni dhe gjyqtarin që ka lejuar apo ka vleftësuar autorizimin e përgjimit.  Në të njëjtën kohë është ky normim, tregues i nevojës së qëndrueshmërisë së kushteve të përgjithshme dhe kufijve të lejimit të përgjimit, të cilët duhet të ekzistojnë jo vetëm në fillim, por edhe përgjatë gjithë kohës së përmbushjes së veprimtarisë përgjuese.</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Pasi normohet se detyrimisht veprimtaria përgjuese e komunikimit përmbushet nën kontrollin e prokurorit dhe me pajisje të instaluara në vende të caktuara, ligjvënësi po ashtu rreptësishtë, disiplinon detyrimin e regjistrimit të komunikimit të përgjuar (§2, neni 223 Kpp), duke treguar po ashtu, se materializimi çfarëdo, foni apo video, përbën pikërisht rezultatin e përgjimit.  Pastaj nën detyrimin e proces-verbalizmit të çdo veprimi hetimor me shtypshkrim apo dorëshkrim, kur nuk është e mundur të dokumentohen nëpërmjet regjistrimit audio ose audioviziv (§3, neni 115 Kpp), ligjvënësi përcakton se për veprimet e kryera mbahet procesverbal nga personi që përmbush përgjimin (§2, neni 223 Kpp).  Në përmbajtjen e këtij procesverbali, përpiluar nën sugjerimin e nenit 116 Kpp, përveçse materializimit të aktiviteti përgjues, mënyrës dhe mjeteve të cilat kanë bërë të mundur përmbushjen e përgjimit, shënohet apo transkriptohet edhe përmbajtja e komunikimeve të përgjuara (§2, neni 223 Kpp), që do të thotë se nuk është i domosdoshëm shënimi tërësor i fjalëpërfjalshëm i bisedave apo i të dhënave të vetë komunikimit.  Është pikërisht ky procesverbal i transkriptimit të komunikimeve ai që ka fituar statusin e provës mbi të cilën formohet, së paku gjatë fazës së hetimit paraprak për rastet e caktimit të masave të sigurimit, ‘dyshimi i arsyeshëm’ (§1, neni 228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Nën detyrimin e kontrollit të veprimtarisë përgjuese dhe gjithsesi, me qëllimin që prokurori të jetë tërësisht i njohur me çdo element të saj, me përmbushjen e çdo regjistrimi dhe të çdo procesverbali të tij, bëhet detyrimisht dorëzimi i tyre ‘menjëherë’ tek prokurori.  Vetëm duke qenë i njohur a njoftuar menjëherë dhe me të gjitha detajet e rezultateve të përgjimit, pra me çdo regjistrim dhe procesverbal shoqërues të tij, prokurori është në gjendje, sipas rastit të kërkojë zgjatje të afatit të përgjimit apo të përfundojë ato, menjëherë sapo të bëhet e mundur arritja e qëllimit për të cilin përgjimi është autorizuar.  Dhe kështu në përfundim të afatit të pa zgjatur më, nga ku të gjitha regjistrimet dhe procesverbalet janë në dorë të prokurorit, ky i fundit, brenda pesë ditëve, detyrohet t’i dorëzojë ato tashmë në kancelarinë e gjykatës, në dispozicion të gj.k.h.p..  Së bashku me regjistrimet dhe procesverbalet në sekretarinë e gjykatës, dorëzohen edhe aktet që kanë urdhëruar, autorizuar, vleftësuar dhe zgjatur përgjimin, veprimet të cilat, në fund të fundit, legjitimojnë të veprimet përgjuese (§3, neni 223 Kpp).  Edhe në këtë rast, nuk gjen shmangie veprimtaria përgjuese ambientale e autorizuar nga prokurori pa ndihmën e gjyqtarit.  Si dhe ajo që urdhërohet nga gjyqtari, së bashku, ato i nënshtrohen të njëjtit detyrim për dorëzimin e veprimeve përkatës në sekretarinë/kancelarinë e gjykatës, në pritje të përmbushjes së procedurave detyruese.</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Ndërkohë, nëse prokurori vlerëson se dorëzimi i regjistrimeve dhe procesverbaleve përkatës, për shkak të njohjes së tyre nga mbrojtësi apo përfaqësuesit të palëve, sepse bëhet ndonjë zbulim i padëshirueshëm, që dëmton hetimet, i kërkon gj.k.h.p. të shtyjë këtë depozitim të tyre, sipas rastit, qoftë deri në përfundimin e hetimeve paraprake.  Vetëm lëshimi i autorizimit të gjyqtarit justifikon kalimin e afatit 5 ditor (§3, neni 223 Kpp), siç në të kundërt, refuzimi detyron prokurorin, të respektojë pa asnjë shmangie, dorëzimin e regjistrimeve dhe procesverbaleve përkatës, brenda afatin 5 ditor, në sekretarinë e gjykatës.</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Gjithsesi, kurdo qoftë arritja e depozitimit të regjistrimeve dhe procesverbaleve përkatëse si dhe e çdo veprimi që justifikon apo legjitimon përgjimin e kryer, siç urdhër lejim përgjimi, autorizim i përgjimit dhe vleftësimi i tij nga gjyqtari apo dhe çdo urdhër që ka zgjatur përgjimin, për këtë depozitim lajmërohen menjëherë mbrojtësit dhe përfaqësuesit e palëve.  Së bashku me këtë lajmërim, atyre u bëhet e ditur edhe e drejta që kanë «[...] për të shqyrtuar aktet e për të dëgjuar regjistrimet [...]» (§4, neni 223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 xml:space="preserve">Pikërisht, elementë tregues dhe domethënës si e drejta e mbrojtësit ‘për të shqyrtuar’ dhe ‘për të dëgjuar regjistrimet’, gj.k.h.p. për ‘të dëgjuar prokurorin dhe mbrojtësit’ (§5, neni 223 Kpp), përcaktojnë, në mënyrë racionale, se në zbatim apo në ushtrim të tyre është e nevojshme zhvillimi i një seance gjyqësore nga gj.k.h.p. në dhomë këshillimi, me praninë e detyrueshme të prokurorit dhe të mbrojtësit, e cila nuk mund të pengohet, sidoqoftë, nga sjellja apo mungesa e pajustifikuar e mbrojtësit, që në çdo rast caktohet apo zëvendësohet kryesisht nga gjykata.  Në këto kushte, përmbushet një kontradiktoritet i subjekteve </w:t>
      </w:r>
      <w:r w:rsidRPr="006871FF">
        <w:rPr>
          <w:rFonts w:ascii="Georgia" w:hAnsi="Georgia" w:cstheme="majorBidi"/>
          <w:i/>
          <w:lang w:val="sq-AL"/>
        </w:rPr>
        <w:t>mbi</w:t>
      </w:r>
      <w:r w:rsidRPr="006871FF">
        <w:rPr>
          <w:rFonts w:ascii="Georgia" w:hAnsi="Georgia" w:cstheme="majorBidi"/>
          <w:lang w:val="sq-AL"/>
        </w:rPr>
        <w:t xml:space="preserve"> provën rezultat i përgjimit, që mbyllet me një urdhër të gjyqtarit që vendos mbi «[...] heqjen e regjistrimeve dhe të procesverbaleve, përdorimi i të cilave ndalohet» (§4, neni 223 Kpp) si dhe mbi transkriptimin e plotë të atyre regjistrimeve që duhen marrë (§5, neni 223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Ligji procedural penal nuk parashikon një kohë të caktuar për arritjen e njohjes së mbrojtësit me veprimet e depozituara, por gjithsesi për këtë mund të shfrytëzohet koncepti i dhënies së një afati të përshtatshëm për t'u njohur me veprimet dhe provat, në rastin e zëvendësimit të mbrojtësit (neni 57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 xml:space="preserve">Në përcaktimin e atyre regjistrimeve dhe të atyre procesverbaleve, përdorimi i të cilave ndalohet, pasi më parë ka dëgjuar sugjerimet, qoftë edhe nëpërmjet veprimeve me shkrim memorie dhe kërkesa, të prokurorit dhe mbrojtësve të interesuar, gj.k.h.p., i cili domosdoshmërish është i njëjti që ka urdhëruar lejimin e përgjimit, apo ka vleftësuar autorizimin e përgjimit të urdhëruar nga prokurori, si dhe ka mundësi të ketë urdhëruar dhe zgjatjen e përgjimeve, si gjyqtari vetëm që ka shqyrtuar kërkesat e palëve gjatë hetimeve paraprake (shkronja ‘a’, §2, neni 13 dhe §2, neni 278 Kpp), i referohet ndalimit të përdorimit (neni 226 Kpp) </w:t>
      </w:r>
      <w:r w:rsidRPr="006871FF">
        <w:rPr>
          <w:rFonts w:ascii="Georgia" w:hAnsi="Georgia" w:cstheme="majorBidi"/>
          <w:i/>
          <w:lang w:val="sq-AL"/>
        </w:rPr>
        <w:t>a</w:t>
      </w:r>
      <w:r w:rsidRPr="006871FF">
        <w:rPr>
          <w:rFonts w:ascii="Georgia" w:hAnsi="Georgia" w:cstheme="majorBidi"/>
          <w:lang w:val="sq-AL"/>
        </w:rPr>
        <w:t xml:space="preserve">)-kur përgjimet janë përmbushur jashtë rasteve të lejuara nga ligji (§1, neni 221 &amp; §1, neni 222 Kpp) në të cilat mund të përfshihen ato regjistrime dhe procesverbale që janë të padobishme dhe haptazi të panevojshme sepse nuk kanë lidhje me procedimin në fjalë;  </w:t>
      </w:r>
      <w:r w:rsidRPr="006871FF">
        <w:rPr>
          <w:rFonts w:ascii="Georgia" w:hAnsi="Georgia" w:cstheme="majorBidi"/>
          <w:i/>
          <w:lang w:val="sq-AL"/>
        </w:rPr>
        <w:t>b</w:t>
      </w:r>
      <w:r w:rsidRPr="006871FF">
        <w:rPr>
          <w:rFonts w:ascii="Georgia" w:hAnsi="Georgia" w:cstheme="majorBidi"/>
          <w:lang w:val="sq-AL"/>
        </w:rPr>
        <w:t xml:space="preserve">)-kur nuk janë respektuar dispozitat e seksionit të IV, në kreun III, të titullit IV të Pjesës së Parë të Kpp, që lidhen me mos përmbushjen e ritit, si përgjimi i urdhëruar nga prokurori, por i pa vleftësuar apo i vleftësuar jashtë afatit nga gjyqtari, apo mungesë e pajisjeve përgjuese në vende të caktuara të pa autorizuara e jashtë kontrollit të prokurorit,  mungesë e regjistrimit tërësor të përgjimit, mungesë e procesverbalit shoqërues i përgjimit, (të cilave nuk mund t’u kontrollohet as vërtetësia dhe as plotësia);  si dhe  </w:t>
      </w:r>
      <w:r w:rsidRPr="006871FF">
        <w:rPr>
          <w:rFonts w:ascii="Georgia" w:hAnsi="Georgia" w:cstheme="majorBidi"/>
          <w:i/>
          <w:lang w:val="sq-AL"/>
        </w:rPr>
        <w:t>c)</w:t>
      </w:r>
      <w:r w:rsidRPr="006871FF">
        <w:rPr>
          <w:rFonts w:ascii="Georgia" w:hAnsi="Georgia" w:cstheme="majorBidi"/>
          <w:lang w:val="sq-AL"/>
        </w:rPr>
        <w:t>-ndalimit të përdorimit të bisedave dhe komunikimeve të atyre që janë të detyruar të ruajnë sekretin shtetëror apo të profesionit, siç biseda e mbrojtësit me të hetuarin në të cilën i pari ushtron vërtet funksionin e mbrojtësit, pasi biseda apo komunikimi jashtë këtij funksioni nuk mund të ndalohet përdorimi, nëse për procesin është e nevojshme.</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Pasi gjyqtari ka përcaktuar se cilat regjistrime dhe procesverbale nuk mund të përdoren dhe ka vendosur se cilët prej tyre duhet të hiqen, njëkohësisht urdhëron që në mënyrë të plotë të transkriptohen apo të shënohen të gjitha regjistrimet që duhen marrë (§5, neni 223 Kpp), nën kushtet e transkriptimit të shiritit magnetik (§2, neni 196 Kpp), të cilat në mënyrë të arsyeshme janë ato që mbeten pas heqjes së të papërdorshmëve.  Me këtë operacion, kuptohet se përmbushet një tjetër veprim apo veprimtari e dokumentuar në procesverbal, e cila është krejt e ndryshme nga ajo e transkriptimit/shënimit të përmbajtjes së komunikimeve të përgjuara (§2 neni 223 Kpp), përmbushur nga o.p.gj. që kryen përgjimin.  Është ajo e ndryshme, e kontrolluar në mënyrë të vlefshme dhe cilësore, sepse është e përzgjedhur mbi bazën e objeksioneve të mbrojtësit dhe prokurorit përpara gj.k.h.p., nga ku disiplinimi se «[...] transkriptimet futen në fashikullin e gjykimit [...]» (§5, neni 223 Kpp) shërben për gjyqtarin e seancës paraprake në përmbushjen e detyrimit për formimin e këtij fashikull (shkronja ‘f’, §2, neni 332/ë Kpp), duke i dhënë tashmë rezultateve të përgjimit, të dokumentuara në një procesverbal të veçantë, forcën dhe vlerën e provës, vërtetë të marrë nga organi që procedon, por gjithsesi nën një kontroll të rreptë të gjykatës.</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Në shprehjen e fundit të §5, të nenit 223 të Kpp, disiplinohet e drejta e mbrojtësit për të marrë kopje të transkriptimeve, të nevojshme për t’u përdorur nga ai në shqyrtimin gjyqësor të themelit, e njëjtë me atë të parashikuar në §3 të nenit 309 të Kpp, nga ku, për shkak se përmbushja e veprimtarisë përgjuese operon në kushtet ku mbrojtësi nuk gëzon të drejtën që të asistojë, ka detyruar ligjvënësin që veçmas të disiplinojë mbi të drejtën e shqyrtimit dhe nxjerrjes së procesverbalit të veprimit të përgjimit të kryer nga prokurori dhe nga pol.gjyq..</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Pastaj për shkak të veprimit të parimit të taksativitetit (§1, neni 407 Kpp), ndaj urdhrit për heqjen e regjistrimeve dhe të procesverbaleve, përdorimi i të cilave ndalohet, parashikohet se ankim «[...] mund të bëhet vetëm me ankimin kundër vendimit» (§2, neni 407 Kpp), përveçse edhe njëherë vjen në vëmendjen e gj.s.p. në rastin e formimit të fashikullit të gjykimit (shkronja ‘f’, §2, neni 332/ë Kpp).</w:t>
      </w:r>
    </w:p>
    <w:p w:rsidR="006C2B89" w:rsidRPr="006871FF" w:rsidRDefault="006C2B89" w:rsidP="00AB321B">
      <w:pPr>
        <w:pStyle w:val="NoSpacing"/>
        <w:numPr>
          <w:ilvl w:val="0"/>
          <w:numId w:val="29"/>
        </w:numPr>
        <w:tabs>
          <w:tab w:val="left" w:pos="1134"/>
        </w:tabs>
        <w:ind w:left="0" w:firstLine="567"/>
        <w:jc w:val="both"/>
        <w:rPr>
          <w:rFonts w:ascii="Georgia" w:hAnsi="Georgia" w:cstheme="majorBidi"/>
          <w:b/>
          <w:i/>
          <w:lang w:val="sq-AL"/>
        </w:rPr>
      </w:pPr>
      <w:r w:rsidRPr="006871FF">
        <w:rPr>
          <w:rFonts w:ascii="Georgia" w:hAnsi="Georgia" w:cstheme="majorBidi"/>
          <w:b/>
          <w:i/>
          <w:lang w:val="sq-AL"/>
        </w:rPr>
        <w:t>ruajtja dhe asgjësimi</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Urdhri që ka vendosur për heqjen e regjistrimeve dhe të procesverbaleve të ndaluara dhe përfshirjen në fashikullin e gjykimit të transkriptimeve të plota të regjistrimeve që duhen marrë, përcakton njëkohësisht dhe fatin e vetë regjistrimeve dhe procesverbaleve përkatës, të cilët «[...] ruhen pranë prokurorisë që ka urdhëruar përgjimin derisa vendimi të marrë formë të prerë [...]» (§1, neni 224 Kpp).  Ndërsa, në vështrim të normimit mbi përmbajtjen e ‘fashikullit të gjykimit’, gjejmë detyrimin e përfshirjes në këtë fashikull, përveçse të procesverbalit në të cilin është transkriptuar/shënuar regjistrimi i bisedës apo komunikimit edhe vetë regjistrimi i komunikimit të përgjuar (shkronja ‘f’, §2, neni 332/ë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Gjithsesi për veprimet, regjistrime dhe procesverbale përkatës, të cilat ndalohen të përdoren dhe të atyre që janë të panevojshëm, mbi bazën e kërkimit të të interesuarit, që mund të jetë jo vetëm i hetuari/pandehuri, por edhe çdo person mbi të cilin ka rënë veprimtaria përgjuese, mundësohet asgjësimi i tyre.  Ligji përcakton (§1, neni 224 Kpp) se kërkesa duhet të drejtohet dhe të shqyrtohet nga i njëjti gjykatës i cili ka vendosur vleftësimin e përgjimit, por që në zbatim të normimit se «kërkesat e palëve gjatë hetimeve paraprake [...] shqyrtohen nga i njëjti gjyqtar» (§2, nenit 278 Kpp), është e kuptueshme se është i njëjti gj.k.h.p. i cili ka urdhëruar në çfarëdo mënyre mbi përgjimin, përfshirë këtu dhe disponimin mbi transkriptimin e regjistrimeve të përfituara nga përgjimi ambiental.  Mos përfshirja e procesverbaleve për të cilët është vendosur ndalimi i përdorimit as në fashikullin e gjykimit dhe as në atë të prokurorit do të thotë se kërkesa e të interesuarit mund të ngrihet që në momentin e konstatimit të kësaj papërdorshmërie.</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Pranimi i kërkesës qoftë pjesërisht dhe për këtë ka vend asgjësimi i çfarëdo regjistrimi apo procesverbali përkatës, ky asgjësim përmbushet konkretisht nën kontrollin e të njëjtit gjykatës që e ka urdhëruar, i shoqëruar domosdoshmërish me procesverbal (§1, neni 224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Edhe në rastin kur procedimi i nisur nga prokurori nuk përfundon me ushtrimin e ndjekjes penale në gjykatë, pra atëherë kur ai vendos pushimin e çështjes për kundërvajtje (neni 328 Kpp), a me kërkesën për pushimin e çështjes, (neni 329/a Kpp), veprimtaria asgjësuese e regjistrimeve dhe procesverbaleve përkatës të përgjimit, përdorimi i të cilave ndalohet apo është i panevojshëm, gjithsesi përmbushet edhe pse mund të vërehet mos nxitje apo mos kërkesë specifike për shkak të mungesës së të interesuarit.  Në këtë rast, gj.k.h.p., i vënë në dijen nga prokurori mbi fatin e çështjes, vendos asgjësimin e regjistrimeve dhe procesverbaleve përkatës.  Po ashtu ai për këtë urdhërim vë në dijeni personin e përgjuar (§2, neni 224 Kpp).  Por dispozita në të njëjtën kohë merr parasysh edhe rastin kur, njoftimi i personit të interesuar mbi asgjësimin e regjistrimeve të bisedave apo komunikimeve dhe procesverbaleve përkatës të regjistrimeve, përbën apo ka rrezik për jetën ose shëndetin e të tjerëve, ose rrezikon një hetim të nisur.  Për këtë në kushtet e justifikimit të kërkesës së prokurorit, gjyqtari vendos mos njoftimin e të interesuarit mbi asgjësimin e tyre.</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Për shkak të parimit të taksativitetit të ankimit dhe se asnjë dispozitë nuk e parashikon mundësinë e ankimit, urdhri sido i nxjerrë nga gjyqtari mbi asgjësimin e regjistrimeve dhe procesverbaleve të tyre, nuk apelohet.</w:t>
      </w:r>
    </w:p>
    <w:p w:rsidR="006C2B89" w:rsidRPr="006871FF" w:rsidRDefault="006C2B89" w:rsidP="00AB321B">
      <w:pPr>
        <w:pStyle w:val="NoSpacing"/>
        <w:numPr>
          <w:ilvl w:val="0"/>
          <w:numId w:val="29"/>
        </w:numPr>
        <w:tabs>
          <w:tab w:val="left" w:pos="1134"/>
        </w:tabs>
        <w:ind w:left="0" w:firstLine="567"/>
        <w:jc w:val="both"/>
        <w:rPr>
          <w:rFonts w:ascii="Georgia" w:hAnsi="Georgia" w:cstheme="majorBidi"/>
          <w:b/>
          <w:i/>
          <w:lang w:val="sq-AL"/>
        </w:rPr>
      </w:pPr>
      <w:r w:rsidRPr="006871FF">
        <w:rPr>
          <w:rFonts w:ascii="Georgia" w:hAnsi="Georgia" w:cstheme="majorBidi"/>
          <w:b/>
          <w:i/>
          <w:lang w:val="sq-AL"/>
        </w:rPr>
        <w:t>përdorimi në procedime të tjera</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 xml:space="preserve">Rezultatet e përgjimit mund të përdoren jo vetëm në procedimin në të cilin ato janë lejuar apo autorizuar.  Për çka, lejimin e parë të të cilit e ka sinjalizuar disiplinimi se «rezultati i përgjimit është i vlefshëm për të gjithë komunikuesit» (§4,neni 221 Kpp), i cili heq pengesën e përdorimit të tyre të përcaktuar për kundërvajtjet nga neni 225 Kpp që lejon përdorimin e rezultateve të përgjimeve në procedimet e tjera, kur ato janë të domosdoshme për hetimin e krimeve.  Duke folur pikërisht për ‘rezultatin e përgjimit’ është e kuptueshme, – në vështrim edhe të çka më sipër, – se bëhet fjalë për procesverbalet në të cilat janë transkriptuar të plota regjistrimet e </w:t>
      </w:r>
      <w:r w:rsidR="00CB5F70" w:rsidRPr="006871FF">
        <w:rPr>
          <w:rFonts w:ascii="Georgia" w:hAnsi="Georgia" w:cstheme="majorBidi"/>
          <w:lang w:val="sq-AL"/>
        </w:rPr>
        <w:t>Komunikimeve</w:t>
      </w:r>
      <w:r w:rsidR="00EE6B3A" w:rsidRPr="006871FF">
        <w:rPr>
          <w:rFonts w:ascii="Georgia" w:hAnsi="Georgia" w:cstheme="majorBidi"/>
          <w:lang w:val="sq-AL"/>
        </w:rPr>
        <w:t xml:space="preserve"> </w:t>
      </w:r>
      <w:r w:rsidRPr="006871FF">
        <w:rPr>
          <w:rFonts w:ascii="Georgia" w:hAnsi="Georgia" w:cstheme="majorBidi"/>
          <w:lang w:val="sq-AL"/>
        </w:rPr>
        <w:t>të përfituara nga përgjimi (§5, neni 223 Kpp), të cilat edhe në vështrim të provës dokument, në njërën nga rastet, lejohen të merren nën disiplinimin e marrjes së procesverbaleve të procedimeve të tjera të papërsëritshme (§4, neni 193 Kpp).</w:t>
      </w:r>
    </w:p>
    <w:p w:rsidR="006C2B89" w:rsidRPr="006871FF" w:rsidRDefault="006C2B89" w:rsidP="006C2B89">
      <w:pPr>
        <w:pStyle w:val="NoSpacing"/>
        <w:tabs>
          <w:tab w:val="left" w:pos="0"/>
        </w:tabs>
        <w:ind w:firstLine="567"/>
        <w:jc w:val="both"/>
        <w:rPr>
          <w:rFonts w:ascii="Georgia" w:hAnsi="Georgia" w:cstheme="majorBidi"/>
          <w:lang w:val="sq-AL"/>
        </w:rPr>
      </w:pPr>
      <w:r w:rsidRPr="006871FF">
        <w:rPr>
          <w:rFonts w:ascii="Georgia" w:hAnsi="Georgia" w:cstheme="majorBidi"/>
          <w:lang w:val="sq-AL"/>
        </w:rPr>
        <w:t>Por, në kuptim të parashikimit të pjesës së dytë të nenit 225 të Kpp që normon, se ‘procesverbalet dhe regjistrimet e përgjimeve depozitohen pranë organit tjetër që procedon’, ligjvënësi ka lënë hapësirën e nevojshme që ‘rezultatin e përgjimit’, pikërisht atë që në një procesverbal transkriptohet, – në mbështetje të heqjes së regjistrimeve dhe të procesverbaleve, përdorimi i të cilave ndalohet, – ta përmbushë gj.k.h.p. i procedimit tjetër.  Është ky një normim më garantues për mbrojtjen, i cili, në diferencë me atë që lejon përdorimin e drejtpërdrejtë të ‘rezultatit të përgjimit’, i jep mundësinë mbrojtësit në procedimin e ri të ushtrojë të drejtën për të shqyrtuar veprimet e për të dëgjuar regjistrimet e shoqëruar domosdo edhe nga ajo e paraqitjes së objeksioneve të mundshme pranë gj.k.h.p..</w:t>
      </w:r>
    </w:p>
    <w:p w:rsidR="004E3969" w:rsidRDefault="006C2B89" w:rsidP="00EE6B3A">
      <w:pPr>
        <w:pStyle w:val="NoSpacing"/>
        <w:numPr>
          <w:ilvl w:val="0"/>
          <w:numId w:val="29"/>
        </w:numPr>
        <w:tabs>
          <w:tab w:val="left" w:pos="1134"/>
        </w:tabs>
        <w:ind w:left="0" w:firstLine="567"/>
        <w:jc w:val="both"/>
        <w:rPr>
          <w:rFonts w:ascii="Georgia" w:hAnsi="Georgia" w:cstheme="majorBidi"/>
          <w:b/>
          <w:i/>
          <w:lang w:val="sq-AL"/>
        </w:rPr>
      </w:pPr>
      <w:r w:rsidRPr="006871FF">
        <w:rPr>
          <w:rFonts w:ascii="Georgia" w:hAnsi="Georgia" w:cstheme="majorBidi"/>
          <w:b/>
          <w:i/>
          <w:lang w:val="sq-AL"/>
        </w:rPr>
        <w:t>ndalimi i përdorimit</w:t>
      </w:r>
    </w:p>
    <w:p w:rsidR="004E3969" w:rsidRDefault="006C2B89" w:rsidP="004E3969">
      <w:pPr>
        <w:pStyle w:val="NoSpacing"/>
        <w:tabs>
          <w:tab w:val="left" w:pos="1134"/>
        </w:tabs>
        <w:jc w:val="both"/>
        <w:rPr>
          <w:rFonts w:ascii="Georgia" w:hAnsi="Georgia" w:cstheme="majorBidi"/>
        </w:rPr>
      </w:pPr>
      <w:r w:rsidRPr="004E3969">
        <w:rPr>
          <w:rFonts w:ascii="Georgia" w:hAnsi="Georgia" w:cstheme="majorBidi"/>
        </w:rPr>
        <w:t>Delikatesa dhe brishtësia e lëndës së përgjimeve mbrojtur me fanatizëm, po ashtu shprehet edhe në parashikimin e pasojave mjaft drastike, në rastin e shkeljes së çdo dispozite të seksionit, nga i cili ato rregullohen.  Parashikohet për këtë papërdorshmëria për të gjitha rezultatet, atëherë kur përgjimi është bërë ‘jashtë rasteve të lejuara nga ligji’ ose kur ‘nuk janë respektuar dispozitat e seksionit të IV, të kreut të III, të titullit të IV, të Pjesës së Parë të Kpp’ (§1, neni 226 Kpp), ashtu dhe të komunikimeve apo bisedave ‘të atyre që janë të detyruar të ruajnë sekretin për shkak të profesionit apo detyrës’, me përjashtim të rasteve kur këta persona kanë deponuar mbi të njëjtat fakte ose i kanë përhapur në ndonjë mënyrë tjetër (§2, neni 226 Kpp).  Me arritjen e një konkluzioni të tillë, pra që dokumentacioni i përgjimeve nuk mund të përdoret, gjykata urdhëron asgjësimin e tij.  Përjashtim bën rasti kur ai përbën provë materiale, pra kur ai ka shërbyer si mjet i realizimit të veprës penale apo mbi të cilin gjenden gjurmë të veprimeve të të pandehurit</w:t>
      </w:r>
    </w:p>
    <w:p w:rsidR="004E3969" w:rsidRDefault="004E3969" w:rsidP="004E3969">
      <w:pPr>
        <w:pStyle w:val="NoSpacing"/>
        <w:tabs>
          <w:tab w:val="left" w:pos="1134"/>
        </w:tabs>
        <w:jc w:val="center"/>
        <w:rPr>
          <w:rFonts w:ascii="Georgia" w:hAnsi="Georgia" w:cstheme="majorBidi"/>
        </w:rPr>
      </w:pPr>
    </w:p>
    <w:p w:rsidR="00B621D0" w:rsidRPr="004E3969" w:rsidRDefault="00B621D0" w:rsidP="004E3969">
      <w:pPr>
        <w:pStyle w:val="NoSpacing"/>
        <w:tabs>
          <w:tab w:val="left" w:pos="1134"/>
        </w:tabs>
        <w:jc w:val="center"/>
        <w:rPr>
          <w:rFonts w:ascii="Georgia" w:hAnsi="Georgia" w:cstheme="majorBidi"/>
          <w:b/>
          <w:i/>
          <w:lang w:val="sq-AL"/>
        </w:rPr>
      </w:pPr>
      <w:r w:rsidRPr="006871FF">
        <w:rPr>
          <w:rFonts w:ascii="Georgia" w:hAnsi="Georgia"/>
          <w:b/>
        </w:rPr>
        <w:t>Veprimet simuluese</w:t>
      </w:r>
    </w:p>
    <w:p w:rsidR="00B621D0" w:rsidRPr="006871FF" w:rsidRDefault="00B621D0" w:rsidP="00B621D0">
      <w:pPr>
        <w:pStyle w:val="NoSpacing"/>
        <w:ind w:firstLine="567"/>
        <w:jc w:val="both"/>
        <w:rPr>
          <w:rFonts w:ascii="Georgia" w:hAnsi="Georgia" w:cstheme="minorBidi"/>
          <w:lang w:val="sq-AL"/>
        </w:rPr>
      </w:pPr>
      <w:r w:rsidRPr="006871FF">
        <w:rPr>
          <w:rFonts w:ascii="Georgia" w:hAnsi="Georgia" w:cstheme="minorBidi"/>
          <w:lang w:val="sq-AL"/>
        </w:rPr>
        <w:t>Nevoja të hetimit, për të zbuluar sende që lidhen me veprën penale, si prova materiale në kuptim të nenit 187 Kpp si dhe për të lehtësuar ose ndërprerë pasojat e krimit apo nevoja të parandalimit për të penguar kryerjen e veprave të tjera penale, nëpërmjet asgjësimit të burimeve financiare dhe pasurore, kanë bindur ligjvënësin të normojë për kryerjen e ‘veprimeve simuluese’ (neni 294/a Kpp) nga ai që bashkëpunon me policinë ose punonjës i saj është, me qëllimin «[...] për të zbuluar dhe mbledhur prova për personat e dyshuar për kryerjen e një krimi [...]».  Normuar kështu, ‘veprimi simulues’ i Pol.gjyq. – që së bashku me ‘infiltrimin’ e Pol.gjyq. (neni 294/b Kpp) – mbartin karakteristikat e instrumentit të kërkimit të provës, i ngjashëm me mjetet e tjera si këqyrja, kontrolli, sekuestro dhe përgjimi.</w:t>
      </w:r>
    </w:p>
    <w:p w:rsidR="00B621D0" w:rsidRPr="006871FF" w:rsidRDefault="00B621D0" w:rsidP="00B621D0">
      <w:pPr>
        <w:pStyle w:val="NoSpacing"/>
        <w:ind w:firstLine="567"/>
        <w:jc w:val="both"/>
        <w:rPr>
          <w:rFonts w:ascii="Georgia" w:hAnsi="Georgia" w:cstheme="minorBidi"/>
          <w:lang w:val="sq-AL"/>
        </w:rPr>
      </w:pPr>
      <w:r w:rsidRPr="006871FF">
        <w:rPr>
          <w:rFonts w:ascii="Georgia" w:hAnsi="Georgia" w:cstheme="minorBidi"/>
          <w:lang w:val="sq-AL"/>
        </w:rPr>
        <w:t>Si subjekte që mund të aktivizohen në këtë veprim shtirës/simulues së pari parashikohet të jetë o.p.gj. dhe përveç tij çdo qytetar, i cili detyrimisht, për përmbushjen e saj, duhet të veprojë «[...] me autorizimin dhe nën mbikëqyrjen e prokurorit që kontrollon hetimet ose e prokurorit që ka në juridiksion territorin ku do të zhvillohet veprimi» simulues (§3, neni 294/a Kpp).  Prokurori që ka në juridiksion territorin duhet të kuptohet prokurori pranë gjykatës së rrethit gjyqësor në territorin e së cilës do të kryhet veprimi shtirës.  Ndërsa si subjekte pasive mbi të cilat bie kjo veprimtari mund të jetë kushdo, që është person i dyshuar për kryerjen e një krimi (§1, neni 294/a Kpp), lidhje e drejtpërdrejtë, e cila bën që veprimet simuluese të mos shndërrohen në një përndjekje.</w:t>
      </w:r>
    </w:p>
    <w:p w:rsidR="00B621D0" w:rsidRPr="006871FF" w:rsidRDefault="00B621D0" w:rsidP="00B621D0">
      <w:pPr>
        <w:pStyle w:val="NoSpacing"/>
        <w:ind w:firstLine="567"/>
        <w:jc w:val="both"/>
        <w:rPr>
          <w:rFonts w:ascii="Georgia" w:hAnsi="Georgia" w:cstheme="minorBidi"/>
          <w:lang w:val="sq-AL"/>
        </w:rPr>
      </w:pPr>
      <w:r w:rsidRPr="006871FF">
        <w:rPr>
          <w:rFonts w:ascii="Georgia" w:hAnsi="Georgia" w:cstheme="minorBidi"/>
          <w:lang w:val="sq-AL"/>
        </w:rPr>
        <w:t xml:space="preserve">Ndërsa si veprime të lejuara për tu kryer nga ata, në kuptim të simulimit, me të cilin kuptohet ajo sjellje duke u shtirur sikur, duke u hequr, duke shfaqur ndjenja që nuk përputhen me atë që në të vërtetë ata ndjejnë apo duke bërë të besohet një gjë që nuk është e vërtetë, janë përcaktuar tre të tilla, taksative e tipike dhe një e përgjithshme.  Taksative e tipike është  </w:t>
      </w:r>
      <w:r w:rsidRPr="006871FF">
        <w:rPr>
          <w:rFonts w:ascii="Georgia" w:hAnsi="Georgia" w:cstheme="minorBidi"/>
          <w:i/>
          <w:lang w:val="sq-AL"/>
        </w:rPr>
        <w:t>blerja ose shitja e simuluar</w:t>
      </w:r>
      <w:r w:rsidRPr="006871FF">
        <w:rPr>
          <w:rFonts w:ascii="Georgia" w:hAnsi="Georgia" w:cstheme="minorBidi"/>
          <w:lang w:val="sq-AL"/>
        </w:rPr>
        <w:t xml:space="preserve"> e sendeve, që janë të ndaluara për t’u prodhuar, zotëruar, mbajtur, tregtuar, apo që rrjedhin nga një krim, siç për shembull blerja e një mjeti motorik të vjedhur (neni 141/a kPenal) edhe pse vepër penale kjo blerje përbën.  Po ashtu është edhe ‘</w:t>
      </w:r>
      <w:r w:rsidRPr="006871FF">
        <w:rPr>
          <w:rFonts w:ascii="Georgia" w:hAnsi="Georgia" w:cstheme="minorBidi"/>
          <w:i/>
          <w:lang w:val="sq-AL"/>
        </w:rPr>
        <w:t>simulimi i një veprimi korruptiv</w:t>
      </w:r>
      <w:r w:rsidRPr="006871FF">
        <w:rPr>
          <w:rFonts w:ascii="Georgia" w:hAnsi="Georgia" w:cstheme="minorBidi"/>
          <w:lang w:val="sq-AL"/>
        </w:rPr>
        <w:t>’, siç për shembull ofrimi i një përfitimi të parregullt për të kryer një veprim që lidhet me detyrën e tij (neni 260 kPenal).  Gjithashtu në ligji të veçantë është parashikuar tipike edhe një «</w:t>
      </w:r>
      <w:r w:rsidRPr="006871FF">
        <w:rPr>
          <w:rFonts w:ascii="Georgia" w:hAnsi="Georgia" w:cstheme="minorBidi"/>
          <w:i/>
          <w:lang w:val="sq-AL"/>
        </w:rPr>
        <w:t xml:space="preserve">blerje e stimuluar </w:t>
      </w:r>
      <w:r w:rsidRPr="006871FF">
        <w:rPr>
          <w:rFonts w:ascii="Georgia" w:hAnsi="Georgia" w:cstheme="minorBidi"/>
          <w:lang w:val="sq-AL"/>
        </w:rPr>
        <w:t>e [...]</w:t>
      </w:r>
      <w:r w:rsidRPr="006871FF">
        <w:rPr>
          <w:rFonts w:ascii="Georgia" w:hAnsi="Georgia" w:cstheme="minorBidi"/>
          <w:i/>
          <w:lang w:val="sq-AL"/>
        </w:rPr>
        <w:t xml:space="preserve"> substanca</w:t>
      </w:r>
      <w:r w:rsidRPr="006871FF">
        <w:rPr>
          <w:rFonts w:ascii="Georgia" w:hAnsi="Georgia" w:cstheme="minorBidi"/>
          <w:lang w:val="sq-AL"/>
        </w:rPr>
        <w:t xml:space="preserve"> narkotike ose psikotrope, substanca kimike bazë, prekursorë [...]» (§1, neni 2 PLTSNP). ndërkohë që janë të përgjithshme mjafton të përmbajnë simulimin/sikur ‘</w:t>
      </w:r>
      <w:r w:rsidRPr="006871FF">
        <w:rPr>
          <w:rFonts w:ascii="Georgia" w:hAnsi="Georgia" w:cstheme="minorBidi"/>
          <w:i/>
          <w:lang w:val="sq-AL"/>
        </w:rPr>
        <w:t>veprimet e tjera simuluese</w:t>
      </w:r>
      <w:r w:rsidRPr="006871FF">
        <w:rPr>
          <w:rFonts w:ascii="Georgia" w:hAnsi="Georgia" w:cstheme="minorBidi"/>
          <w:lang w:val="sq-AL"/>
        </w:rPr>
        <w:t>’, siç për shembull fshehja e pasurisë pas falimentimit (neni 195 kPenal).  Të tria llojet e veprimeve ‘simuluese’ të përcaktuara si të mundshme për tu kryer, me qëllim të zbulimit të të dhënave financiare, janë veprime domosdoshmërish me karakter kriminal.  Parashikimi përjashtues i kryerjes së një veprimi simulues lejon çinkriminimin a justifikimin e personit simulues të veprimit, por edhe rivendos gjendjen apo statusin civil të sendeve, ashtu siç ishte ai përpara veprimit simulues.</w:t>
      </w:r>
    </w:p>
    <w:p w:rsidR="00B621D0" w:rsidRPr="006871FF" w:rsidRDefault="00B621D0" w:rsidP="00B621D0">
      <w:pPr>
        <w:pStyle w:val="NoSpacing"/>
        <w:ind w:firstLine="567"/>
        <w:jc w:val="both"/>
        <w:rPr>
          <w:rFonts w:ascii="Georgia" w:hAnsi="Georgia" w:cstheme="minorBidi"/>
          <w:lang w:val="sq-AL"/>
        </w:rPr>
      </w:pPr>
      <w:r w:rsidRPr="006871FF">
        <w:rPr>
          <w:rFonts w:ascii="Georgia" w:hAnsi="Georgia" w:cstheme="minorBidi"/>
          <w:lang w:val="sq-AL"/>
        </w:rPr>
        <w:t>Ndërsa si qëllim të përmbushjes së veprimeve simuluese, kushdo qofshin ato, ligjvënësi ka përcaktuar «[...] për të zbuluar dhe mbledhur prova për personat e dyshuar për kryerjen e një krimi [...]» (§1, neni 294/a Kpp).  Kështu qëllimi i përmbushjes së veprimeve simuluese parimisht nuk del aspak jashtë nga rrethi i detyrës dhe funksionit të Pol.gjyq. që është gjithashtu ‘zbulues dhe mbledhës i provave’, përveçse duke sakrifikuar përmbushjen e një veprimi kriminal të simuluar, përcaktohet në objektin e të zbuluarit dhe marrjes së provave.  Ndërkohë që i dyshuar, vetëkuptohet se është i hetuari në ngarkim të të cilit po zhvillohen hetimet emri i të cilit tashmë është shënuar në regjistrin e njoftimit të veprave penale të prokurorit.</w:t>
      </w:r>
    </w:p>
    <w:p w:rsidR="00B621D0" w:rsidRPr="006871FF" w:rsidRDefault="00B621D0" w:rsidP="00B621D0">
      <w:pPr>
        <w:pStyle w:val="NoSpacing"/>
        <w:ind w:firstLine="567"/>
        <w:jc w:val="both"/>
        <w:rPr>
          <w:rFonts w:ascii="Georgia" w:hAnsi="Georgia" w:cstheme="minorBidi"/>
          <w:lang w:val="sq-AL"/>
        </w:rPr>
      </w:pPr>
      <w:r w:rsidRPr="006871FF">
        <w:rPr>
          <w:rFonts w:ascii="Georgia" w:hAnsi="Georgia" w:cstheme="minorBidi"/>
          <w:lang w:val="sq-AL"/>
        </w:rPr>
        <w:t>Duke parashikuar blerjen e simuluar me ligj të veçantë PLTSNP, ligjvënësi po ashtu për të ka shtuar edhe qëllimin e simulimit të veprimit, duke përcaktuar se përdoret metoda e blerjes së simuluar «[...] me qëllim [...] identifikimin e arrestimin e personave të përfshirë në trafikun e drogave» (§1, neni 13 PLTSNP), qëllim i cili i atashohet dhe përfshihet në atë që sanksionohet për organin e Pol.gjyq. në hetime të nevojshme që lidhen me ushtrimin e ndjekjes penale’ (neni 277 Kpp) apo në ‘arrestimin në flagrancë (neni 251 Kpp).</w:t>
      </w:r>
    </w:p>
    <w:p w:rsidR="00B621D0" w:rsidRPr="006871FF" w:rsidRDefault="00B621D0" w:rsidP="00B621D0">
      <w:pPr>
        <w:pStyle w:val="NoSpacing"/>
        <w:ind w:firstLine="567"/>
        <w:jc w:val="both"/>
        <w:rPr>
          <w:rFonts w:ascii="Georgia" w:hAnsi="Georgia" w:cstheme="minorBidi"/>
          <w:lang w:val="sq-AL"/>
        </w:rPr>
      </w:pPr>
      <w:r w:rsidRPr="006871FF">
        <w:rPr>
          <w:rFonts w:ascii="Georgia" w:hAnsi="Georgia" w:cstheme="minorBidi"/>
          <w:lang w:val="sq-AL"/>
        </w:rPr>
        <w:t>Por nga ana tjetër normohet se «nuk duhet provokuar një veprim kriminal, duke shtyrë një person të kryejë një krim, të cilin nuk do ta kishte kryer po të mos ishte ndërhyrja e policisë» (§3, neni 294/b Kpp).  Ky normim duket sikur bie në kundërshtim me atë që i është lejuar të bëjë oficeri a personi i autorizuar, për shkak të autorizimit për të kryer sidoqoftë një veprim simulues që në vetvete është i kundërligjshëm.  Për këtë nga pikëpamja materiale, nëse veprimi simulues është shkaku që përcakton përmbushjen e veprimit kriminal nga i nxituri, ahere ky i fundit nuk ka përgjegjësi penale, sepse nga këndvështrimi objektiv, midis veprimit ose mosveprimit të tij dhe pasojave apo mundësisë së ardhjes së tyre, mungon lidhja shkakësore (neni 13 kPenal), ngaqë shkak i pasojave apo mundësisë së ardhjes së tyre, është veprimi simulues i Pol.gjyq. apo i qytetarit të autorizuar.</w:t>
      </w:r>
    </w:p>
    <w:p w:rsidR="00B621D0" w:rsidRPr="006871FF" w:rsidRDefault="00B621D0" w:rsidP="00B621D0">
      <w:pPr>
        <w:pStyle w:val="NoSpacing"/>
        <w:ind w:firstLine="567"/>
        <w:jc w:val="both"/>
        <w:rPr>
          <w:rFonts w:ascii="Georgia" w:hAnsi="Georgia" w:cstheme="minorBidi"/>
          <w:lang w:val="sq-AL"/>
        </w:rPr>
      </w:pPr>
      <w:r w:rsidRPr="006871FF">
        <w:rPr>
          <w:rFonts w:ascii="Georgia" w:hAnsi="Georgia" w:cstheme="minorBidi"/>
          <w:lang w:val="sq-AL"/>
        </w:rPr>
        <w:t>Ndërsa në mbështetje të këtij çinkriminimi, qëndron nga pikëpamja procedurale shprehur me ‘papërdorshmëri të rezultatit’, normimi se «nuk duhet provokuar një veprim kriminal, duke shtyrë një person të kryejë një krim, të cilin nuk do ta kishte kryer po të mos ishte ndërhyrja e policisë [...]» (§3, neni 294/a Kpp), ku ndërhyrja këtu është ajo e o.p.gj. apo personit të autorizuar.  Në këtë rast ‘provokimi’ ka kuptimin e ‘nxitjes me qëllim të keq, me veprime apo shprehje, për të shqetësuar, për të turbulluar nga pikëpamja emocionale, me synimin për të bërë të reagohet me inat, zemërim, mllef, indinjatë, pezmatim apo mëri në përmbushjen e veprimeve kriminale, që do të thotë se shkak i veprimeve të të provokuarit nuk është vetvetja sipas qëndrimit psikik të tij, por shkak i veprimeve kriminale, përcaktues, i pandërmjetëm dhe i vetëm është pikërisht provokimi, veprimet e jashtme të Pol.gjyq. apo qytetarit të autorizuar.  Për këtë veprimi i simuluar merr karakteristikat e veprimit provokues, nëse ai kryhet si pasojë e aktivizimit dhe ndërhyrjes shtytëse të drejtpërdrejtë dhe të vetme nga o.p.gj. apo qytetari i autorizuar.  Kështu rezulton se ndërsa lejimi i simulimit çinkriminon e justifikon o.p.gj. a personin e autorizuar, papërdorshmëria e rezultatit nuk mundëson inkriminimin e personit tjetër.  Nga çka veprimi i simuluar dhe njëkohësisht provokues shërben veçse për zbulimin dhe marrjen e provave, apo identifikimin e arrestimin e personave të përfshirë në trafikun e drogave» (§1, neni 13 PLTSNP).  Për shembull, nëse dyshohet se arma e caktuar është përdorur në krimin e vrasjes dhe simulohet blerja e saj, që për shitësin është provokim i krimit të trafikimi i armëve dhe i municionit nëpërmjet tregtimit (neni 278/a kPenal), sepse Pol.gjyq. lejohet të simulojë blerjen (§1, neni 294/a Kpp), ky i fundit nuk mund të akuzohet për krimin e parashikuar nga nenit 278/a kPenal.  Ndërkohë që po ashtu, sepse shitësi i armës, sepse është i provokuar e rezultati nuk mund të përdoret (§3, neni 294/a Kpp) edhe ai nuk mund të akuzohet për krimin e nenit 278/a kPenal.  Porse arma e përfituar nga ky simulim është prova e zbuluar dhe e mbledhur mbi pronësinë saj nga personi që shiti atë, çka është dhe qëllimi i veprimit simulues.</w:t>
      </w:r>
    </w:p>
    <w:p w:rsidR="00B621D0" w:rsidRPr="006871FF" w:rsidRDefault="00B621D0" w:rsidP="00B621D0">
      <w:pPr>
        <w:pStyle w:val="NoSpacing"/>
        <w:ind w:firstLine="567"/>
        <w:jc w:val="both"/>
        <w:rPr>
          <w:rFonts w:ascii="Georgia" w:hAnsi="Georgia" w:cstheme="minorBidi"/>
          <w:lang w:val="sq-AL"/>
        </w:rPr>
      </w:pPr>
      <w:r w:rsidRPr="006871FF">
        <w:rPr>
          <w:rFonts w:ascii="Georgia" w:hAnsi="Georgia" w:cstheme="minorBidi"/>
          <w:lang w:val="sq-AL"/>
        </w:rPr>
        <w:t>Por nga ana tjetër është i ndryshëm veprimi simulues dhe aspak i ngjashëm ai, me veprimtarinë provokuese, ahere kur veprimi kriminal nuk është pasojë e drejtpërdrejtë dhe e vetme e simulimit të Pol.gjyq.. apo qytetarit të autorizuar.  Kështu nëse personi, krejt në zgjedhje të lirë të veprimeve të tij, ka vendosur të kryejë veprimin kriminal, për shembull shitjen e një sendi të ndaluar në qarkullimin civil, oferta për blerje e Pol.gjyq. apo e qytetarit të autorizuar, megjithëse është veprimtari simuluese nga këndvështrimi i Pol.gjyq., nuk është nxitëse dhe përcaktuese e përmbushjes së veprimit kriminal.  Ajo e shoqëron apo dhe e plotëson atë, por nuk luan rolin e shkakut përcaktues dhe të vetëm të veprimtarisë kriminale, për çka është dhe jashtë veprimit provokues.  Pasojat apo mundësia e ardhjes së pasojave kriminale janë rrjedhojë e drejtpërdrejt e veprimeve të autorit që më parë i ka parashikuar ti kryente ato, pavarësisht bashkëveprimit të Pol.gjyq. apo qytetarit të autorizuar, për çka dhe përgjegjës penalisht për veprimin kriminal.</w:t>
      </w:r>
    </w:p>
    <w:p w:rsidR="00B621D0" w:rsidRPr="006871FF" w:rsidRDefault="00B621D0" w:rsidP="00B621D0">
      <w:pPr>
        <w:pStyle w:val="NoSpacing"/>
        <w:ind w:firstLine="567"/>
        <w:jc w:val="both"/>
        <w:rPr>
          <w:rFonts w:ascii="Georgia" w:hAnsi="Georgia" w:cstheme="minorBidi"/>
          <w:lang w:val="sq-AL"/>
        </w:rPr>
      </w:pPr>
      <w:r w:rsidRPr="006871FF">
        <w:rPr>
          <w:rFonts w:ascii="Georgia" w:hAnsi="Georgia" w:cstheme="minorBidi"/>
          <w:lang w:val="sq-AL"/>
        </w:rPr>
        <w:t>I tillë kërkohet të jetë edhe blerja e stimuluar e substancës narkotike ose psikotrope, substanca kimike bazë, prekursorë (§1, neni 2 PLTSNP), që ka për qëllim «identifikimin e arrestimin e personave të përfshirë në trafikun e drogave» (§1, neni 13 PLTSNP), duke ruajtur gjithnjë ndalimin për të mos nxitur veprimin kriminal të mbajtjes a trafikimit të lëndës narkotike.  Për çka lejohet blerja e stimuluar e substancës narkotike duke përmbushur kështu dhe qëllimin e saj të parashikuar në ligj, kur shitësi, krejt në zgjedhje të lirë të veprimeve të tij, ka vendosur të kryejë veprimin kriminal.  Kështu oferta për blerje e Pol.gjyq. të autorizuar, megjithëse është veprimtari simuluese nga këndvështrimi i Pol.gjyq., nuk është nxitëse dhe përcaktuese e përmbushjes së veprimit kriminal.  Ajo e shoqëron apo dhe e plotëson atë, por nuk luan rolin e shkakut përcaktues dhe të vetëm të veprimtarisë kriminale, për çka është dhe jashtë veprimit provokues.  Pasojat apo mundësia e ardhjes së pasojave kriminale janë rrjedhojë e drejtpërdrejt e veprimeve të autorit shitës që më parë i ka parashikuar ti kryente ato, për çka dhe përgjegjës penalisht për veprimin kriminal, sepse provat dhe rezultatet e veprimit janë të përdorshme pa kufizim.</w:t>
      </w:r>
    </w:p>
    <w:p w:rsidR="00B621D0" w:rsidRPr="006871FF" w:rsidRDefault="00B621D0" w:rsidP="00B621D0">
      <w:pPr>
        <w:pStyle w:val="NoSpacing"/>
        <w:ind w:firstLine="567"/>
        <w:jc w:val="both"/>
        <w:rPr>
          <w:rFonts w:ascii="Georgia" w:hAnsi="Georgia" w:cstheme="minorBidi"/>
          <w:lang w:val="sq-AL"/>
        </w:rPr>
      </w:pPr>
      <w:r w:rsidRPr="006871FF">
        <w:rPr>
          <w:rFonts w:ascii="Georgia" w:hAnsi="Georgia" w:cstheme="minorBidi"/>
          <w:lang w:val="sq-AL"/>
        </w:rPr>
        <w:t>Sigurisht, në të tilla raste, kërkohet një vlerësim i mëparshëm, për të njohur saktësisht nëse veprimi i Pol.gjyq. paraqitet me elementë të bashkëveprimit, shoqërimi apo plotësimit të shkakut nxitës, nga ku dhe përgjegjësia e autorit gjen çmuarjen e duhur dhe të drejtë.  Kështu, asnjëherë ‘veprimi simulues’ nuk duhet kuptuar i njëjtë me provokimin e një krimi, të cilin fajtori</w:t>
      </w:r>
      <w:r w:rsidRPr="006871FF">
        <w:rPr>
          <w:rFonts w:ascii="Georgia" w:hAnsi="Georgia" w:cstheme="minorBidi"/>
          <w:i/>
          <w:lang w:val="sq-AL"/>
        </w:rPr>
        <w:t>/reo</w:t>
      </w:r>
      <w:r w:rsidRPr="006871FF">
        <w:rPr>
          <w:rFonts w:ascii="Georgia" w:hAnsi="Georgia" w:cstheme="minorBidi"/>
          <w:lang w:val="sq-AL"/>
        </w:rPr>
        <w:t xml:space="preserve"> nuk do ta kishte kryer po të mos ishte ndërhyrja e Pol.gjyq..  Në rastin e mësipërm, ndërhyrja e Pol.gjyq. nuk është përcaktuese, sepse nëse ajo nuk do të ishte, veprimtaria shitëse kriminale, sipas vullnetit të pa nxitur të vetë autorit, nuk do të ndalej, për çka një tjetër i ndryshëm nga Pol.gjyq. do ta shoqëronte në bashkëveprim atë.  Në të kundërt, nëse aspak në mendje dhe në dëshirën e autorit nuk qëndron vullneti për të kryer shitjen e sendit të ndaluar nga qarkullimi civil dhe ndërhyrja nëpërmjet veprimit simulues të ofrimit për shitje e Pol.gjyq. transformon vullnetin e tij, për çka një nxitje që shkakton drejtpërdrejtë dhe e vetme aktivizimin e shitjes së sendit, ahere veprimet e autorit janë ‘të provokuara’ nga ndërhyrja e o.p.gj. a personit të autorizuar, që e shkarkon autorin nga përgjegjësia penale.</w:t>
      </w:r>
    </w:p>
    <w:p w:rsidR="00B621D0" w:rsidRPr="006871FF" w:rsidRDefault="00B621D0" w:rsidP="00B621D0">
      <w:pPr>
        <w:pStyle w:val="NoSpacing"/>
        <w:ind w:firstLine="567"/>
        <w:jc w:val="both"/>
        <w:rPr>
          <w:rFonts w:ascii="Georgia" w:hAnsi="Georgia" w:cstheme="minorBidi"/>
          <w:lang w:val="sq-AL"/>
        </w:rPr>
      </w:pPr>
      <w:r w:rsidRPr="006871FF">
        <w:rPr>
          <w:rFonts w:ascii="Georgia" w:hAnsi="Georgia" w:cstheme="minorBidi"/>
          <w:lang w:val="sq-AL"/>
        </w:rPr>
        <w:t>Mbi bazën e inkriminimit apo jo të autorit të veprës penale, del në pah dhe qëndrimi ndaj përgjegjësisë penale të o.p.gj. apo e atij që është autorizuar nga prokurori, përgjegjësi apo jo e cila e ka bazën në normën e përgjithshme penale të nenit 21 kPenal.  Sipas kësaj norme personi, siç o.p.gj., i cili vepron për të përmbushur detyra të caktuara nga ligji, siç është funksioni hetimor i Pol.gjyq. dhe veprimi simulues, apo çdo person i cili vepron sipas një urdhri, siç autorizimi, i dhënë prej një personi kompetent, siç është prokurori, nuk ka përgjegjësi penale.  Kështu nëse o.p.gj., apo qytetari kushdo i autorizuar nga prokurori, përmbush një ‘veprim simulues’, edhe pse ‘provokues i një krimi’ mund të jetë, ai nuk mban përgjegjësi penale.</w:t>
      </w:r>
    </w:p>
    <w:p w:rsidR="00B621D0" w:rsidRPr="006871FF" w:rsidRDefault="00B621D0" w:rsidP="00B621D0">
      <w:pPr>
        <w:pStyle w:val="NoSpacing"/>
        <w:ind w:firstLine="567"/>
        <w:jc w:val="both"/>
        <w:rPr>
          <w:rFonts w:ascii="Georgia" w:hAnsi="Georgia" w:cstheme="minorBidi"/>
          <w:lang w:val="sq-AL"/>
        </w:rPr>
      </w:pPr>
      <w:r w:rsidRPr="006871FF">
        <w:rPr>
          <w:rFonts w:ascii="Georgia" w:hAnsi="Georgia" w:cstheme="minorBidi"/>
          <w:lang w:val="sq-AL"/>
        </w:rPr>
        <w:t>Ndërsa nga pikëpamja procedurale shmangia nga përgjegjësia penale, mbështetet edhe nga normimi procedural që disiplinon se «kur vërtetohet provokimi, rezultati nuk mund të përdoret» (§3, neni 294/a Kpp), i cili si një ndalim absolut nuk lejon të gjendet e provuar as vetë vepra penale – veçanërisht ajo që nuk lë shenja/pasoja materiale – duke shmangur kështu jo vetëm përgjegjësinë penale të o.p.gj. dhe/ose qytetarit të autorizuar nga prokurori, por edhe përgjegjësinë penale të autorit të nxitur/provokuar të veprës penale.</w:t>
      </w:r>
    </w:p>
    <w:p w:rsidR="00B621D0" w:rsidRPr="006871FF" w:rsidRDefault="00B621D0" w:rsidP="00B621D0">
      <w:pPr>
        <w:pStyle w:val="NoSpacing"/>
        <w:ind w:firstLine="567"/>
        <w:jc w:val="both"/>
        <w:rPr>
          <w:rFonts w:ascii="Georgia" w:hAnsi="Georgia" w:cstheme="minorBidi"/>
          <w:lang w:val="sq-AL"/>
        </w:rPr>
      </w:pPr>
      <w:r w:rsidRPr="006871FF">
        <w:rPr>
          <w:rFonts w:ascii="Georgia" w:hAnsi="Georgia" w:cstheme="minorBidi"/>
          <w:lang w:val="sq-AL"/>
        </w:rPr>
        <w:t>Paragrafi 2 i nenit 294/a Kpp normon se «[...] pas kryerjes së këtyre veprimeve, Pol.gjyq. duhet t'i dorëzojë prokurorit të gjitha provat e mbledhura dhe një raport përmbledhës», që duke e krahasuar me qëllimin e ‘veprimtarisë simuluese’, e cila konsiston në ‘zbulimin dhe marrjen e provave’ dhe veçanërisht duke e krahasuar me normimin se «gjatë hetimeve paraprake provat merren nga organi që procedon, sipas rregullave të caktuara në këtë Kod» (§1, neni 151 Kpp), është e qartë se jo vetëm ‘provat e mbledhura’ janë të tilla, por edhe ‘raporti përmbledhës’ ka një forcë të tillë provuese, sepse ai është marrë nga organi i Pol.gjyq. që procedon gjatë hetimeve paraprake (neni 277 Kpp), sipas rregullave të caktuara në këtë Kod (§1, neni 151 Kpp), që është pikërisht rregulli i parashikuar për ‘veprimet simuluese’ (neni 294/a Kpp).  Kështu, si për provat e marra, që sipas llojit mund të ‘tregohen për tu shqyrtuar’ (§1, neni 356 Kpp) nga prokurori apo të marren në gjykim (nenet 361-367 Kpp), për çka dhe të verifikuara apo marra në shqyrtimin gjyqësor, ashtu dhe për ‘raportin përmbledhës’, që është provë për shkak të përcaktimeve të më sipërme dhe që për këtë është «[...] akt tjetër të rëndësishëm për gjykimin», normohet përfshirja e tij në fashikullin e gjykimit (shkronja ‘g’, §2, neni 332/ë Kpp), që nëpërmjet ‘leximit të lejueshëm’ (§1, neni 369 Kpp), po ashtu verifikohet në shqyrtimin gjyqësor mbi të cilin vendos gjykata në marrjen e vendimit (neni 380 Kpp).</w:t>
      </w:r>
    </w:p>
    <w:p w:rsidR="00B621D0" w:rsidRPr="006871FF" w:rsidRDefault="00B621D0" w:rsidP="00B621D0">
      <w:pPr>
        <w:pStyle w:val="NoSpacing"/>
        <w:ind w:firstLine="567"/>
        <w:jc w:val="both"/>
        <w:rPr>
          <w:rFonts w:ascii="Georgia" w:hAnsi="Georgia" w:cstheme="minorBidi"/>
          <w:lang w:val="sq-AL"/>
        </w:rPr>
      </w:pPr>
      <w:r w:rsidRPr="006871FF">
        <w:rPr>
          <w:rFonts w:ascii="Georgia" w:hAnsi="Georgia" w:cstheme="minorBidi"/>
          <w:lang w:val="sq-AL"/>
        </w:rPr>
        <w:t>Nga ana tjetër, ndërsa veprimet simuluese të nenit 294/a parashikohen në kreun IV, të titullit VI, të pjesës së dytë të Kpp, nën emërtimin ‘veprimet me iniciativë të Pol.gjyq.’, që do të thotë se veprimi simulues mund të kryhet me iniciativë të Pol.gjyq., kërkesa që normon se «këto veprime bëhen me autorizimin dhe nën mbikëqyrjen e prokurorit [...]» (§2, neni 294/a), heq çdo dyshim, duke e përcaktuar veprimin e simulimit jashtë sferës së iniciativës së Pol.gjyq..  Për këtë arsye, ligjvënësi nuk parashikon pavlefshmëri për rastin e zbulimit e marrjes së provave, në mungesë të autorizimit të prokurorit, sepse provat e zbuluara e të marra, nuk mund të përdoret, sepse janë «[...] në shkelje të ndalimeve të parashikuara nga ligji [...]» (§3, neni 151 Kpp), ku ndalimi ligjor qëndron pikërisht në blerjen a shitjen e sendeve që janë të ndaluara për t’u prodhuar, zotëruar, mbajtur apo tregtuar, që rrjedhin nga një krim dhe vetë akti korruptiv.</w:t>
      </w:r>
    </w:p>
    <w:p w:rsidR="007C5DB8" w:rsidRDefault="00B621D0" w:rsidP="007C5DB8">
      <w:pPr>
        <w:pStyle w:val="NoSpacing"/>
        <w:ind w:firstLine="567"/>
        <w:jc w:val="both"/>
        <w:rPr>
          <w:rFonts w:ascii="Georgia" w:hAnsi="Georgia" w:cstheme="minorBidi"/>
          <w:lang w:val="sq-AL"/>
        </w:rPr>
      </w:pPr>
      <w:r w:rsidRPr="006871FF">
        <w:rPr>
          <w:rFonts w:ascii="Georgia" w:hAnsi="Georgia" w:cstheme="minorBidi"/>
          <w:lang w:val="sq-AL"/>
        </w:rPr>
        <w:t>Ligjvënësi parashikon se ‘veprimin simulues’ mund ta kryejë jo vetëm Pol.gjyq., por edhe një qytetar (§1, neni 294/a Kpp) që nuk ushtron veprimtarinë e Pol.gjyq..  Ligja kërkon autorizimin e prokurorit (§2, neni 294/a Kpp), nga ku ky i fundit, siç dhe për vetë Pol.gjyq. është i nevojshëm në kuadrin e përmbushjes së rregullt të detyrës.   Për çka,  mungesa  e  autorizimit  mbetet të jetë ‘një</w:t>
      </w:r>
      <w:r w:rsidR="00F163D4" w:rsidRPr="006871FF">
        <w:rPr>
          <w:rFonts w:ascii="Georgia" w:hAnsi="Georgia" w:cstheme="minorBidi"/>
          <w:lang w:val="sq-AL"/>
        </w:rPr>
        <w:t xml:space="preserve"> </w:t>
      </w:r>
      <w:r w:rsidRPr="006871FF">
        <w:rPr>
          <w:rFonts w:ascii="Georgia" w:hAnsi="Georgia" w:cstheme="minorBidi"/>
          <w:lang w:val="sq-AL"/>
        </w:rPr>
        <w:t xml:space="preserve">pretendim’ i qytetarit, nga ku provat e marra nga Pol.gjyq., në përfundim të veprimit, janë njësoj të marra si në një procedim të zakonshëm.  Kështu prania e autorizimit shmang papërdorshmërinë e provave të marra në përfundim të veprimit simulues si edhe përgjegjësinë </w:t>
      </w:r>
      <w:r w:rsidR="007C5DB8">
        <w:rPr>
          <w:rFonts w:ascii="Georgia" w:hAnsi="Georgia" w:cstheme="minorBidi"/>
          <w:lang w:val="sq-AL"/>
        </w:rPr>
        <w:t>penale në ngarkim të qytetarit.</w:t>
      </w:r>
    </w:p>
    <w:p w:rsidR="007C5DB8" w:rsidRDefault="007C5DB8" w:rsidP="007C5DB8">
      <w:pPr>
        <w:pStyle w:val="NoSpacing"/>
        <w:jc w:val="both"/>
        <w:rPr>
          <w:rFonts w:ascii="Georgia" w:hAnsi="Georgia" w:cstheme="minorBidi"/>
          <w:lang w:val="sq-AL"/>
        </w:rPr>
      </w:pPr>
    </w:p>
    <w:p w:rsidR="00B621D0" w:rsidRPr="007C5DB8" w:rsidRDefault="00B621D0" w:rsidP="007C5DB8">
      <w:pPr>
        <w:pStyle w:val="NoSpacing"/>
        <w:jc w:val="center"/>
        <w:rPr>
          <w:rFonts w:ascii="Georgia" w:hAnsi="Georgia" w:cstheme="minorBidi"/>
          <w:lang w:val="sq-AL"/>
        </w:rPr>
      </w:pPr>
      <w:r w:rsidRPr="006871FF">
        <w:rPr>
          <w:rFonts w:ascii="Georgia" w:hAnsi="Georgia" w:cstheme="minorBidi"/>
          <w:b/>
          <w:lang w:val="sq-AL"/>
        </w:rPr>
        <w:t>Punonjësi i policisë i infiltruar</w:t>
      </w:r>
    </w:p>
    <w:p w:rsidR="00B621D0" w:rsidRPr="006871FF" w:rsidRDefault="00B621D0" w:rsidP="00B621D0">
      <w:pPr>
        <w:pStyle w:val="NoSpacing"/>
        <w:ind w:firstLine="567"/>
        <w:jc w:val="both"/>
        <w:rPr>
          <w:rFonts w:ascii="Georgia" w:hAnsi="Georgia" w:cstheme="minorBidi"/>
          <w:lang w:val="sq-AL"/>
        </w:rPr>
      </w:pPr>
      <w:r w:rsidRPr="006871FF">
        <w:rPr>
          <w:rFonts w:ascii="Georgia" w:hAnsi="Georgia" w:cstheme="minorBidi"/>
          <w:lang w:val="sq-AL"/>
        </w:rPr>
        <w:t>Ligjvënësi, pasi ka njohur se krimi tashmë ka tiparet edhe të një fenomeni, në fushën e ndeshjes e duke u përpjekur të krijojë instrumente më të sofistikuar për të zbuluar veçanërisht krimin e rëndë të përpunuar në format e veçanta të bashkëpunimit kriminal, ka rregulluar nga këndvështrimi procedural mundësinë e zbulimit, individualizimit dhe mbledhjen e të dhënave të nevojshme për hetimin, nëpërmjet futjes në përbërjen e një grupi kriminal, të oficerit apo agjentit të Pol.gjyq., i cili natyrisht që fsheh detyrën e tij apo bashkëpunimin me policinë (neni 294/b Kpp).  Është pikërisht ‘simulimi’ i veprimtarisë së of/agj të Pol.gjyq. mjeti i normuar ‘infiltrim’ (depërtim), nga ku ai shtiret sikur, duke paraqitur si të vërtetë nëpërmjet shfaqjes së ndjenjave për të bërë që të besohet se dëshiron të jetë anëtar i një bashkëpunimi kriminal apo «[...] futet në brendësi të një organizate kriminale [...]» (§5, neni 2 PLTSNP), situatë e cila nuk përputhet me atë që është e vërtetë apo që ekziston, si ushtrues i detyrës së tij të Pol.gjyq..  Me të tillë normim ligjvënësi e ka drejtuar dhe përcaktuar veprimtarinë e Pol.gjyq., vetëm në simulimin e veprimit tashmë kriminal të ‘pjesëmarrjes në grupin kriminal’, që duke kuptuar ‘grupin kriminal’, si formë e veçantë e bashkëpunimit kriminal, të përputhur me përcaktimin e paragrafit të dytë të nenit 333 dhe paragrafit të dytë të nenit 333/a të kPenal, e përfshin atë në katër forma të bashkëpunimit të veçantë, të ‘organizata kriminale’, ‘organizata terroriste’, ‘banda e armatosur’ dhe ‘grupi i strukturuar kriminal (neni 28 kPenal).</w:t>
      </w:r>
    </w:p>
    <w:p w:rsidR="00B621D0" w:rsidRPr="006871FF" w:rsidRDefault="00B621D0" w:rsidP="00B621D0">
      <w:pPr>
        <w:pStyle w:val="NoSpacing"/>
        <w:ind w:firstLine="567"/>
        <w:jc w:val="both"/>
        <w:rPr>
          <w:rFonts w:ascii="Georgia" w:hAnsi="Georgia" w:cstheme="minorBidi"/>
          <w:lang w:val="sq-AL"/>
        </w:rPr>
      </w:pPr>
      <w:r w:rsidRPr="006871FF">
        <w:rPr>
          <w:rFonts w:ascii="Georgia" w:hAnsi="Georgia" w:cstheme="minorBidi"/>
          <w:lang w:val="sq-AL"/>
        </w:rPr>
        <w:t>Si subjekt të mundshëm infiltrues, të aftë për të marrë pjesë në veprimtarinë simuluese të ‘pjesëmarrjes në grupin kriminal’, ligjvënësi, ka përcaktuar vetëm oficerin dhe agjentin e Pol.gjyq., duke shmangur nga kjo veprimtari, krahasuar me atë të ‘veprimet simuluese’ (neni 294/a Kpp) çdo ‘person’ jashtë strukturave të Pol.gjyq. porse i lejuar në infiltrimin në rastin e parandalimit dhe luftën ndaj trafikut të substancave narkotike ose psikotrope ku «punonjës i policisë i infiltruar, kuptohet oficeri ose agjenti i Pol.gjyq., i shërbimit të luftës kundër drogës ose një person i autorizuar prej tyre […]» (§5, neni 2 PLTSNP).</w:t>
      </w:r>
    </w:p>
    <w:p w:rsidR="00B621D0" w:rsidRPr="006871FF" w:rsidRDefault="00B621D0" w:rsidP="00B621D0">
      <w:pPr>
        <w:pStyle w:val="NoSpacing"/>
        <w:ind w:firstLine="567"/>
        <w:jc w:val="both"/>
        <w:rPr>
          <w:rFonts w:ascii="Georgia" w:hAnsi="Georgia" w:cstheme="minorBidi"/>
          <w:lang w:val="sq-AL"/>
        </w:rPr>
      </w:pPr>
      <w:r w:rsidRPr="006871FF">
        <w:rPr>
          <w:rFonts w:ascii="Georgia" w:hAnsi="Georgia" w:cstheme="minorBidi"/>
          <w:lang w:val="sq-AL"/>
        </w:rPr>
        <w:t>Po ashtu, i njëjtë me ‘veprimet simuluese’ të nenit 294/a të Kpp, në mënyrë të detyrueshme paraqitet ‘autorizimi’ i prokurorit, i cili lejon përmbushjen e infiltrimit si veprim të futjes së of/agj të Pol.gjyq. në strukturat e çfarëdo lloj grupi kriminal.  Është ky një normim i cili e klasifikon infiltrimin e o.p.gj. si veprimtari të Pol.gjyq. jo me iniciativë të saj, i ndryshëm nga çka titullon kreu IV i titullit VI, edhe pse ligjvënësi e ka vendosur të radhitur në të.  Mungesa e autorizimit, e ekspozon futjen në përbërjen e grupit kriminal të o.p.gj. si një ‘shkelje’ dhe më tej, sepse e ndaluar është kjo pjesëmarrje në grupin kriminal (neni 333 dhe neni 333/a kPenal), automatikisht provën e marrë, e transformon në të papërdorshme (§4, neni 151 Kpp).  Pra edhe pse ligjvënësi nuk ka parashikuar sanksion pavlefshmërie për veprimet e procedimit, në rastin e mungesës së autorizimit të prokurorit, nëpërmjet aplikimit të §3 të nenit 151 të Kpp, bëhet e mundur papërdorshmëria e provave të marra në mungesë të tij, çka e bën autorizimin e prokurorit të domosdoshëm për përmbushjen e infiltrimit të of/agj të Pol.gjyq. në ushtrim të funksionit.</w:t>
      </w:r>
    </w:p>
    <w:p w:rsidR="00B621D0" w:rsidRPr="006871FF" w:rsidRDefault="00B621D0" w:rsidP="00B621D0">
      <w:pPr>
        <w:pStyle w:val="NoSpacing"/>
        <w:ind w:firstLine="567"/>
        <w:jc w:val="both"/>
        <w:rPr>
          <w:rFonts w:ascii="Georgia" w:hAnsi="Georgia" w:cstheme="minorBidi"/>
          <w:lang w:val="sq-AL"/>
        </w:rPr>
      </w:pPr>
      <w:r w:rsidRPr="006871FF">
        <w:rPr>
          <w:rFonts w:ascii="Georgia" w:hAnsi="Georgia" w:cstheme="minorBidi"/>
          <w:lang w:val="sq-AL"/>
        </w:rPr>
        <w:t>Qëllimi i infiltrimit të o.p.gj. është i njëjtë me atë që në përbërje të funksionit të tij hulumtues është.  Megjithatë dispozita normon edhe një herë se ai fokusohet në zbulimin e krimeve të rënda, për të individualizuar pjesëtarët e grupit dhe për të mbledhur të dhënat e nevojshme për hetimin.  Nga ky formulim i dispozitës del qartë se ‘së paku krimi i pjesëmarrjes’ në organizatë kriminale ose organizatë terroriste ose bandë të armatosur apo grup të strukturuar kriminal, është i konsumuar, për çka dhe kërkohet të zbulojë i infiltruari.  Në vështrim të aktivizimit të bashkëpunimit në krim, në format e veçanta të tij (neni 28 kPenal), është më se e arsyeshme të mendohet se ky bashkëpunim është si i sofistikuar ashtu dhe me prirje të theksuar aktivizimi, për çka është e nevojshme kalimi i një minimumi kohor ashtu siç edhe kryerja e veprimeve që krijojnë besimin tek i infiltruari.  Është kjo arsyeja që ka detyruar ligjvënësin të përcaktojë se, në veprimin e autorizimit të prokurorit, ky i fundit, në vështrim të situatës së hetimeve, duhet të përcaktojë për të infiltruarin, një afat i cili lejohet të zgjatet deri në gjashtë muaj si dhe hapësirën e lejueshme, duke treguar, veprimet e paligjshme që mund të kryeje ai, pa rrezikuar jetën e të tjerëve (§3, neni 294/b Kpp).  Nëpërmjet një normimi të tillë duket qartë se ndër të tjera shfaqen edhe nevoja të kontrollit të prokurorit ndaj veprimeve të Pol.gjyq., nga ku oficeri i autorizuar nën mbikëqyrjen e prokurorit, nuk mund ti kapërcejë çka parimisht dhe në veçanti i është lejuar nga prokurori.  Në të kundërt, përpara tij shfaqen shkelje të disiplinës në ushtrimin e detyrës, megjithëse nuk parashikohet asnjë pavlefshmëri për procedimin konkret.</w:t>
      </w:r>
    </w:p>
    <w:p w:rsidR="009536C7" w:rsidRPr="006871FF" w:rsidRDefault="00B621D0" w:rsidP="007C5DB8">
      <w:pPr>
        <w:pStyle w:val="NoSpacing"/>
        <w:ind w:firstLine="567"/>
        <w:jc w:val="both"/>
        <w:rPr>
          <w:rFonts w:ascii="Georgia" w:hAnsi="Georgia" w:cstheme="minorBidi"/>
          <w:lang w:val="sq-AL"/>
        </w:rPr>
      </w:pPr>
      <w:r w:rsidRPr="006871FF">
        <w:rPr>
          <w:rFonts w:ascii="Georgia" w:hAnsi="Georgia" w:cstheme="minorBidi"/>
          <w:lang w:val="sq-AL"/>
        </w:rPr>
        <w:t>Në ‘hapësirën e lejueshme’ dhe në ‘veprimet e paligjshme’, që prokurori ka në maturinë e tij, për të përcaktuar përkundrejt të infiltruarit, përfshihet e gjithë ajo veprimtari e cila i lejon të infiltruarit të krijojë besimin e përkatësisë së tij në përbërje të grupit kriminal si dhe ajo e cila i jep mundësi atij, të arrijë njohje të krimeve të përmbushura më parë apo në vazhdim, të individualizojë sa më shumë dhe saktë anëtarë të grupit dhe sidoqoftë, të çdo të dhëne të aftë e të vlefshme për hetimin.  ‘Veprimet e paligjshme’ të cilat i infiltruari mund të kryejë, si dhe ‘veprimet simuluese’ (neni 294/a Kpp), në vështrim të ndalimit të përsëritur se «punonjësi i policisë i infiltruar nuk duhet të provokojë një veprim kriminal, i cili, pa ndërhyrjen e tij, nuk do të ishte kryer», janë ato të cilat u qëndrojnë në krah apo ndjekin veprimtaritë kriminale të subjekteve të tjerë dhe asnjëherë provokues/nxitës të drejtpërdrejtë dhe të vetëm të tyre  «kur vërtetohet provokimi, rezultati nuk mund të përdoret [...]» (§2, neni 294/b Kpp), jep të kuptohet se ato nuk kanë qëllim të inkriminojnë persona të tjerë.  Kur është fjala për veprime të paligjshme që përmbushen vetëm nga i infiltruari, sigurisht është jashtë diskutimit përgjegjësia e tij penale.  Ndërsa kur është rasti i veprimit të paligjshëm të provokuar nga i infiltruari, në të cilin marrin pjesë apo bashkëveprojnë edhe anëtarë të tjerë të grupit kriminal, përveçse</w:t>
      </w:r>
      <w:r w:rsidR="007C5DB8">
        <w:rPr>
          <w:rFonts w:ascii="Georgia" w:hAnsi="Georgia" w:cstheme="minorBidi"/>
          <w:lang w:val="sq-AL"/>
        </w:rPr>
        <w:t xml:space="preserve"> </w:t>
      </w:r>
    </w:p>
    <w:p w:rsidR="00B621D0" w:rsidRPr="006871FF" w:rsidRDefault="00B621D0" w:rsidP="00B621D0">
      <w:pPr>
        <w:pStyle w:val="NoSpacing"/>
        <w:jc w:val="both"/>
        <w:rPr>
          <w:rFonts w:ascii="Georgia" w:hAnsi="Georgia" w:cstheme="minorBidi"/>
          <w:lang w:val="sq-AL"/>
        </w:rPr>
      </w:pPr>
      <w:r w:rsidRPr="006871FF">
        <w:rPr>
          <w:rFonts w:ascii="Georgia" w:hAnsi="Georgia" w:cstheme="minorBidi"/>
          <w:lang w:val="sq-AL"/>
        </w:rPr>
        <w:t>mos përgjegjësisë së tij penale konkurron edhe mos përgjegjësia penale e të tjerëve, për shkak të ‘mungesës së lidhjes shkakësore’ (neni 13 kPenal), nga që pa ndërhyrjen e të infiltruarit veprimet fajësuese të bashkëvepruesve nuk do të ishin kryer, e mbështetur kjo edhe nga papërdorshmëria e veprimeve që provojnë rastin kriminal (§2, neni 294/b).</w:t>
      </w:r>
    </w:p>
    <w:p w:rsidR="00B621D0" w:rsidRPr="006871FF" w:rsidRDefault="00B621D0" w:rsidP="00B621D0">
      <w:pPr>
        <w:pStyle w:val="NoSpacing"/>
        <w:ind w:firstLine="567"/>
        <w:jc w:val="both"/>
        <w:rPr>
          <w:rFonts w:ascii="Georgia" w:hAnsi="Georgia" w:cstheme="minorBidi"/>
          <w:lang w:val="sq-AL"/>
        </w:rPr>
      </w:pPr>
      <w:r w:rsidRPr="006871FF">
        <w:rPr>
          <w:rFonts w:ascii="Georgia" w:hAnsi="Georgia" w:cstheme="minorBidi"/>
          <w:lang w:val="sq-AL"/>
        </w:rPr>
        <w:t>Paragrafi 4 i nenit 294/a Kpp normon edhe se o.p.gj. i infiltruar mund të pyetet si dëshmitar, çka do të thotë se, përveçse nuk mohohen forma të tjera të ‘përfitimit të provave dhe të dhënave’ nga Pol.gjyq. nëpërmjet aktivizimit të instrumenteve të kërkimit të provës, por edhe se forma kryesore e përfitimit të tyre është ‘deklarimi i të infiltruarit’, ku ‘infiltrimi’ është mjeti/instrumenti i kërkimit e zbulimit dhe ‘deklarimi’ është prova e përfituar nga burimi që është o.p.gj. i cili ka perceptuar dhe ndijuar faktin objekt i njohjes.  Mbi këtë konsideratë, mund të arrihet në një qartësim të atyre deklarimeve të o.p.gj., të cilat janë të afta të japin njohje mbi faktet objekt i të provuarit në gjykimin penal dhe që përbëjnë shkak të pyetjes së tij si dëshmitar sipas §4, të nenit 369 Kpp.  Sigurisht që deklarimet e të infiltruarit mbi deklarimet e të hetuarit ‘që tregojnë vetë përgjegjësi’, sepse me shumë arsye besohet se janë të ‘sinqerta’ dhe për shkak se janë të marra sipas parashikimeve të nenit 294/b të Kpp, përdoren.  Për të njëjtin shkak, por edhe sepse përfaqëson faktin, personin apo sendin – edhe pse përfaqëson vetë përgjegjësinë e të hetuarit – edhe kur deklarimi i të hetuarit është përfituar nga i infiltruari nëpërmjet fotografimit, filmimit, fonografit ose çdo mjeti tjetër, ai mund të formojë cilësinë e dokumentit (§1, neni 191 Kpp).  Për çka, deklarimet e o.p.gj. të përdorshme janë jo vetëm ato që njohje të veprimeve të hetuarit japin kur i infiltruari ka shoqëruar sjelljet e të hetuarit, pra ka perceptuar vetë ai ato dhe jo të deklaruara nga i hetuari, pa shmangur deklarimet e të hetuarit që përfshihen në tregimin e sjelljeve të tij në të ardhmen dhe që për këtë, nuk janë të ndryshme nga deklarimet që tregojnë qoftë vetë përgjegjësi.</w:t>
      </w:r>
    </w:p>
    <w:p w:rsidR="00B621D0" w:rsidRPr="006871FF" w:rsidRDefault="00B621D0" w:rsidP="00B621D0">
      <w:pPr>
        <w:pStyle w:val="NoSpacing"/>
        <w:ind w:firstLine="567"/>
        <w:jc w:val="both"/>
        <w:rPr>
          <w:rFonts w:ascii="Georgia" w:hAnsi="Georgia" w:cstheme="minorBidi"/>
          <w:lang w:val="sq-AL"/>
        </w:rPr>
      </w:pPr>
      <w:r w:rsidRPr="006871FF">
        <w:rPr>
          <w:rFonts w:ascii="Georgia" w:hAnsi="Georgia" w:cstheme="minorBidi"/>
          <w:lang w:val="sq-AL"/>
        </w:rPr>
        <w:t>Ndërsa në fillim të normës së paragrafit 4 të nenit 294/b Kpp normohet si ‘mundësi’ thirrja e të infiltruarit, me formulimin në fund të saj se «[...] kur këta të fundit nuk janë thirrur si dëshmitarë, informacionet – pra deklarimet verbale – e dhëna prej tyre nuk mund të përdoren», e përmbys këtë mundësi në detyrim.  Për këtë është normuar se të infiltruarit i sigurohet ruajtja e fshehtësisë duke u respektuar rregullat mbi fshehtësinë e identitetit (§4, neni 294 Kpp), sipas procedurës së parashikuar nga neni 165/a Kpp.</w:t>
      </w:r>
    </w:p>
    <w:p w:rsidR="00B94260" w:rsidRPr="006871FF" w:rsidRDefault="00B94260" w:rsidP="00B94260">
      <w:pPr>
        <w:pStyle w:val="Default"/>
        <w:rPr>
          <w:rFonts w:ascii="Georgia" w:hAnsi="Georgia" w:cstheme="minorBidi"/>
          <w:b/>
          <w:bCs/>
          <w:color w:val="auto"/>
          <w:sz w:val="22"/>
          <w:szCs w:val="22"/>
          <w:lang w:val="sq-AL"/>
        </w:rPr>
      </w:pPr>
    </w:p>
    <w:p w:rsidR="00B621D0" w:rsidRPr="006871FF" w:rsidRDefault="00B621D0" w:rsidP="003A5C8D">
      <w:pPr>
        <w:pStyle w:val="Default"/>
        <w:jc w:val="center"/>
        <w:rPr>
          <w:rFonts w:ascii="Georgia" w:hAnsi="Georgia" w:cstheme="minorBidi"/>
          <w:b/>
          <w:color w:val="auto"/>
          <w:sz w:val="22"/>
          <w:szCs w:val="22"/>
          <w:lang w:val="sq-AL"/>
        </w:rPr>
      </w:pPr>
      <w:r w:rsidRPr="006871FF">
        <w:rPr>
          <w:rFonts w:ascii="Georgia" w:hAnsi="Georgia" w:cstheme="minorBidi"/>
          <w:b/>
          <w:bCs/>
          <w:color w:val="auto"/>
          <w:sz w:val="22"/>
          <w:szCs w:val="22"/>
          <w:lang w:val="sq-AL"/>
        </w:rPr>
        <w:t>Dorëzimi i kontrolluar</w:t>
      </w:r>
    </w:p>
    <w:p w:rsidR="00B621D0" w:rsidRPr="006871FF" w:rsidRDefault="00B621D0" w:rsidP="00B621D0">
      <w:pPr>
        <w:pStyle w:val="Default"/>
        <w:ind w:firstLine="567"/>
        <w:jc w:val="both"/>
        <w:rPr>
          <w:rFonts w:ascii="Georgia" w:hAnsi="Georgia" w:cstheme="minorBidi"/>
          <w:color w:val="auto"/>
          <w:sz w:val="22"/>
          <w:szCs w:val="22"/>
          <w:lang w:val="sq-AL"/>
        </w:rPr>
      </w:pPr>
      <w:r w:rsidRPr="006871FF">
        <w:rPr>
          <w:rFonts w:ascii="Georgia" w:hAnsi="Georgia" w:cstheme="minorBidi"/>
          <w:color w:val="auto"/>
          <w:sz w:val="22"/>
          <w:szCs w:val="22"/>
          <w:lang w:val="sq-AL"/>
        </w:rPr>
        <w:t>Parashikohet se «dorëzimi i kontrolluar autorizohet nga prokurori që drejton hetimet paraprake, me kërkesë të autoriteteve të huaja.» (§1, neni 294/c Kpp), që në të kundërt me çka detyrohet të veprojë Pol.gjyq. në rastin e arrestit në flagrancë, normon «mbikëqyrjen e vazhdueshme të hyrjes, kalimit transit ose daljes së sendeve nga territori [...]» (shkronja ‘b’, §3, neni 294/c Kpp) apo dhe «[...] zëvendësimin e plotë ose të pjesshëm të sendeve të paligjshme [...]» (§5, neni 294/c Kpp).  Normimi jo vetëm nuk përshihet në ato veprime të Pol.gjyq. që kryhen me iniciativë të saj, por në zbatim të autorizimit të prokurorit, frenon iniciativën e saj, në interes më të lartë.  Kështu parashikohen veprimtaria mbikëqyrëse e vazhdueshme e hyrjes, kalimit transit ose daljes së sendeve nga territori në rastet e transportit të paligjshëm të lëndëve narkotike, armëve, sendeve të vjedhura, materialeve eksplozive ose bërthamore, materialeve radioaktive, shumave të parave dhe të ardhurave të tjera produkte të veprës penale ose të sendeve të përdorura si mjet për kryerjen e veprave penale, dhe jo ndërhyrja e Pol.gjyq. atëherë kur ajo do të dëmtonte hetimet e kështu identifikimin, arrestimin e autorëve apo dhe do të rrezikonte sigurinë e personave apo dëmtimin ose humbjen e sendeve që transportohen, që përfaqëson interesin më të lartë.  Parashikohet se vendoset nga prokurori me akt të arsyetuar dorëzimi i kontrolluar me kërkesë të autoriteteve të huaja, që do të thotë se është në vazhdim një hetim i përbashkët me to e që për këtë prokurori, që ka marrë dijeni është i detyruar ta shënojë në regjistrin e shënimit të veprave penale (neni 287 Kpp).  Në të kundërt, veprimtaria e prokurorit verifikohet e përputhur me dhe në kundërshtim me detyrimin për të zbatuar dispozitat procedurale (§1, neni 2 Kpp), e kështu sipas rastit si shkelje disiplinore apo dhe shpërdorim detyre (neni 248 kPenal).</w:t>
      </w:r>
    </w:p>
    <w:p w:rsidR="00F05B7F" w:rsidRPr="006871FF" w:rsidRDefault="00F05B7F" w:rsidP="000579EE">
      <w:pPr>
        <w:rPr>
          <w:rFonts w:ascii="Georgia" w:hAnsi="Georgia" w:cstheme="majorBidi"/>
          <w:shd w:val="clear" w:color="auto" w:fill="FFFFFF"/>
        </w:rPr>
      </w:pPr>
    </w:p>
    <w:p w:rsidR="00B94260" w:rsidRPr="006871FF" w:rsidRDefault="003A5C8D" w:rsidP="003A5C8D">
      <w:pPr>
        <w:ind w:left="720" w:hanging="720"/>
        <w:jc w:val="both"/>
        <w:rPr>
          <w:rFonts w:ascii="Georgia" w:hAnsi="Georgia"/>
          <w:b/>
          <w:color w:val="FF0000"/>
        </w:rPr>
      </w:pPr>
      <w:r w:rsidRPr="003A5C8D">
        <w:rPr>
          <w:rFonts w:ascii="Georgia" w:hAnsi="Georgia"/>
          <w:b/>
          <w:color w:val="FF0000"/>
          <w:sz w:val="40"/>
          <w:szCs w:val="40"/>
        </w:rPr>
        <w:t>5</w:t>
      </w:r>
      <w:r w:rsidR="00B94260" w:rsidRPr="003A5C8D">
        <w:rPr>
          <w:rFonts w:ascii="Georgia" w:hAnsi="Georgia"/>
          <w:b/>
          <w:color w:val="FF0000"/>
          <w:sz w:val="40"/>
          <w:szCs w:val="40"/>
        </w:rPr>
        <w:t>.</w:t>
      </w:r>
      <w:r w:rsidR="00B94260" w:rsidRPr="006871FF">
        <w:rPr>
          <w:rFonts w:ascii="Georgia" w:hAnsi="Georgia"/>
          <w:b/>
          <w:color w:val="FF0000"/>
        </w:rPr>
        <w:tab/>
        <w:t>Prova e vetme në procesin penal në rastet praktike, rëndësia e saj dhe hetimi efektiv i veprave penale që lidhen me veprat penale të korrupsi</w:t>
      </w:r>
      <w:r w:rsidR="00F42090" w:rsidRPr="006871FF">
        <w:rPr>
          <w:rFonts w:ascii="Georgia" w:hAnsi="Georgia"/>
          <w:b/>
          <w:color w:val="FF0000"/>
        </w:rPr>
        <w:t>onit dhe çfarë rrjedh prej tij.</w:t>
      </w:r>
    </w:p>
    <w:p w:rsidR="00810287" w:rsidRPr="003A5C8D" w:rsidRDefault="00810287" w:rsidP="00810287">
      <w:pPr>
        <w:pStyle w:val="NoSpacing"/>
        <w:tabs>
          <w:tab w:val="left" w:pos="720"/>
        </w:tabs>
        <w:jc w:val="center"/>
        <w:rPr>
          <w:rFonts w:ascii="Georgia" w:hAnsi="Georgia" w:cstheme="minorBidi"/>
          <w:b/>
          <w:lang w:val="sq-AL"/>
        </w:rPr>
      </w:pPr>
      <w:r w:rsidRPr="003A5C8D">
        <w:rPr>
          <w:rFonts w:ascii="Georgia" w:hAnsi="Georgia" w:cstheme="minorBidi"/>
          <w:b/>
          <w:lang w:val="sq-AL"/>
        </w:rPr>
        <w:t>PROVA</w:t>
      </w:r>
    </w:p>
    <w:p w:rsidR="00810287" w:rsidRPr="006871FF" w:rsidRDefault="00810287" w:rsidP="00810287">
      <w:pPr>
        <w:pStyle w:val="NoSpacing"/>
        <w:tabs>
          <w:tab w:val="left" w:pos="720"/>
        </w:tabs>
        <w:ind w:firstLine="720"/>
        <w:jc w:val="center"/>
        <w:rPr>
          <w:rFonts w:ascii="Georgia" w:hAnsi="Georgia" w:cstheme="minorBidi"/>
          <w:lang w:val="sq-AL"/>
        </w:rPr>
      </w:pPr>
    </w:p>
    <w:p w:rsidR="00810287" w:rsidRPr="006871FF" w:rsidRDefault="00810287" w:rsidP="00810287">
      <w:pPr>
        <w:pStyle w:val="NoSpacing"/>
        <w:tabs>
          <w:tab w:val="left" w:pos="720"/>
        </w:tabs>
        <w:ind w:left="1260" w:hanging="1260"/>
        <w:jc w:val="both"/>
        <w:rPr>
          <w:rFonts w:ascii="Georgia" w:hAnsi="Georgia" w:cstheme="minorBidi"/>
          <w:lang w:val="sq-AL"/>
        </w:rPr>
      </w:pPr>
      <w:r w:rsidRPr="006871FF">
        <w:rPr>
          <w:rFonts w:ascii="Georgia" w:hAnsi="Georgia" w:cstheme="minorBidi"/>
          <w:lang w:val="sq-AL"/>
        </w:rPr>
        <w:t>PËRMBAJTJE: —1.Kuptimi;  —2.Prova &amp; indicja;  —3.Burimi i provës;  —4.Objekti;  —5.Kundërprova;  —6.Marrja e provave gjatë hetimeve paraprake ose të para formuara;  —7.Në proces/formuese;  —8.Lejimi i marrjes së provës;  —9.Ndaluar nga ligji</w:t>
      </w:r>
      <w:r w:rsidRPr="006871FF">
        <w:rPr>
          <w:rFonts w:ascii="Georgia" w:hAnsi="Georgia" w:cstheme="minorBidi"/>
          <w:i/>
          <w:lang w:val="sq-AL"/>
        </w:rPr>
        <w:t>/contra legem</w:t>
      </w:r>
      <w:r w:rsidRPr="006871FF">
        <w:rPr>
          <w:rFonts w:ascii="Georgia" w:hAnsi="Georgia" w:cstheme="minorBidi"/>
          <w:lang w:val="sq-AL"/>
        </w:rPr>
        <w:t>;  —10.Haptazi</w:t>
      </w:r>
      <w:r w:rsidRPr="006871FF">
        <w:rPr>
          <w:rFonts w:ascii="Georgia" w:hAnsi="Georgia" w:cstheme="minorBidi"/>
          <w:i/>
          <w:lang w:val="sq-AL"/>
        </w:rPr>
        <w:t>/ictu oculi</w:t>
      </w:r>
      <w:r w:rsidRPr="006871FF">
        <w:rPr>
          <w:rFonts w:ascii="Georgia" w:hAnsi="Georgia" w:cstheme="minorBidi"/>
          <w:lang w:val="sq-AL"/>
        </w:rPr>
        <w:t xml:space="preserve">  të  panevojshme;  —11.Që nuk rregullohet me ligj;  —12.Papërdorshmëria e provave;  —13.Çmuarja </w:t>
      </w:r>
      <w:r w:rsidRPr="006871FF">
        <w:rPr>
          <w:rFonts w:ascii="Georgia" w:hAnsi="Georgia" w:cstheme="minorBidi"/>
          <w:i/>
          <w:lang w:val="sq-AL"/>
        </w:rPr>
        <w:t>a) indicjet e rëndësishme, të sakta dhe të përputhura;  b) deklarimet e bashkëpandehurit;  c) deklarimet e atij që nuk pranon të pyetet nga i pandehuri.</w:t>
      </w:r>
    </w:p>
    <w:p w:rsidR="00810287" w:rsidRPr="006871FF" w:rsidRDefault="00810287" w:rsidP="00810287">
      <w:pPr>
        <w:pStyle w:val="NoSpacing"/>
        <w:tabs>
          <w:tab w:val="left" w:pos="720"/>
        </w:tabs>
        <w:ind w:firstLine="720"/>
        <w:jc w:val="both"/>
        <w:rPr>
          <w:rFonts w:ascii="Georgia" w:hAnsi="Georgia" w:cstheme="minorBidi"/>
          <w:lang w:val="sq-AL"/>
        </w:rPr>
      </w:pPr>
    </w:p>
    <w:p w:rsidR="00810287" w:rsidRPr="006871FF" w:rsidRDefault="00810287" w:rsidP="00C7031C">
      <w:pPr>
        <w:pStyle w:val="NoSpacing"/>
        <w:tabs>
          <w:tab w:val="left" w:pos="0"/>
        </w:tabs>
        <w:jc w:val="center"/>
        <w:rPr>
          <w:rFonts w:ascii="Georgia" w:hAnsi="Georgia" w:cstheme="minorBidi"/>
          <w:b/>
          <w:lang w:val="sq-AL"/>
        </w:rPr>
      </w:pPr>
      <w:r w:rsidRPr="006871FF">
        <w:rPr>
          <w:rFonts w:ascii="Georgia" w:hAnsi="Georgia" w:cstheme="minorBidi"/>
          <w:b/>
          <w:lang w:val="sq-AL"/>
        </w:rPr>
        <w:t>Kuptimi</w:t>
      </w:r>
    </w:p>
    <w:p w:rsidR="00810287" w:rsidRPr="006871FF" w:rsidRDefault="00810287" w:rsidP="00810287">
      <w:pPr>
        <w:pStyle w:val="NoSpacing"/>
        <w:tabs>
          <w:tab w:val="left" w:pos="720"/>
        </w:tabs>
        <w:ind w:firstLine="720"/>
        <w:jc w:val="both"/>
        <w:rPr>
          <w:rStyle w:val="f1s20"/>
          <w:rFonts w:ascii="Georgia" w:hAnsi="Georgia" w:cstheme="minorBidi"/>
          <w:lang w:val="sq-AL"/>
        </w:rPr>
      </w:pPr>
      <w:r w:rsidRPr="006871FF">
        <w:rPr>
          <w:rFonts w:ascii="Georgia" w:hAnsi="Georgia" w:cstheme="minorBidi"/>
          <w:lang w:val="sq-AL"/>
        </w:rPr>
        <w:t>Provë është ai veprim i cili jap apo nëpërmjet të cilit përfitohet dije, njoftim, apo njohuri mbi ekzistencën e një fakti a rrethane.  Pra është një instrument i cili reflekton njohje mbi ndërgjegjen e njeriut, duke krijuar përfytyrimin mbi ekzistencën e faktit apo ngjarjes së ndodhur në të shkuarën, si të thuash përfaqësues i faktit a rrethanës.  Procesi penal drejtohet apo ka për qëllim të qartësojë dhe të përcaktojë nëse është i bazuar apo jo pretendimi i prokurorit që një fakt historik – historik në kuptimin që ka ndodhur apo ka ngjarë në të shkuarën – i caktuar i pretenduar vepër penale, është kryer apo jo nga i pandehuri të cilit ai ja atribuon.  Për këtë prova në procesin penal, është veprimi që gjykatës i paraqitet për të vërtetuar ekzistencën e atij fakti vepër penale dhe që atë e ka kryer i pandehuri, pra që shërben për të sqaruar dyshimin qoftë të ekzistencës së faktit – provë e përgjithshme,</w:t>
      </w:r>
      <w:r w:rsidRPr="006871FF">
        <w:rPr>
          <w:rStyle w:val="FootnoteReference"/>
          <w:rFonts w:ascii="Georgia" w:hAnsi="Georgia" w:cstheme="minorBidi"/>
          <w:lang w:val="sq-AL"/>
        </w:rPr>
        <w:footnoteReference w:id="35"/>
      </w:r>
      <w:r w:rsidRPr="006871FF">
        <w:rPr>
          <w:rFonts w:ascii="Georgia" w:hAnsi="Georgia" w:cstheme="minorBidi"/>
          <w:lang w:val="sq-AL"/>
        </w:rPr>
        <w:t xml:space="preserve"> – ashtu dhe të kryerjes së tij nga i pandehuri – provë e veçantë.</w:t>
      </w:r>
      <w:r w:rsidRPr="006871FF">
        <w:rPr>
          <w:rStyle w:val="FootnoteReference"/>
          <w:rFonts w:ascii="Georgia" w:hAnsi="Georgia" w:cstheme="minorBidi"/>
          <w:lang w:val="sq-AL"/>
        </w:rPr>
        <w:footnoteReference w:id="36"/>
      </w:r>
      <w:r w:rsidRPr="006871FF">
        <w:rPr>
          <w:rFonts w:ascii="Georgia" w:hAnsi="Georgia" w:cstheme="minorBidi"/>
          <w:lang w:val="sq-AL"/>
        </w:rPr>
        <w:t xml:space="preserve">  Mbi të njëjtën bazë, po ashtu, prova është e aftë që të japë dije, njohje apo njoftim qoftë mbi episode të veçanta të faktit a të gjithë faktit ashtu edhe mbi pasojat e veçanta apo tërë pasojat e tij.  Për shkak të rregullimit ligjor të procedimit penal i cili, siç shpesh është përmendur, disiplinon apo normon çdo veprimtari procedural penale edhe prova është e detyrueshme të merret nga ato burime të cilat parashikohen në të (neni 149 Kpp).  Kjo do të thotë se në mbështetje të parimit të taksativitetit dhe tipizimit, burimet apo ato nga të cilat duhet të përfitohet prova, janë të parashikuara domosdo nga ligji.  Po ashtu sepse normohet mundësia e marrjes së një prove, jo nga ato të tipizuarat, pra që nuk rregullohet me ligj (§2, neni 149 Kpp), ajo mund të merret duke respektuar përgjithësisht, «[...] të drejtat dhe liritë themelore të njeriut [...]» (§1, neni 8/a Kpp) dhe veçanërisht [...] lirinë e vullnetit të personit [...]» (§2, neni 149 Kpp).  Jo vetëm kaq, por edhe një herë ri përsëritet se provat, si dhe çdo veprim tjetër i procedimit penal, merren në përputhje me rregullat e caktuara në të, pra sipas procedurës të parashikuar në abstrakte nga ky ligj.  Në të kundërt, nuk mjafton vetëm aftësia për të marrë dije apo njohuri mbi faktin historik vepër penale, por nevojitet domosdoshmërish që kjo dije të vijë apo të merret nga veprimi i përmbushur sipas rregullit ligjor, në respektim të formave të parashikuara për përmbushjen e tij.  Në referim të asaj që është gjykata penale ajo që është ngarkuar të verifikojë dhe sqarojë pretendimin ndëshkues të prokurorit ndaj të pandehurit, prova formon ato elementë njohës të cilët përbëjnë bazën e bindjes së gjykatës.</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 xml:space="preserve">E parë kështu, prova në sistemin tonë ligjor në fazën e hetimit paraprak nga prokurori dhe Pol.gjyq. i nënshtrohet procedurës së </w:t>
      </w:r>
      <w:r w:rsidRPr="006871FF">
        <w:rPr>
          <w:rFonts w:ascii="Georgia" w:hAnsi="Georgia" w:cstheme="minorBidi"/>
          <w:i/>
          <w:lang w:val="sq-AL"/>
        </w:rPr>
        <w:t>kërkimit</w:t>
      </w:r>
      <w:r w:rsidRPr="006871FF">
        <w:rPr>
          <w:rFonts w:ascii="Georgia" w:hAnsi="Georgia" w:cstheme="minorBidi"/>
          <w:lang w:val="sq-AL"/>
        </w:rPr>
        <w:t xml:space="preserve"> nëpërmjet kontrollit, këqyrjes dhe përgjimit;  më pas ajo në të njëjtën fazë </w:t>
      </w:r>
      <w:r w:rsidRPr="006871FF">
        <w:rPr>
          <w:rFonts w:ascii="Georgia" w:hAnsi="Georgia" w:cstheme="minorBidi"/>
          <w:i/>
          <w:lang w:val="sq-AL"/>
        </w:rPr>
        <w:t>merret</w:t>
      </w:r>
      <w:r w:rsidRPr="006871FF">
        <w:rPr>
          <w:rFonts w:ascii="Georgia" w:hAnsi="Georgia" w:cstheme="minorBidi"/>
          <w:lang w:val="sq-AL"/>
        </w:rPr>
        <w:t xml:space="preserve"> nëpërmjet dokumentimit dhe sekuestrimit dhe po ashtu në fazën gjyqësore </w:t>
      </w:r>
      <w:r w:rsidRPr="006871FF">
        <w:rPr>
          <w:rFonts w:ascii="Georgia" w:hAnsi="Georgia" w:cstheme="minorBidi"/>
          <w:i/>
          <w:lang w:val="sq-AL"/>
        </w:rPr>
        <w:t xml:space="preserve">merret </w:t>
      </w:r>
      <w:r w:rsidRPr="006871FF">
        <w:rPr>
          <w:rFonts w:ascii="Georgia" w:hAnsi="Georgia" w:cstheme="minorBidi"/>
          <w:lang w:val="sq-AL"/>
        </w:rPr>
        <w:t xml:space="preserve">nga gjykata e cila në fund të shqyrtimit gjyqësor e </w:t>
      </w:r>
      <w:r w:rsidRPr="006871FF">
        <w:rPr>
          <w:rFonts w:ascii="Georgia" w:hAnsi="Georgia" w:cstheme="minorBidi"/>
          <w:i/>
          <w:lang w:val="sq-AL"/>
        </w:rPr>
        <w:t>vlerëson</w:t>
      </w:r>
      <w:r w:rsidRPr="006871FF">
        <w:rPr>
          <w:rFonts w:ascii="Georgia" w:hAnsi="Georgia" w:cstheme="minorBidi"/>
          <w:lang w:val="sq-AL"/>
        </w:rPr>
        <w:t xml:space="preserve"> atë, nën një regjim jo fort të qartë</w:t>
      </w:r>
      <w:r w:rsidRPr="006871FF">
        <w:rPr>
          <w:rStyle w:val="FootnoteReference"/>
          <w:rFonts w:ascii="Georgia" w:hAnsi="Georgia" w:cstheme="minorBidi"/>
          <w:lang w:val="sq-AL"/>
        </w:rPr>
        <w:footnoteReference w:id="37"/>
      </w:r>
      <w:r w:rsidRPr="006871FF">
        <w:rPr>
          <w:rFonts w:ascii="Georgia" w:hAnsi="Georgia" w:cstheme="minorBidi"/>
          <w:lang w:val="sq-AL"/>
        </w:rPr>
        <w:t>, i cili normon kohën dhe mënyrën e formimit të saj.</w:t>
      </w:r>
    </w:p>
    <w:p w:rsidR="00810287" w:rsidRPr="006871FF" w:rsidRDefault="00810287" w:rsidP="00F42090">
      <w:pPr>
        <w:pStyle w:val="NoSpacing"/>
        <w:tabs>
          <w:tab w:val="left" w:pos="720"/>
        </w:tabs>
        <w:ind w:firstLine="720"/>
        <w:jc w:val="both"/>
        <w:rPr>
          <w:rFonts w:ascii="Georgia" w:hAnsi="Georgia" w:cstheme="minorBidi"/>
          <w:lang w:val="sq-AL"/>
        </w:rPr>
      </w:pPr>
      <w:r w:rsidRPr="006871FF">
        <w:rPr>
          <w:rFonts w:ascii="Georgia" w:hAnsi="Georgia" w:cstheme="minorBidi"/>
          <w:lang w:val="sq-AL"/>
        </w:rPr>
        <w:t>Kërkimi për gjetjen e provës, për shkak të strukturës së vetë procedimit penal, në një fazë të hetimit paraprak dhe në një të procesit, i përket veprimtarisë hulumtuese të organit që procedon, prokurorit dhe Pol.gjyq. (§1, neni 277 Kpp).  Atyre nën detyrimin e marrjes «[...] në përputhje me rregullat e caktuara [...]» (§1, neni 149 Kpp) – rregulla që kanë përcaktuar institute apo mjete procedural si këqyrja, kontrolli apo përgjimi telefonik – u mundësohet kërkimi dhe më pas gjetja materialisht e provës.  Më pas, dhe pikërisht, qoftë edhe pse jo e përputhur me parimet e sistemit akuzator, organi që procedon gjatë hetimeve paraprake lejohet të marrë provat (§1, neni 151 Kpp) nëpërmjet dokumentimit dhe sekuestrimit, duke i treguar provat që kërkon të shqyrtohen para gjykatës (§1, 356 Kpp), para ndjekur nga një vlerësim paraprak (neni 327 Kpp).  Po ashtu për ato që parimisht janë normuar se duhet të merren gjatë procesit (§2, neni 151 Kpp), në kontradiktë ndërmjet palëve, siç është dëshmia apo pyetja e të pandehurit, gjithsesi pasi ato janë kërkuar dhe gjetur/individualizuar – që për këtë shfaqen si burime të provës dhe jo vetë prova, – sipas një disponimi të mëparshëm «[...] për marrjen e provave [...]»(§1, neni 357 Kpp) nga gjykata, provat që «janë marrë ose – se bashku e ato që – janë verifikuar në shqyrtimin gjyqësor [...]» (neni 380 Kpp), janë gati për t’ju nënshtruar apo për t’u përdorur në veprimtarinë vlerësuese të gjykatës, në funksion të marrjes së vendimit.</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Nga sa më sipër, ndërsa prova shfaqet si instrument apo mjet njohës që funksionon menjëherë, të tjerë instrumente apo institute procedurale, krejt të dallueshëm si këqyrja, kontrolli, dhe përgjimet, përmbushin kërkimin, individualizimin dhe ekzistencën materiale të saj si dhe marrjen e nëpërmjet dokumentimit dhe sekuestrimit, si përgjatë hetimit paraprak nga prokurori dhe Pol.gjyq. ashtu dhe marrjen e saj në proces nga gjykata.</w:t>
      </w:r>
    </w:p>
    <w:p w:rsidR="003A5C8D" w:rsidRDefault="003A5C8D" w:rsidP="00C7031C">
      <w:pPr>
        <w:pStyle w:val="NoSpacing"/>
        <w:tabs>
          <w:tab w:val="left" w:pos="0"/>
        </w:tabs>
        <w:jc w:val="center"/>
        <w:rPr>
          <w:rFonts w:ascii="Georgia" w:hAnsi="Georgia" w:cstheme="minorBidi"/>
          <w:b/>
          <w:lang w:val="sq-AL"/>
        </w:rPr>
      </w:pPr>
    </w:p>
    <w:p w:rsidR="00810287" w:rsidRPr="006871FF" w:rsidRDefault="00810287" w:rsidP="00C7031C">
      <w:pPr>
        <w:pStyle w:val="NoSpacing"/>
        <w:tabs>
          <w:tab w:val="left" w:pos="0"/>
        </w:tabs>
        <w:jc w:val="center"/>
        <w:rPr>
          <w:rFonts w:ascii="Georgia" w:hAnsi="Georgia" w:cstheme="minorBidi"/>
          <w:b/>
          <w:lang w:val="sq-AL"/>
        </w:rPr>
      </w:pPr>
      <w:r w:rsidRPr="006871FF">
        <w:rPr>
          <w:rFonts w:ascii="Georgia" w:hAnsi="Georgia" w:cstheme="minorBidi"/>
          <w:b/>
          <w:lang w:val="sq-AL"/>
        </w:rPr>
        <w:t>Prova &amp; indicja</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Përkundrejt faktit mbi të cilin mjetet provuese reflektojnë njohje, dije apo njoftim, thënë ndryshe referuar objektit të tyre, ato ndahen në: ‘prova të plota’ (shkurt prova) dhe në ‘prova indicje’ (shkurt indicje), që do të thotë se si prova e plotë ashtu dhe prova indicje, janë pa diskutim mjete provuese, instrumente të aftë që japin apo reflektojnë njohje apo dije, respektivisht e para të drejtpërdrejtë dhe e dyta të tërthortë, mbi objektin e të provuarit në procesin penal.  Nëse nuk do të ishte kështu normimi se «ekzistenca e një fakti mund të nxirret nga indicjet [...]» (§2 neni 152 Kpp), do të ishte në kundërshtim me atë se «për të marrë vendimin gjykata nuk mund të përdorë prova të tjera veç atyre që janë marrë ose janë verifikuar në shqyrtimin gjyqësor» (neni 380 Kpp), i cili nuk lejon të krijohet bindja e gjykatës, përveçse në mjetet provuese.</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i/>
          <w:lang w:val="sq-AL"/>
        </w:rPr>
        <w:t>‘Prova’</w:t>
      </w:r>
      <w:r w:rsidRPr="006871FF">
        <w:rPr>
          <w:rFonts w:ascii="Georgia" w:hAnsi="Georgia" w:cstheme="minorBidi"/>
          <w:lang w:val="sq-AL"/>
        </w:rPr>
        <w:t xml:space="preserve"> është e drejtpërdrejtë në dhënien e njoftimit, dijes apo njohjes mbi objektin e faktit që kërkohet, apo ekzistenca e faktit që pretendohet, siç plaga vdekjeprurëse që jep dije të humbjes së jetës, jo në mënyrë natyrale.  «Bëhet ndarja ndërmjet provës përfaqësuese dhe indicjes.  Me termin ‘provë përfaqësuese’ bëhet referimi në atë mënyrë të të menduarit (arsyetim) që nga fakti i njohur nxirret, </w:t>
      </w:r>
      <w:r w:rsidRPr="006871FF">
        <w:rPr>
          <w:rFonts w:ascii="Georgia" w:hAnsi="Georgia" w:cstheme="minorBidi"/>
          <w:i/>
          <w:lang w:val="sq-AL"/>
        </w:rPr>
        <w:t>për shkak të përfaqësimit</w:t>
      </w:r>
      <w:r w:rsidRPr="006871FF">
        <w:rPr>
          <w:rFonts w:ascii="Georgia" w:hAnsi="Georgia" w:cstheme="minorBidi"/>
          <w:lang w:val="sq-AL"/>
        </w:rPr>
        <w:t xml:space="preserve">, ekzistenca e faktit që është për tu provuar.  Me përfaqësuar një fakt do të thotë të ndërtohet një ekuivalent, në mënyrë që të bëhet i njohur kur nuk është më i pranishëm.  Prandaj </w:t>
      </w:r>
      <w:r w:rsidRPr="006871FF">
        <w:rPr>
          <w:rFonts w:ascii="Georgia" w:hAnsi="Georgia" w:cstheme="minorBidi"/>
          <w:i/>
          <w:lang w:val="sq-AL"/>
        </w:rPr>
        <w:t>përfaqësimi</w:t>
      </w:r>
      <w:r w:rsidRPr="006871FF">
        <w:rPr>
          <w:rFonts w:ascii="Georgia" w:hAnsi="Georgia" w:cstheme="minorBidi"/>
          <w:lang w:val="sq-AL"/>
        </w:rPr>
        <w:t xml:space="preserve"> është mënyra me të cilin një fakt mund të bëhet i njohur nga persona të tjerë.  Fakti mund të përfaqësohet me imazhe, fjalë, gjeste ose tinguj»</w:t>
      </w:r>
      <w:r w:rsidRPr="006871FF">
        <w:rPr>
          <w:rStyle w:val="FootnoteReference"/>
          <w:rFonts w:ascii="Georgia" w:hAnsi="Georgia" w:cstheme="minorBidi"/>
          <w:lang w:val="sq-AL"/>
        </w:rPr>
        <w:footnoteReference w:id="38"/>
      </w:r>
      <w:r w:rsidRPr="006871FF">
        <w:rPr>
          <w:rFonts w:ascii="Georgia" w:hAnsi="Georgia" w:cstheme="minorBidi"/>
          <w:lang w:val="sq-AL"/>
        </w:rPr>
        <w:t>.  Nga vetë drejtpërdrejtshmëria e dhënies së njoftimit, dijes apo njohjes mbi faktin, prova është e padyshimtë dhe për këtë e mjaftueshme për një çmuarje të qartë dhe menjëherë e rëndësishme.  Ajo është e aftë të krijojë mbi ndërgjegjen përfytyrim të qartë të ekzistencës së faktit që shërben për të vërtetuar pafajësinë e të pandehurit (neni 149 Kpp), siç dëshmia e ekzistencës në të njëjtën kohë-çast, por në një vend të ndryshëm nga ai i ndodhjes së faktit vepër penale, ashtu dhe faktit nga i cili varet zbatimi normave procedurale (neni 150 Kpp), siç nënshkrimi mbi veprimin shkresor që shmang çdo dyshim për ekzistencën e faktit të njoftimit.  Referuar pa ndërmjetësisë së saj me vetë objektin e të provuarit, apo me faktin që ngrihet për t’u provuar/njohur, ajo rëndom është quajtur ‘provë direkte’.</w:t>
      </w:r>
      <w:r w:rsidRPr="006871FF">
        <w:rPr>
          <w:rStyle w:val="FootnoteReference"/>
          <w:rFonts w:ascii="Georgia" w:hAnsi="Georgia" w:cstheme="minorBidi"/>
          <w:lang w:val="sq-AL"/>
        </w:rPr>
        <w:footnoteReference w:id="39"/>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i/>
          <w:lang w:val="sq-AL"/>
        </w:rPr>
        <w:t>‘Indicja’</w:t>
      </w:r>
      <w:r w:rsidRPr="006871FF">
        <w:rPr>
          <w:rFonts w:ascii="Georgia" w:hAnsi="Georgia" w:cstheme="minorBidi"/>
          <w:lang w:val="sq-AL"/>
        </w:rPr>
        <w:t>, ka për objekt të tërthortë dhënien e njoftimit apo dijes mbi ekzistencën e faktit që pretendohet, ndërkohë që objekt të drejtpërdrejtë ajo ka një fakt apo rrethanë të ndryshme nga ajo që ka prova, por që ekzistenca e rrethanës mbi të cilin ajo jep dije apo njohje, po ashtu reflekton njohje për faktin që pretendohet të provohet.  Përkundrejt rrethanës, objekt të cilën ajo ka, indicja është e aftë të krijojë përfytyrim, pasqyrim a përfaqësim të saktë të ekzistencës së saj, ndërsa vetë kjo rrethanë, e vetme, ndonëse është në gjendje të japë dije apo njohje, nuk është e aftë të krijojë përfytyrim të qartë e të padyshimtë mbi ekzistencën e faktit që kërkohet të provohet.  Në të kundërt apo në ndryshim, kur indicja nuk është më e vetme, por shoqërohet së paku nga një tjetër e tillë, ato së bashku, me kusht që të jenë të ‘rëndësishme, të sakta dhe në përputhje me njëra-tjetrën’, mund të jenë të vlefshme për të nxjerrë apo deduktuar përfytyrimin, përfaqësimin a pasqyrimin e ekzistencës së faktit që pretendohet të provohet (§2, neni 152 Kpp), për këtë ajo është quajtur dhe ‘provë logjike’.</w:t>
      </w:r>
      <w:r w:rsidRPr="006871FF">
        <w:rPr>
          <w:rStyle w:val="FootnoteReference"/>
          <w:rFonts w:ascii="Georgia" w:hAnsi="Georgia" w:cstheme="minorBidi"/>
          <w:lang w:val="sq-AL"/>
        </w:rPr>
        <w:footnoteReference w:id="40"/>
      </w:r>
      <w:r w:rsidRPr="006871FF">
        <w:rPr>
          <w:rFonts w:ascii="Georgia" w:hAnsi="Georgia" w:cstheme="minorBidi"/>
          <w:lang w:val="sq-AL"/>
        </w:rPr>
        <w:t xml:space="preserve">  E aftë që nëpërmjet arsyetimit të krijojë dijen/njohjen e ekzistencës së faktit, në përfytyrimin e gjyqtarit.  Pra nga njohja jo më pak se e dy rrethanave apo fakteve përfituar nga indicje, sipas një arsyetimi logjik, që lejon si deduktim, të përfitohet njohja e ekzistencës së faktit objekt i të provuarit, i cili zakonisht quhet prezumim i thjeshtë.</w:t>
      </w:r>
      <w:r w:rsidRPr="006871FF">
        <w:rPr>
          <w:rStyle w:val="FootnoteReference"/>
          <w:rFonts w:ascii="Georgia" w:hAnsi="Georgia" w:cstheme="minorBidi"/>
          <w:lang w:val="sq-AL"/>
        </w:rPr>
        <w:footnoteReference w:id="41"/>
      </w:r>
      <w:r w:rsidRPr="006871FF">
        <w:rPr>
          <w:rFonts w:ascii="Georgia" w:hAnsi="Georgia" w:cstheme="minorBidi"/>
          <w:lang w:val="sq-AL"/>
        </w:rPr>
        <w:t xml:space="preserve">  Të tilla indicje, gjithsesi mjete provuese, mund të jenë ato siç ‘dëshmia’, që jep dije mbi fakte apo rrethana të ‘pranisë së të pandehurit në vendin e ngjarjes’ dhe ajo e ‘këqyrjes’ që jep njohje të faktit të ‘njollave të gjakut të viktimës në veshjen e të pandehurit’, fakte të cilat mund të vlejnë që nëpërmjet procesit të deduktimit të krijojnë përfytyrimin, përfaqësimin a pasqyrimin e ekzistencës së kryerjes së faktit vepër penale të vrasjes nga i gjykuari.  Kështu edhe pse indicja nuk është drejtpërdrejt e lidhur me faktin që kërkohet të provohet, ajo jep njoftim mbi faktin apo rrethanën që në mënyrë të tërthortë lidhet me faktin vepër penale (§1 neni 149 Kpp), duke u konsideruar kështu formalisht një provë, pavarësisht nga fuqia e saj.  Në referim të kushtit minimal, ekzistencës së paku të dy indicjeve, vetë indicja konsiderohet si një pjesë apo maksimumi një ‘gjysmë provë’</w:t>
      </w:r>
      <w:r w:rsidRPr="006871FF">
        <w:rPr>
          <w:rFonts w:ascii="Georgia" w:hAnsi="Georgia" w:cstheme="minorBidi"/>
          <w:i/>
          <w:lang w:val="sq-AL"/>
        </w:rPr>
        <w:t>/probatio semiplena</w:t>
      </w:r>
      <w:r w:rsidRPr="006871FF">
        <w:rPr>
          <w:rStyle w:val="FootnoteReference"/>
          <w:rFonts w:ascii="Georgia" w:hAnsi="Georgia" w:cstheme="minorBidi"/>
          <w:i/>
          <w:lang w:val="sq-AL"/>
        </w:rPr>
        <w:footnoteReference w:id="42"/>
      </w:r>
      <w:r w:rsidRPr="006871FF">
        <w:rPr>
          <w:rFonts w:ascii="Georgia" w:hAnsi="Georgia" w:cstheme="minorBidi"/>
          <w:lang w:val="sq-AL"/>
        </w:rPr>
        <w:t xml:space="preserve"> dhe pa cenuar aspak atë që ajo është një ‘provë indirekte’, diçka për diçka tjetër</w:t>
      </w:r>
      <w:r w:rsidRPr="006871FF">
        <w:rPr>
          <w:rFonts w:ascii="Georgia" w:hAnsi="Georgia" w:cstheme="minorBidi"/>
          <w:i/>
          <w:lang w:val="sq-AL"/>
        </w:rPr>
        <w:t>/aluid pro alio</w:t>
      </w:r>
      <w:r w:rsidRPr="006871FF">
        <w:rPr>
          <w:rFonts w:ascii="Georgia" w:hAnsi="Georgia" w:cstheme="minorBidi"/>
          <w:lang w:val="sq-AL"/>
        </w:rPr>
        <w:t>, indicjes së vetme i njihet aftësia për të krijuar një probabilitet apo një mundësi.  Për shembull, ‘dyshimin e arsyeshëm’ që duhet në caktimin e një mase sigurimi (§1, neni 228 Kpp).</w:t>
      </w:r>
    </w:p>
    <w:p w:rsidR="00810287" w:rsidRPr="006871FF" w:rsidRDefault="00810287" w:rsidP="00F42090">
      <w:pPr>
        <w:pStyle w:val="NoSpacing"/>
        <w:tabs>
          <w:tab w:val="left" w:pos="720"/>
        </w:tabs>
        <w:ind w:firstLine="720"/>
        <w:jc w:val="both"/>
        <w:rPr>
          <w:rFonts w:ascii="Georgia" w:hAnsi="Georgia" w:cstheme="minorBidi"/>
          <w:lang w:val="sq-AL"/>
        </w:rPr>
      </w:pPr>
      <w:r w:rsidRPr="006871FF">
        <w:rPr>
          <w:rFonts w:ascii="Georgia" w:hAnsi="Georgia" w:cstheme="minorBidi"/>
          <w:lang w:val="sq-AL"/>
        </w:rPr>
        <w:t>Referuar subjektit të cilit i atribuohet nga prokurori kryerja e veprës penale, mbi bazën e normimit «[...] provat që fajësojnë të pandehurin, ashtu edhe ato që janë në favor të tij [...]» (§2, neni 8/a Kpp), në gjuhën e zakonshme flitet për prova në ngarkim dhe për prova në shkarkim.   Të  parat  janë  ato  që i</w:t>
      </w:r>
      <w:r w:rsidR="00F42090" w:rsidRPr="006871FF">
        <w:rPr>
          <w:rFonts w:ascii="Georgia" w:hAnsi="Georgia" w:cstheme="minorBidi"/>
          <w:lang w:val="sq-AL"/>
        </w:rPr>
        <w:t xml:space="preserve"> </w:t>
      </w:r>
      <w:r w:rsidRPr="006871FF">
        <w:rPr>
          <w:rFonts w:ascii="Georgia" w:hAnsi="Georgia" w:cstheme="minorBidi"/>
          <w:lang w:val="sq-AL"/>
        </w:rPr>
        <w:t>referohen apo shfaqin fajësinë e të pandehurit përkundrejt një akuze të përcaktuar, ndërsa të dytat janë ato prova, që në të kundërt, shfaqin pafajësinë e tij përkundrejt një akuze të caktuar, të cilat mund të konsistojnë si në mos ekzistencën e faktit që pretendohet t’i ngarkohet të pandehuri ashtu dhe në ekzistencën e një fakti tjetër që bën të pamundur ekzistencën e të parit, siç shpesh ngrihet për shembull ekzistenca e një alibie.</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Në varësi të kohës dhe vendit të marrjes, për shkak të ndarjes së procedimit penal në fazën e hetimeve dhe në atë të procesit, teoria ka përcaktuar provat ‘</w:t>
      </w:r>
      <w:r w:rsidRPr="006871FF">
        <w:rPr>
          <w:rFonts w:ascii="Georgia" w:hAnsi="Georgia" w:cstheme="minorBidi"/>
          <w:i/>
          <w:lang w:val="sq-AL"/>
        </w:rPr>
        <w:t>formuese</w:t>
      </w:r>
      <w:r w:rsidRPr="006871FF">
        <w:rPr>
          <w:rFonts w:ascii="Georgia" w:hAnsi="Georgia" w:cstheme="minorBidi"/>
          <w:lang w:val="sq-AL"/>
        </w:rPr>
        <w:t>’ (</w:t>
      </w:r>
      <w:r w:rsidRPr="006871FF">
        <w:rPr>
          <w:rFonts w:ascii="Georgia" w:hAnsi="Georgia" w:cstheme="minorBidi"/>
          <w:iCs/>
          <w:lang w:val="sq-AL"/>
        </w:rPr>
        <w:t>costituenda</w:t>
      </w:r>
      <w:r w:rsidRPr="006871FF">
        <w:rPr>
          <w:rFonts w:ascii="Georgia" w:hAnsi="Georgia" w:cstheme="minorBidi"/>
          <w:lang w:val="sq-AL"/>
        </w:rPr>
        <w:t>),</w:t>
      </w:r>
      <w:r w:rsidRPr="006871FF">
        <w:rPr>
          <w:rStyle w:val="FootnoteReference"/>
          <w:rFonts w:ascii="Georgia" w:hAnsi="Georgia" w:cstheme="minorBidi"/>
          <w:lang w:val="sq-AL"/>
        </w:rPr>
        <w:footnoteReference w:id="43"/>
      </w:r>
      <w:r w:rsidRPr="006871FF">
        <w:rPr>
          <w:rFonts w:ascii="Georgia" w:hAnsi="Georgia" w:cstheme="minorBidi"/>
          <w:lang w:val="sq-AL"/>
        </w:rPr>
        <w:t xml:space="preserve"> nga ku si të tilla janë quajtur ato që merren dhe formohen në proces, përpara gjykatës dhe në kontradiktë ndërmjet palëve (neni 359 – 367 Kpp).  Të tilla parimisht janë normuar nga ligjvënësi ‘dëshmia’, ‘pyetja e bashkëpandehurit’, ‘pyetja e të pandehurit’, ‘pyetja e ekspertit’ dhe ‘pyetja e palëve private’, të gjitha si të mundshme për tu përsëritur në gjykim;  si dhe provat e ‘</w:t>
      </w:r>
      <w:r w:rsidRPr="006871FF">
        <w:rPr>
          <w:rFonts w:ascii="Georgia" w:hAnsi="Georgia" w:cstheme="minorBidi"/>
          <w:i/>
          <w:lang w:val="sq-AL"/>
        </w:rPr>
        <w:t>para formuara</w:t>
      </w:r>
      <w:r w:rsidRPr="006871FF">
        <w:rPr>
          <w:rFonts w:ascii="Georgia" w:hAnsi="Georgia" w:cstheme="minorBidi"/>
          <w:lang w:val="sq-AL"/>
        </w:rPr>
        <w:t>’</w:t>
      </w:r>
      <w:r w:rsidRPr="006871FF">
        <w:rPr>
          <w:rStyle w:val="FootnoteReference"/>
          <w:rFonts w:ascii="Georgia" w:hAnsi="Georgia" w:cstheme="minorBidi"/>
          <w:lang w:val="sq-AL"/>
        </w:rPr>
        <w:footnoteReference w:id="44"/>
      </w:r>
      <w:r w:rsidRPr="006871FF">
        <w:rPr>
          <w:rFonts w:ascii="Georgia" w:hAnsi="Georgia" w:cstheme="minorBidi"/>
          <w:lang w:val="sq-AL"/>
        </w:rPr>
        <w:t>,</w:t>
      </w:r>
      <w:r w:rsidRPr="006871FF">
        <w:rPr>
          <w:rFonts w:ascii="Georgia" w:hAnsi="Georgia" w:cstheme="minorBidi"/>
          <w:vertAlign w:val="superscript"/>
          <w:lang w:val="sq-AL"/>
        </w:rPr>
        <w:t xml:space="preserve"> </w:t>
      </w:r>
      <w:r w:rsidRPr="006871FF">
        <w:rPr>
          <w:rFonts w:ascii="Georgia" w:hAnsi="Georgia" w:cstheme="minorBidi"/>
          <w:lang w:val="sq-AL"/>
        </w:rPr>
        <w:t>që janë ato të cilat merren nga prokurori apo Pol.gjyq. dhe që nuk i nënshtrohen formimit të tyre në kontradiktoritet të palëve të gjitha si të pamundura për të shkuar deri në gjykim e kështu të papërsëritshme  Të tilla janë për shembull akti i ekspertimit i papërsëritshëm për shkak të shkatërrimit gjatë ekspertimit të objektit të ekspertuar.  Porse, për hir të së vërtetës duhet evidentuar se provat formuese, për shkak të normimit ligjor sipas një sistemi të sofistikuar ‘kundërshtimi’, e humbasin forcën e tyre përballë atyre të para formuara si ‘burime prove’ në fazën e hetimeve paraprake.  Duke rrezikuar që të transformohet procesi penal, në një proces ku gjykata ‘verifikon’ dhe nuk ‘shqyrton’ mbi fajësinë apo jo të të pandehurit.</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Po ashtu edhe pse jo më, e përputhur me përcaktimet aktuale të Kodit, por qoftë edhe në formën e një trashëgimi, akoma flitet për prova të përgjithshme dhe për prova specifike, nga ku gjenerike janë ato prova të cilat kanë për objekt të dhënies/transmetimit të njohjes apo dijeve mbi faktin vepër penale, ekzistencën e tij objektive, pavarësisht nga subjekti që e ka konsumuar atë.  Ndërsa ato të veçanta, përkundrazi e drejtojnë njohjen apo dijen mbi sqarimin e identitetit të subjektit të faktit vepër penale, jashtë vetë asaj.  Në fakt kjo ndarje e ngjashme në emërtime dhe aspak në përmbajtje, ka qenë ende më e hershme, pasi janë konsideruar prova të përgjithshme, ato të cilat binin në njohjen e drejtpërdrejtë të gjykatës dhe prova specifike, ato të cilat binin në njohje të saj, nëpërmjet një të treti.</w:t>
      </w:r>
    </w:p>
    <w:p w:rsidR="003A5C8D" w:rsidRDefault="003A5C8D" w:rsidP="00C7031C">
      <w:pPr>
        <w:pStyle w:val="NoSpacing"/>
        <w:tabs>
          <w:tab w:val="left" w:pos="0"/>
        </w:tabs>
        <w:jc w:val="center"/>
        <w:rPr>
          <w:rFonts w:ascii="Georgia" w:hAnsi="Georgia" w:cstheme="minorBidi"/>
          <w:b/>
          <w:lang w:val="sq-AL"/>
        </w:rPr>
      </w:pPr>
    </w:p>
    <w:p w:rsidR="00810287" w:rsidRPr="006871FF" w:rsidRDefault="00810287" w:rsidP="00C7031C">
      <w:pPr>
        <w:pStyle w:val="NoSpacing"/>
        <w:tabs>
          <w:tab w:val="left" w:pos="0"/>
        </w:tabs>
        <w:jc w:val="center"/>
        <w:rPr>
          <w:rFonts w:ascii="Georgia" w:hAnsi="Georgia" w:cstheme="minorBidi"/>
          <w:b/>
          <w:lang w:val="sq-AL"/>
        </w:rPr>
      </w:pPr>
      <w:r w:rsidRPr="006871FF">
        <w:rPr>
          <w:rFonts w:ascii="Georgia" w:hAnsi="Georgia" w:cstheme="minorBidi"/>
          <w:b/>
          <w:lang w:val="sq-AL"/>
        </w:rPr>
        <w:t>Burimi i provës</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 xml:space="preserve">Burime të provës janë personat (dëshmitari, bashkëpandehuri, pandehuri, palët private, eksperti) si dhe sendet e identifikuara (gjurma, arma, shkresa, shiriti magnetik), nga aktivizimi i të cilëve del në pah njohja, njoftimi apo dija mbi faktin, pra del vetë prova.  Burimi është prova ende e pa nxjerrë në pah, nxitja apo provokimi i së cilës shkakton rrjedhjen dhe shfaqen e saj.  Për shembull, në aktivitetin e saj Pol.gjyq. procedon në «[...] kërkimin dhe pyetjen e personave që janë në gjendje të tregojnë rrethanat e faktit» (shkronja ‘b’, §1, neni 294 Kpp) aktivitet i cili përqendrohet në ‘sigurimin e burimit të provës’ cilësuar pikërisht në titullin e nenit 294 Kpp, nga ku pasi personi identifikohet dhe më pas nëpërmjet pyetjes së tij, arrihet dija se ai është në gjendje të tregojë rrethanat e faktit, ky person përfshihet në fondin e ‘burimit të provës’ </w:t>
      </w:r>
      <w:r w:rsidRPr="006871FF">
        <w:rPr>
          <w:rFonts w:ascii="Georgia" w:hAnsi="Georgia" w:cstheme="minorBidi"/>
          <w:i/>
          <w:lang w:val="sq-AL"/>
        </w:rPr>
        <w:t>personale</w:t>
      </w:r>
      <w:r w:rsidRPr="006871FF">
        <w:rPr>
          <w:rFonts w:ascii="Georgia" w:hAnsi="Georgia" w:cstheme="minorBidi"/>
          <w:lang w:val="sq-AL"/>
        </w:rPr>
        <w:t>,</w:t>
      </w:r>
      <w:r w:rsidRPr="006871FF">
        <w:rPr>
          <w:rStyle w:val="FootnoteReference"/>
          <w:rFonts w:ascii="Georgia" w:hAnsi="Georgia" w:cstheme="minorBidi"/>
          <w:lang w:val="sq-AL"/>
        </w:rPr>
        <w:footnoteReference w:id="45"/>
      </w:r>
      <w:r w:rsidRPr="006871FF">
        <w:rPr>
          <w:rFonts w:ascii="Georgia" w:hAnsi="Georgia" w:cstheme="minorBidi"/>
          <w:lang w:val="sq-AL"/>
        </w:rPr>
        <w:t xml:space="preserve"> i gatshëm për t’u transformuar ‘dëshmia’ e tij në provë, pas nxitjes nëpërmjet pyetjes përpara gjykatës.  Po ashtu, Pol.gjyq. aktivizohet, duke proceduar në «[...] kërkimin dhe fiksimin e sendeve dhe të gjurmëve të veprës penale si dhe në ruajtjen e tyre [...]» (shkronja ‘a’, §1, neni 294 Kpp), e gjitha si identifikim i sendeve të përfshira po ashtu në ‘burime të provës’ </w:t>
      </w:r>
      <w:r w:rsidRPr="006871FF">
        <w:rPr>
          <w:rFonts w:ascii="Georgia" w:hAnsi="Georgia" w:cstheme="minorBidi"/>
          <w:i/>
          <w:lang w:val="sq-AL"/>
        </w:rPr>
        <w:t>reale</w:t>
      </w:r>
      <w:r w:rsidRPr="006871FF">
        <w:rPr>
          <w:rFonts w:ascii="Georgia" w:hAnsi="Georgia" w:cstheme="minorBidi"/>
          <w:lang w:val="sq-AL"/>
        </w:rPr>
        <w:t>,</w:t>
      </w:r>
      <w:r w:rsidRPr="006871FF">
        <w:rPr>
          <w:rFonts w:ascii="Georgia" w:hAnsi="Georgia" w:cstheme="minorBidi"/>
          <w:vertAlign w:val="superscript"/>
          <w:lang w:val="sq-AL"/>
        </w:rPr>
        <w:t>8</w:t>
      </w:r>
      <w:r w:rsidRPr="006871FF">
        <w:rPr>
          <w:rFonts w:ascii="Georgia" w:hAnsi="Georgia" w:cstheme="minorBidi"/>
          <w:lang w:val="sq-AL"/>
        </w:rPr>
        <w:t xml:space="preserve"> nga ku marrja nëpërmjet dokumentimit a sekuestrimit të lidhur me faktin vepër penale është ‘burimi i provës’, gjithashtu e gatshëm me u transformuar në provë në gjykim.</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Sipas parimeve të sistemit akuzator koha dhe vendi ku duhet të merret prova, pra ku duhet që ajo, për shkak të nxitjes të transformohet nga burim në provë, është procesi.  Ndërsa, për shkak të shumë faktorëve, si dhe për shkak të ndarjes së procedimit penal në fazën paraprake të hetimeve, pararendëse e procesit, sipas parimeve të sistemit inkuizitor, burimi i provës transformohet në provë brenda të njëjtës fazë paraprake.  Përputhet me këtë dhe koncepti i provës formuese e marrë dhe për këtë e formuar në proces, nga burimi i provës dhe provës së para formuar e marrë dhe kështu e formuar, përgjatë hetimeve paraprake, në vazhdimësi nga burimi i provës.</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Kështu ‘burimi i provës’ mbetet i tillë në fazën e hetimeve paraprake dhe shndërrohet në ‘provë’ në shqyrtimin gjyqësor.  Porse gjatë hetimeve paraprake në raste përjashtuese ai ka ‘fuqinë’ e provës kur prokurori vendos ‘mosfillimin e procedimit’ (neni 291 Kpp) apo ‘pushimin e çështjes’ për kundërvajtje (neni 328 Kpp). Po ashtu ajo është e tillë edhe në rastin e ‘flagrancës’ (§2, neni 259 Kpp) dhe në ‘caktimin e masës së sigurimit’ (§1, neni 228 Kpp), ku vendimi i gjykatës që i verifikon i konsideron ato me fuqinë e provës.  Përveç kësaj, është për të përmendur se për shkak të situatës së papërdorshmërisë së shumë akteve, të cilat pikërisht për këtë përfshihen në fashikullin gjyqësor, mund të thuhet se ato janë prova, pasi ‘lehtësia’ e përfshirjes së tyre në shqyrtimin gjyqësor – mjafton ‘tregimi, nga prokurori, provave që kërkon të shqyrtohen’ (§1, neni 357 Kpp) – të verifikuara në të, e shfaq këtë.</w:t>
      </w:r>
    </w:p>
    <w:p w:rsidR="003A5C8D" w:rsidRDefault="003A5C8D" w:rsidP="00C7031C">
      <w:pPr>
        <w:pStyle w:val="NoSpacing"/>
        <w:tabs>
          <w:tab w:val="left" w:pos="0"/>
        </w:tabs>
        <w:jc w:val="center"/>
        <w:rPr>
          <w:rFonts w:ascii="Georgia" w:hAnsi="Georgia" w:cstheme="minorBidi"/>
          <w:b/>
          <w:lang w:val="sq-AL"/>
        </w:rPr>
      </w:pPr>
    </w:p>
    <w:p w:rsidR="00810287" w:rsidRPr="006871FF" w:rsidRDefault="00810287" w:rsidP="00C7031C">
      <w:pPr>
        <w:pStyle w:val="NoSpacing"/>
        <w:tabs>
          <w:tab w:val="left" w:pos="0"/>
        </w:tabs>
        <w:jc w:val="center"/>
        <w:rPr>
          <w:rFonts w:ascii="Georgia" w:hAnsi="Georgia" w:cstheme="minorBidi"/>
          <w:b/>
          <w:lang w:val="sq-AL"/>
        </w:rPr>
      </w:pPr>
      <w:r w:rsidRPr="006871FF">
        <w:rPr>
          <w:rFonts w:ascii="Georgia" w:hAnsi="Georgia" w:cstheme="minorBidi"/>
          <w:b/>
          <w:lang w:val="sq-AL"/>
        </w:rPr>
        <w:t>Objekti</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Objekt</w:t>
      </w:r>
      <w:r w:rsidRPr="006871FF">
        <w:rPr>
          <w:rFonts w:ascii="Georgia" w:hAnsi="Georgia" w:cstheme="minorBidi"/>
          <w:i/>
          <w:lang w:val="sq-AL"/>
        </w:rPr>
        <w:t>/thema</w:t>
      </w:r>
      <w:r w:rsidRPr="006871FF">
        <w:rPr>
          <w:rFonts w:ascii="Georgia" w:hAnsi="Georgia" w:cstheme="minorBidi"/>
          <w:lang w:val="sq-AL"/>
        </w:rPr>
        <w:t xml:space="preserve"> i provës është fakti në thelb i përcaktuar, ai mbi të cilin përqendrohet drejtimi i njohjes, dijes apo njoftimit, deklaruar gjykatës.  Objekt i provës/</w:t>
      </w:r>
      <w:r w:rsidRPr="006871FF">
        <w:rPr>
          <w:rFonts w:ascii="Georgia" w:hAnsi="Georgia" w:cstheme="minorBidi"/>
          <w:i/>
          <w:lang w:val="sq-AL"/>
        </w:rPr>
        <w:t>thema probandum</w:t>
      </w:r>
      <w:r w:rsidRPr="006871FF">
        <w:rPr>
          <w:rFonts w:ascii="Georgia" w:hAnsi="Georgia" w:cstheme="minorBidi"/>
          <w:lang w:val="sq-AL"/>
        </w:rPr>
        <w:t xml:space="preserve"> është fakti që pretendohet se duhet të provohet.  Në procedimin penal të tillë përcaktohen, në mënyrë hipotetike apo të mundshme «faktet që kanë lidhje me akuzën, fajësinë dhe dënimin e të pandehurit, përgjegjësinë civile të palëve, si dhe ato nga të cilat varet zbatimi i normave procedurale» (neni 150 Kpp).  Ndërsa në procedimin penal konkret, ato aktualizohen mbi faktin vepër penale, faktin historik – rëndom quajtur rrethanat e faktit – dhe fajësinë e subjektit të individualizuar si pjesët përbërëse të veprimit/aktit akuzë;  aktualizohet në faktet që ndikojnë në përcaktimin e llojit dhe masën e dënimit të tij si dhe në faktet që përcaktojnë</w:t>
      </w:r>
    </w:p>
    <w:p w:rsidR="00810287" w:rsidRPr="006871FF" w:rsidRDefault="00810287" w:rsidP="00810287">
      <w:pPr>
        <w:pStyle w:val="NoSpacing"/>
        <w:tabs>
          <w:tab w:val="left" w:pos="720"/>
        </w:tabs>
        <w:jc w:val="both"/>
        <w:rPr>
          <w:rFonts w:ascii="Georgia" w:hAnsi="Georgia" w:cstheme="minorBidi"/>
          <w:lang w:val="sq-AL"/>
        </w:rPr>
      </w:pPr>
      <w:r w:rsidRPr="006871FF">
        <w:rPr>
          <w:rFonts w:ascii="Georgia" w:hAnsi="Georgia" w:cstheme="minorBidi"/>
          <w:lang w:val="sq-AL"/>
        </w:rPr>
        <w:t>përgjegjësinë e rrjedhur nga vepra penale dhe në faktet që përcaktojnë përgjegjësinë e të paditurit civil.</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Kështu kërkohet ‘lidhja’ e domosdoshme që i përket raportit apo marrëdhënies së ‘veprimit’ që kërkohet të provohet me akuzën, fajësinë dhe dënimin e të pandehurit, përgjegjësinë civile të palëve, si dhe faktit nga i cili varet zbatimi i normave procedurale, nga ku jashtë këtij raporti apo lidhje, nuk është e nevojshme, për çka është e palejuar, marrja e provës në shqyrtimin gjyqësor.  Çdo fakt që nuk ka për objekt të vërtetimit të tij çka më sipër, nuk është i rëndësishëm për procedimin penal, sepse verifikimi i ekzistencës së tij, nuk ndikon në zgjidhjen e çështjes dhe vendimin përfundimtar.  Përcaktimi i objektit të provës mbi bazën e parimit të përkatësisë, i rëndësishëm për nga pikëpamja procedurale, është bërë në tentativë të shmangies së abuzimeve, nga ku nevoja për sqarimin e rrethanave të çështjes (§1, neni 187 Kpp) apo të së vërtetës mbetet gjithsesi e izoluar brenda parimit të ‘nevojshmërisë’ (neni 367 Kpp), siç ky i fundit domosdoshmërish brenda kufijve të përkatësisë së objektit të provës me faktin vepër penale që sqaron fajësinë, dënimin, përgjegjësinë civile dhe zbatimin e normave procedurale.  Kështu nuk është objekt i provës – dhe për këtë nuk mund të merret ajo provë – që jep njohje të faktit i cili, sado në pretendim të ‘sqarimit të çështje a së vërtetës’, është i palidhur me fajësinë, dënimin, përgjegjësinë civile dhe zbatimin e normave procedurale, çka do të thotë shmangie e zvarritjes së pafundme dhe e çdo abuzimit me të drejtën e provës, duke u formuar kështu dhe një lloj sigurie për palët.</w:t>
      </w:r>
    </w:p>
    <w:p w:rsidR="003A5C8D" w:rsidRDefault="003A5C8D" w:rsidP="00C7031C">
      <w:pPr>
        <w:pStyle w:val="NoSpacing"/>
        <w:tabs>
          <w:tab w:val="left" w:pos="0"/>
        </w:tabs>
        <w:jc w:val="center"/>
        <w:rPr>
          <w:rFonts w:ascii="Georgia" w:hAnsi="Georgia" w:cstheme="minorBidi"/>
          <w:b/>
          <w:lang w:val="sq-AL"/>
        </w:rPr>
      </w:pPr>
    </w:p>
    <w:p w:rsidR="00810287" w:rsidRPr="006871FF" w:rsidRDefault="00810287" w:rsidP="00C7031C">
      <w:pPr>
        <w:pStyle w:val="NoSpacing"/>
        <w:tabs>
          <w:tab w:val="left" w:pos="0"/>
        </w:tabs>
        <w:jc w:val="center"/>
        <w:rPr>
          <w:rFonts w:ascii="Georgia" w:hAnsi="Georgia" w:cstheme="minorBidi"/>
          <w:b/>
          <w:lang w:val="sq-AL"/>
        </w:rPr>
      </w:pPr>
      <w:r w:rsidRPr="006871FF">
        <w:rPr>
          <w:rFonts w:ascii="Georgia" w:hAnsi="Georgia" w:cstheme="minorBidi"/>
          <w:b/>
          <w:lang w:val="sq-AL"/>
        </w:rPr>
        <w:t>Kundërprova</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Nga pozicionet e kundërvënia ndërmjet prokurorit dhe të pandehurit, rrjedhur nga interesa, qëllime, të drejta e fakultete të kundërta, prej ku objekti i të provuarit për secilën nga palët është i ndryshëm dhe në thelb i kundërt, bën të formohet edhe koncepti i ‘kundërprovës’ (shkronja ‘ç’, §1, neni 383 Kpp).  Edhe kundërprova siç dhe vetë prova përcaktohet e tillë në referim të objektit të njohjes, dijes apo njoftimit mbi faktin i cili është i kundërt apo i ndryshëm nga prova në ngarkim të të pandehurit që nga prokurori kërkohet të verifikohet apo i kundërt nga prova në shkarkim që nga i pandehuri apo mbrojtësi i tij kërkohet të merret.  Duke vlerësuar nga përmbajtja e termit të tilla janë «provat [...] që janë në favor të [...]» pandehurit (§1, neni 8/a Kpp) apo ato që japin njohe të «[...] fakteve ose rrethanave në favor të personit ndaj të cilit zhvillohen hetime» (§1, neni 304 Kpp).</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Nëpërmjet provës së kundërt apo në favor të të hetuarit/pandehurit nuk synohet domosdoshmërish nxjerrja në pah e një njohje apo njoftimi të kundërt.  Nga ballafaqimi i provave me objekt të kundërt, mbi fakte e rrethana të njëjta, qartësohet në maksimum dija mbi ekzistencën e faktit apo rrethanave.  Madje edhe ndërhyrja nga pozicione të kundërta, përveçse është shprehje e kontradiktoritetit, të palëve në pozitë të njëjtë</w:t>
      </w:r>
      <w:r w:rsidRPr="006871FF">
        <w:rPr>
          <w:rFonts w:ascii="Georgia" w:hAnsi="Georgia" w:cstheme="minorBidi"/>
          <w:i/>
          <w:lang w:val="sq-AL"/>
        </w:rPr>
        <w:t>/par condicio,</w:t>
      </w:r>
      <w:r w:rsidRPr="006871FF">
        <w:rPr>
          <w:rStyle w:val="FootnoteReference"/>
          <w:rFonts w:ascii="Georgia" w:hAnsi="Georgia" w:cstheme="minorBidi"/>
          <w:i/>
          <w:lang w:val="sq-AL"/>
        </w:rPr>
        <w:footnoteReference w:id="46"/>
      </w:r>
      <w:r w:rsidRPr="006871FF">
        <w:rPr>
          <w:rFonts w:ascii="Georgia" w:hAnsi="Georgia" w:cstheme="minorBidi"/>
          <w:lang w:val="sq-AL"/>
        </w:rPr>
        <w:t xml:space="preserve"> por dhe prodhon njohje më të plotë të mundshme dhe të qartë të faktit.  Ndërkohë që kundërprova së paku vë kriter të njëjtë trajtimi dhe për këtë ka vlera pozitive në njohjen apo dijen e përfituar nga gjykata, njohje e cila dukshëm rrezikohet nga ndërhyrja paraprake parësore e provës së prokurorit.  Kështu nëse ‘shqyrtimi gjyqësor’, nga ndërhyrja e të pandehurit për provën e marrë më parë nga organi që procedon në fazën e hetimit paraprake, formohet si një kundërshti duke prodhuar thjeshtë një mendim mbi rezultatet e hetimit paraprak, kundërprova si dhe ndërhyrja për provën e marrë në proces, është formim zhvillues që lejon vlerësimin tërësor të njohjes apo dijes mbi ekzistencën e faktit apo rrethanave, nxjerrë nga burimi i provës.  Është pikërisht ky koncept që bën të parashikohet se «vendimi përmban – edhe – arsyet për të cilat gjykata i quan të papranueshme provat e kundërta» (shkronja ‘ç’, §1, neni 383 Kpp).</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Me parashikimin se «organi procedues – duhet të mbledhë dhe të shqyrtojë si provat që fajësojnë të pandehurin, ashtu edhe ato që janë në favor të tij» apo dhe atë që parashikon se «prokurori [...] kryen hetime edhe për verifikimin e fakteve ose rrethanave në favor të personit ndaj të cilit zhvillohen hetime» (§1, neni 304 Kpp), prova e kundërt ka fituar terren.  Parimisht ngarkohet si prokurori gjatë hetimeve paraprake ashtu dhe gjykata gjatë shqyrtimit gjyqësor, që me iniciativë të hetojnë dhe të ‘marrin’ prova të kundërtat nga pretendimi institucional e vetë prokurorit, të cilat po ashtu kanë statusin e provës në ngarkim.</w:t>
      </w:r>
    </w:p>
    <w:p w:rsidR="002D0634" w:rsidRDefault="002D0634" w:rsidP="003A5C8D">
      <w:pPr>
        <w:pStyle w:val="NoSpacing"/>
        <w:tabs>
          <w:tab w:val="left" w:pos="0"/>
        </w:tabs>
        <w:jc w:val="center"/>
        <w:rPr>
          <w:rFonts w:ascii="Georgia" w:hAnsi="Georgia" w:cstheme="minorBidi"/>
          <w:b/>
          <w:lang w:val="sq-AL"/>
        </w:rPr>
      </w:pPr>
    </w:p>
    <w:p w:rsidR="00810287" w:rsidRPr="006871FF" w:rsidRDefault="00810287" w:rsidP="003A5C8D">
      <w:pPr>
        <w:pStyle w:val="NoSpacing"/>
        <w:tabs>
          <w:tab w:val="left" w:pos="0"/>
        </w:tabs>
        <w:jc w:val="center"/>
        <w:rPr>
          <w:rFonts w:ascii="Georgia" w:hAnsi="Georgia" w:cstheme="minorBidi"/>
          <w:b/>
          <w:lang w:val="sq-AL"/>
        </w:rPr>
      </w:pPr>
      <w:r w:rsidRPr="006871FF">
        <w:rPr>
          <w:rFonts w:ascii="Georgia" w:hAnsi="Georgia" w:cstheme="minorBidi"/>
          <w:b/>
          <w:lang w:val="sq-AL"/>
        </w:rPr>
        <w:t>M</w:t>
      </w:r>
      <w:r w:rsidR="003A5C8D">
        <w:rPr>
          <w:rFonts w:ascii="Georgia" w:hAnsi="Georgia" w:cstheme="minorBidi"/>
          <w:b/>
          <w:lang w:val="sq-AL"/>
        </w:rPr>
        <w:t xml:space="preserve">arrja e provave gjatë hetimeve  </w:t>
      </w:r>
      <w:r w:rsidRPr="006871FF">
        <w:rPr>
          <w:rFonts w:ascii="Georgia" w:hAnsi="Georgia" w:cstheme="minorBidi"/>
          <w:b/>
          <w:lang w:val="sq-AL"/>
        </w:rPr>
        <w:t>paraprake ose të para formuara</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Mbi bazën e procesit gjyqësor penal të zhvilluar në prani të domosdoshme të përfaqësuesit të të pandehurit, pasi më parë është e pamungueshme ftesa për të marrë pjesë personalisht i pandehuri në gjykim, përballë akuzës së ngritur nga prokurori me pjesëmarrjen fizike të detyrueshme të tij, prova e marrë në të, konsiderohet se shpreh forcën dhe qartësinë maksimale të saj.  Në të kundërt, sipas ligjit tonë procedural, jo vetëm në proces mund të merret prova (§2, neni 152 Kpp), por edhe përgjatë hetimit paraprak është e lejuar që ajo të merret nga prokurori dhe nga Pol.gjyq., të cilët janë organe që procedojnë në këtë fazë (§1, neni 151 Kpp), pasi më parë atyre i është dhënë pushteti i kërkimit të saj nëpërmjet këqyrjeve, kontrolleve dhe përgjimeve.  Kjo edhe pa kontradiktën zhvilluese që arrihet nga prania e të dyja palëve të interesuara për të kundërtën si dhe nga organi që në mënyrë institucionale është i njëanshëm.  Dhe nuk mjafton kjo, por mungesa merr terren edhe në eliminimin apo në mos praninë e gjykatës, ku i nënshtrohen një kontrolli të detyrueshëm të saj vetëm aktivizimi i një pjese të mjeteve të kërkimit të provës.  Ndërkohë që lejon të merren prova nga organi që procedon, ligjvënësi ka përcaktuar gjithashtu dhe institutin e ‘sigurimit të provës’ (neni 316 Kpp), por këtë herë, i tëri nën disiplinimin e kontradiktoritetit përpara një gjyqtari që kontrollon dhe verifikon zbatimin e normave procedurale, nga ku përfitohet njohje, dije apo njoftim i plotë dhe për këtë dhe prova e qartë, bazë e bindjes së gjykatës së themelit.</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Gjithsesi, si provat e marra nga prokurori dhe Pol.gjyq. ashtu dhe ato të përfituara nga sigurimi i provës, që në fillim dhe më pas në fund të hetimeve paraprake, i nënshtrohen një vlerësimi të njëanshëm paraprak</w:t>
      </w:r>
      <w:r w:rsidRPr="006871FF">
        <w:rPr>
          <w:rFonts w:ascii="Georgia" w:hAnsi="Georgia" w:cstheme="minorBidi"/>
          <w:i/>
          <w:lang w:val="sq-AL"/>
        </w:rPr>
        <w:t>/ex ante</w:t>
      </w:r>
      <w:r w:rsidRPr="006871FF">
        <w:rPr>
          <w:rFonts w:ascii="Georgia" w:hAnsi="Georgia" w:cstheme="minorBidi"/>
          <w:lang w:val="sq-AL"/>
        </w:rPr>
        <w:t xml:space="preserve"> të prokurorit, në të njëjtat kushte të marrjes së tyre nga organi që procedon (§6, neni 327 Kpp).  Për shembull, për rastin e ‘qartë dhe të menjëhershëm’ të vdekjes së personit, të papërgjegjshmërisë a miturisë, mungesës së ankimit a tërheqjes së tij, mosparashikimit të faktit nga ligji si vepër penale, të faktit që nuk ekziston, të shuarjes së veprës penale, dhënies së amnistisë, kur prokurori vendos ‘mosfillimin e procedimit’ (§1, neni 291 Kpp);  për kundërvajtje, në rastin e mungesës së qartësisë së ekzistencës së faktit, mosparashikimit të tij si vepër penale, mungesës së ankimit, pamundësisë së marrjes së personit si i pandehur apo të pamundësisë së dënimit të tij, kur është shuar vepra penale, kur nuk provohet se i hetuari e ka kryer veprën apo kur ai nuk e ka kryer, më parë është gjykuar i hetuari për të njëjtën vepër apo i hetuari vdes, prokurori vendos pushimin e çështjes (§1, neni 328 Kpp) dhe në të kundërt i kërkon gjykatës ‘miratimin e urdhrit penal’ (neni 406/a Kpp);  si dhe për krime, kur ai vlerëson se janë rastet e pushimit i kërkon gjykatës pushimin e çështjes (neni 329/a Kpp).  Në të kundërt i kërkon gjykatës gjykimin e akuzës (neni 331 Kpp) apo ‘miratimin e marrëveshjes’ (neni 406/dh Kpp) kur më parë nuk ka kërkuar ‘gjykimin e drejtpërdrejtë’ (neni 400 Kpp).</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Në këtë përzgjedhje që i është lejuar prokurorit, kuptohet dukshëm, se jo vetëm ‘prova’ e papërsëritshme, por edhe ajo që shërben si ‘burim prove’ e marrë nga ai në mënyrë të njëanshme, ka fuqi të plotë dhe të sigurt si në rastin e ‘mosfillimit të procedimit’ (§1, neni 291 Kpp) ashtu dhe në rastin kur është fjala për kundërvajtje të pushimit të çështjes (neni 328 Kpp) në ngarkim të të hetuarit, pra është e fortë në favor të pretendimit të tij.  Pa asnjë ndryshim, ‘prova’ e papërsëritshme e marrë nga prokurori në ngarkim të të hetuarit, edhe pse nuk i nënshtrohet kontradiktoritetit, por vetëm verifikimit të saj nga gjykata përgjatë gjykimit, është e të njëjtës forcë dhe qartësi për të gjitha rastet e tjera.  Në lidhje më të, është e dukshme se prokurori përpara gjykatës «[...] tregon provat [...]» (§1, neni 356 Kpp), pasojë e marrjes së mëparshme të tyre nga vetë ai (§1, neni 151 Kpp) si dhe e përfshirjes së tyre në fashikullin e gjykimit (neni 332/ë Kpp), që janë për tu ‘verifikuar’ (neni 386 Kpp) në shqyrtimin gjyqësor.  Ndërsa për burimin e provës – pra për provën që mund të përsëritet në gjykim – ai kërkon marrjen e provës për tu ‘shqyrtuar’ (§1, neni 356 Kpp &amp; neni 380 Kpp),  për shembull pyetjen e dëshmitarit që më parë si burim prove ka deklaruar si pmtrrdqh (§1, neni 267 Kpp).  Është kjo në disnivel me mbrojtësin e të pandehurit dhe palëve civile të cilët përpara gjykatës «[...] tregojnë faktet që synojnë të provojnë dhe kërkojnë marrjen e provave» (§2, neni 356 Kpp) për t’i mbështetur ato, por që sipas normimit se «organi procedues – prokuroria – duhet të mbledhë dhe të shqyrtojë – në rastin e kundërvajtjeve për pushimin e çështjes – si provat që fajësojnë të pandehurin, ashtu edhe ato që janë në favor të tij» (§2, neni 8/a Kpp) apo se prokurori «[...] kryen hetime edhe për verifikimin e fakteve ose rrethanave në favor të personit ndaj të cilit zhvillohen hetime» (§1, neni 304 Kpp), është bërë përpjekje të arrihet një ekuilibrim.</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Gjithsesi, për fatin e mirë, është gjykata – që edhe pse vetëm nëpërmjet ‘verifikimit’ të provave të treguara nga prokurori, por edhe të atyre që në prani të saj janë marrë e kështu të ‘shqyrtuara’ – ajo që përcakton në funksion të një vendimi përfundimtar dënimi, përveç kontrollit të parashikuar në pikën 2 të nenit 151 Kpp, të cilit i nënshtrohen edhe provat e marra nga prokurori.</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Përveç forcës së plotë provuese në rastin e pushimit të çështjes për kundërvajtje, prova e marrë nga prokurori apo pol.  gjyq.  gjatë fazës së hetimeve paraprake, ka po ashtu forcë provuese të plotë edhe për disponime të tjera.  Kështu në kushtet për caktimin e masave të sigurimit personal «[...] dyshimi i arsyeshëm – i ndodhjes së veprës penale dhe se i hetuari e ka kryer atë, duhet të jetë – i bazuar në prova» (§1, neni 228 Kpp), prova të cilat, nëse është rasti të caktohet kjo masë ende pa filluar procesi penal, merren nga prokurori dhe Pol.gjyq. përgjatë hetimeve paraprake.  Për këtë, është korrekte të disponohet, së paku, mbi provat qofshin ato të papërsëritshme ashtu dhe mbi treguesit që japin burimet e provave pa diferencim.  Kjo sepse për rastin e ndryshimit të këtyre të fundit në shqyrtimit gjyqësor, ato neutralizohen nëpërmjet kundërshtimit apo ruajnë forcën e tyre kur përputhen me prova të tjera.  Për këtë, gjithsesi forca e tyre deri në nivel të provës është e pamohueshme dhe si të tilla të përdorshme edhe në rastin e caktimit të masës së sigurimit.</w:t>
      </w:r>
      <w:r w:rsidRPr="006871FF">
        <w:rPr>
          <w:rStyle w:val="FootnoteReference"/>
          <w:rFonts w:ascii="Georgia" w:hAnsi="Georgia" w:cstheme="minorBidi"/>
          <w:lang w:val="sq-AL"/>
        </w:rPr>
        <w:footnoteReference w:id="47"/>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Po ashtu, me forcën e provës konsiderohen ato edhe në rastet e tjera kur është fjala për kontrollin gjyqësor të veprimeve të prokurorit, siç janë shqyrtimi i ankimit mbi zgjatjen e afatit të hetimeve (§1, neni 325 Kpp) apo i kërkesë së revokimit e zëvendësimit të masës së sigurimit (neni 260 Kpp).</w:t>
      </w:r>
    </w:p>
    <w:p w:rsidR="00C7031C" w:rsidRPr="006871FF" w:rsidRDefault="00810287" w:rsidP="00C7031C">
      <w:pPr>
        <w:pStyle w:val="NoSpacing"/>
        <w:tabs>
          <w:tab w:val="left" w:pos="720"/>
        </w:tabs>
        <w:ind w:firstLine="720"/>
        <w:jc w:val="both"/>
        <w:rPr>
          <w:rFonts w:ascii="Georgia" w:hAnsi="Georgia" w:cstheme="minorBidi"/>
          <w:lang w:val="sq-AL"/>
        </w:rPr>
      </w:pPr>
      <w:r w:rsidRPr="006871FF">
        <w:rPr>
          <w:rFonts w:ascii="Georgia" w:hAnsi="Georgia" w:cstheme="minorBidi"/>
          <w:lang w:val="sq-AL"/>
        </w:rPr>
        <w:t>Ndërkohë që ligjvënësi ka shprehur një farë dyshimi se nuk konsiderohet provë por ‘burim prove’ ajo e identifikuar nga Pol.gjyq. ende pa filluar procedimi penal apo përpara se të jetë regjistruar njoftimi i veprës penale (§1, neni 287 Kpp), në rastin e arrestit në flagrancë.  Kjo sepse, parashikimi i §1 të nenit 151 Kpp që konsideron ‘prova’ ato të marra ‘gjatë hetimit paraprak’ nuk mjafton për t’i përfshirë edhe ato të identifikuara përpara ‘regjistrimit të njoftimit të veprës penale’ si të tilla dhe për këtë ka vënë në lëvizje një tjetër disiplinim se «[...] provat e marra në këtë seancë – që është seanca e vleftësimit të arrestit në flagrancë a ndalimit – konsiderohen si të marra në gjykim» (§2, neni 259 Kpp), duke i dhënë mundësi kështu prokurorit që treguesit/njohjet e ‘burimit të provës’, ti nxisë apo paraqesë përpara gjykatës, në kontradiktoritet me të hetuarin dhe kështu duke e transformuar atë në provë.  Madje me ndryshimet e ligjit n.35/2017 ka shkuar edhe më larg, duke parashikuar në të njëjtën dispozitë se «[...] me kërkesën e palëve, ato mund t’i nënshtrohen debatit gjyqësor gjatë shqyrtimit të çështjes në themel».  Por kjo nuk është korrekte, sepse veprimet e Pol.gjyq. të drejtuara në hetimet e nevojshme që lidhen me ushtrimin e ndjekjes penale, pavarësisht momentit të regjistrimit të njoftimit të veprës penale, përfshihen brenda harkut të fazës së hetimeve paraprake, prandaj nuk kishte asnjë arsye që ligjvënësi të disiplinonte normimin e §2 të nenit 259 të Kpp, pasi ‘prova’ ato janë tashmë të marra sipas rregullimit ligjor nga organi që procedon në fazën e hetimit paraprak (§1, neni 151 Kpp).</w:t>
      </w:r>
    </w:p>
    <w:p w:rsidR="00810287" w:rsidRPr="006871FF" w:rsidRDefault="00810287" w:rsidP="00C7031C">
      <w:pPr>
        <w:pStyle w:val="NoSpacing"/>
        <w:tabs>
          <w:tab w:val="left" w:pos="720"/>
        </w:tabs>
        <w:ind w:firstLine="720"/>
        <w:jc w:val="both"/>
        <w:rPr>
          <w:rFonts w:ascii="Georgia" w:hAnsi="Georgia" w:cstheme="minorBidi"/>
          <w:lang w:val="sq-AL"/>
        </w:rPr>
      </w:pPr>
      <w:r w:rsidRPr="006871FF">
        <w:rPr>
          <w:rFonts w:ascii="Georgia" w:hAnsi="Georgia" w:cstheme="minorBidi"/>
          <w:lang w:val="sq-AL"/>
        </w:rPr>
        <w:t>Nga ana tjetër, ligjvënësi nuk ka parashikuar asnjë diferencë të forcës, peshës, besueshmërisë apo qartësisë, ndërmjet provës së marrë përgjatë hetimeve paraprake dhe të asaj të marrë përgjatë shqyrtimit gjyqësor, madje për rastet e ‘kundërshtimit’ të dëshmisë apo deklarimeve bërë në shqyrtimin gjyqësor, ato të bëra përgjatë hetimeve paraprake, kapërcejnë të parat.  Megjithatë, vetëm vendimi i shpallur si pasojë e një procesi është në gjendje të kalojë në ‘formë të prerë’ (§3, neni 462 Kpp), duke bërë të pamundur përsëritjen e një tjetër gjykimi</w:t>
      </w:r>
      <w:r w:rsidRPr="006871FF">
        <w:rPr>
          <w:rFonts w:ascii="Georgia" w:hAnsi="Georgia" w:cstheme="minorBidi"/>
          <w:i/>
          <w:lang w:val="sq-AL"/>
        </w:rPr>
        <w:t xml:space="preserve">/ne bis in idem </w:t>
      </w:r>
      <w:r w:rsidRPr="006871FF">
        <w:rPr>
          <w:rFonts w:ascii="Georgia" w:hAnsi="Georgia" w:cstheme="minorBidi"/>
          <w:lang w:val="sq-AL"/>
        </w:rPr>
        <w:t>(neni 7 Kpp), në të kundërt nga ai i prokurorit vendosur qoftë si ‘mosfillim i procedimit’ (neni 291 Kpp) apo si ‘pushim i çështjes’ për kundërvajtje (neni 328 Kpp), të cilët janë të ekspozuar ndaj mundësisë së revokimit dhe kështu të përsëritjes apo vazhdimit të procedimit.</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Një parantezë interesante hapet për të gjitha ata që besojnë se në tërësi Kpp është një përshtatje e sforcuar e të dy sistemeve me prirje të fortë inkuizitore, referuar këtu veçanërisht ‘pushtetit’ të prokurorit për të bërë gjyqësi ende pa u dërguar çështja në gjykatë.  Për këtë gjen justifikim normimi se «gjatë hetimeve paraprake provat merren nga organi që procedon» (§1, neni 151 Kpp), i cili lejon, që mbi bazën e të njëjtave parametra të çmuarjes, – ndonëse të papërcaktuar nga i njëjti ligj – prokurori të disponojë mbi bazën e provave që vetë ka marrë, si ‘mosfillimin e procedimit’ (neni 291 Kpp) apo ‘pushimin e çështjes’ për kundërvajtje (neni 328 Kpp) ashtu dhe ‘dërgimin e çështjes në gjyq’ (neni 331 Kpp), përfshirë gjykimin e drejtpërdrejtë (neni 400 Kpp), miratimin e urdhrit penal për kundërvajtje (neni 406/b Kpp) dhe miratimin e marrëveshjes (neni 406/e Kpp).  Rrjedhimisht e njëjta logjikë lejon të mendohet se ‘provat’ e marra nga organi që procedon në fazën e hetimit paraprak – Pol.gjyq. &amp; prokurori – përdoren si të tilla nga vetë ai organ në të gjitha mundësitë e disponimit të tij, përfshirë këtu, përjashtimisht, edhe gjykatën në rastin e caktimit të një mase sigurimi (§1, neni 228 Kpp &amp; §2, neni 259 Kpp).  Kështu mbetet e arsyeshme të kuptohet se ‘provat’ e marra nga organi që procedon gjatë hetimit paraprak (§1, neni 151 Kpp) nuk janë ato mbi të cilat mbështet vendimin e saj gjykata në disponimin e themelit të akuzës.  Ato janë të tilla vetëm në shërbim të prokurorit në disponimin e tij dhe përjashtimisht për ato të papërsëritshme dhe sipas një sistemi të rreptë, siç ai i ‘leximeve të lejueshme’ (neni 369 Kpp) dhe ‘kundërshtimit’ (neni 362 &amp; 365 Kpp), ‘transformohen’ në prova, të tilla që gjithsesi verifikohen në shqyrtimin gjyqësor, mbi të cilat bie çmuarja e gjykatës.</w:t>
      </w:r>
    </w:p>
    <w:p w:rsidR="002D0634" w:rsidRDefault="002D0634" w:rsidP="00C7031C">
      <w:pPr>
        <w:pStyle w:val="NoSpacing"/>
        <w:tabs>
          <w:tab w:val="left" w:pos="0"/>
        </w:tabs>
        <w:jc w:val="center"/>
        <w:rPr>
          <w:rFonts w:ascii="Georgia" w:hAnsi="Georgia" w:cstheme="minorBidi"/>
          <w:b/>
          <w:lang w:val="sq-AL"/>
        </w:rPr>
      </w:pPr>
    </w:p>
    <w:p w:rsidR="00810287" w:rsidRPr="006871FF" w:rsidRDefault="00810287" w:rsidP="00C7031C">
      <w:pPr>
        <w:pStyle w:val="NoSpacing"/>
        <w:tabs>
          <w:tab w:val="left" w:pos="0"/>
        </w:tabs>
        <w:jc w:val="center"/>
        <w:rPr>
          <w:rFonts w:ascii="Georgia" w:hAnsi="Georgia" w:cstheme="minorBidi"/>
          <w:b/>
          <w:lang w:val="sq-AL"/>
        </w:rPr>
      </w:pPr>
      <w:r w:rsidRPr="006871FF">
        <w:rPr>
          <w:rFonts w:ascii="Georgia" w:hAnsi="Georgia" w:cstheme="minorBidi"/>
          <w:b/>
          <w:lang w:val="sq-AL"/>
        </w:rPr>
        <w:t>Në proces/formuese</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Mbi konsideratat kushtetuese që tregojnë se «gjatë procesit penal kushdo ka të drejtë [...] të mbrohet vetë ose me ndihmën e një mbrojtësi ligjor të zgjedhur prej tij; [...]» (shkronja ‘ç’, neni 31 Kusht.), formuese e të drejtës së patjetërsueshme të mbrojtjes dhe që po ashtu tregojnë se i pandehuri ka të drejtë që «t’u bëjë pyetje dëshmitarëve të pranishëm dhe të kërkojë paraqitjen e dëshmitarëve, të ekspertëve dhe të personave të tjerë, të cilët mund të sqarojnë faktet» (shkronja ‘d’, neni 31 Kusht.), pothuajse e përputhur kjo edhe me KEDNjLTh që njeh të drejtën e të akuzuarit ‘</w:t>
      </w:r>
      <w:r w:rsidRPr="006871FF">
        <w:rPr>
          <w:rFonts w:ascii="Georgia" w:hAnsi="Georgia" w:cstheme="minorBidi"/>
          <w:i/>
          <w:lang w:val="sq-AL"/>
        </w:rPr>
        <w:t>to examine or have examined witnesses against him and to obtain the attendance and examination of witnesses on his behalf under the same conditions as witnesses against him</w:t>
      </w:r>
      <w:r w:rsidRPr="006871FF">
        <w:rPr>
          <w:rFonts w:ascii="Georgia" w:hAnsi="Georgia" w:cstheme="minorBidi"/>
          <w:lang w:val="sq-AL"/>
        </w:rPr>
        <w:t>;’ (art. 6, §3, shkronja ‘d’), është formuar fillimisht opinioni, se të pandehurit i është siguruar e ‘drejta për të provuar’ dhe se ajo është ‘shprehje e të drejtës së mbrojtjes’, që do të thotë se njësoj si e drejta e mbrojtjes edhe e drejta për të provuar duhet të garantohet.</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Është kjo e shprehur në disiplinimin se «në gjykim provat merren me kërkesën e palëve [...]» (§2 neni 151 Kpp), nga ku dukshëm humb terren parimi inkuizitor në të cilin pushteti i marrjes së provës i atribuohet gjykatës, që nuk shpëton për këtë nga ‘njëanshmëria’ dhe që gjithsesi nuk është më në pozicionin ‘e të tretit’ në procesin penal, kur atë e ushtron  Disiplinimi i të drejtës për të provuar nga palët në procesin penal, shmang njëanshmërinë e gjykatës dhe përcjell në procesin penal parimin e sistemit akuzator, duke i vendosur palët të baraslarguara nga gjykata, që çështjen e tyre shqyrton.  Nga ana tjetër, prokurori palë aktive në procesin penal, konfigurohet si akuzues me çfarëdolloj kosto, për shkak se ligji më i Lartë (§1, neni 148 i Kusht.) i atribuon ushtrimin e ndjekjes penale, pa asnjë mundësi shmangie.  Për çka, njëlloj si pala tjetër i pandehuri, veçse i detyruar, në ndryshim nga i pandehuri që mban të drejtë fakultative, prokurori gëzon gjithashtu të drejtën për të provuar tezën e tij të përpunuar në akuzën pjesë e kërkesës për dërgimin e çështjes në gjyq, si shprehje e ushtrimit të ndjekjes penale.</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Kështu secila palë, si titullar i të drejtës për të provuar pikëpamjen e saj, përveçse është titullar i fakultetit për të kërkuar marrjen e provës mbart dhe të drejtën për t’u pranuar kjo kërkesë, e cila i nënshtrohet kufizimit vetëm në dy situata, kur prova është e ndaluar nga ligji (§2, neni 151 Kpp) dhe kur ajo është haptazi e panevojshme (§2, neni 151 Kpp).  Nga ana tjetër, e drejta për të provuar jo vetëm realizohet përpara gjykatës që pikëpamjen shqyrton, por dhe i nënshtrohet shtysave kontradiktore që përshkojnë procesin, megjithëse kësaj të fundit i ‘shpëton’ prova e papërsëritshme.  Kjo sepse përkundrejt kërkesës së prokurorit për dërgimin e çështjes në gjyq (neni 331 Kpp) ligja parashikon fillimisht – nëpërmjet përcaktimit të akteve që duhet të përmbajë fashikulli i gjykimit nga gj.s.p. (§1, neni 332/ë Kpp) – formimin e tij nga akte me prova të ‘papërsëritshme’.  Për sa kohë prokurori kishte vetëm detyrimin për të provuar akuzën, sidoqoftë prova e marrë nga ai gjatë hetimeve paraprake, veçanërisht ajo e papërsëritshme sillte epërsi të tij në gjykim.  Porse parashikimi se «organi procedues duhet të mbledhë [...] provat që [...] të pandehurin [...] që janë në favor të tij» (§2, neni 8/a Kpp) dhe ai se «prokurori [...] kryen hetime edhe për verifikimin e fakteve ose rrethanave në favor të personit ndaj të cilit zhvillohen hetime» (§1, neni 304 Kpp), që mundësojnë si provë të papërsëritshme edhe atë në favor të të pandehurit, vlerësohet nga ligjvënësi si ekuilibrim i të drejtës për të provuar ndërmjet prokurorit dhe mbrojtësit të të pandehurit.</w:t>
      </w:r>
    </w:p>
    <w:p w:rsidR="00810287" w:rsidRPr="006871FF" w:rsidRDefault="00810287" w:rsidP="00C7031C">
      <w:pPr>
        <w:pStyle w:val="NoSpacing"/>
        <w:tabs>
          <w:tab w:val="left" w:pos="720"/>
        </w:tabs>
        <w:ind w:firstLine="720"/>
        <w:jc w:val="both"/>
        <w:rPr>
          <w:rFonts w:ascii="Georgia" w:hAnsi="Georgia" w:cstheme="minorBidi"/>
          <w:lang w:val="sq-AL"/>
        </w:rPr>
      </w:pPr>
      <w:r w:rsidRPr="006871FF">
        <w:rPr>
          <w:rFonts w:ascii="Georgia" w:hAnsi="Georgia" w:cstheme="minorBidi"/>
          <w:lang w:val="sq-AL"/>
        </w:rPr>
        <w:t>Gjithsesi ky lloj i pranimit të provës në përbërje të fashikullit të gjykimit, ushtron efekt deri në momentin pas deklarimit të hapjes së shqyrtimit gjyqësor (neni 355 Kpp), i shprehur nga normimi se «prokurori [...] tregon provat që kërkon të shqyrtohen.» (§1, neni 356 Kpp) nga se tashmë ai provat i ka marrë dhe janë në përbërje të fashikullit të gjykimit.  Ndërsa siç «[...] mbrojtësi i të pandehurit, përfaqësuesit e paditësit dhe të paditurit civilë [...] kërkojnë marrjen e provave» (§2, neni 356 Kpp), ashtu dhe ai kërkon marrjen e  atyre  provave që ka</w:t>
      </w:r>
      <w:r w:rsidR="00C7031C" w:rsidRPr="006871FF">
        <w:rPr>
          <w:rFonts w:ascii="Georgia" w:hAnsi="Georgia" w:cstheme="minorBidi"/>
          <w:lang w:val="sq-AL"/>
        </w:rPr>
        <w:t xml:space="preserve"> </w:t>
      </w:r>
      <w:r w:rsidRPr="006871FF">
        <w:rPr>
          <w:rFonts w:ascii="Georgia" w:hAnsi="Georgia" w:cstheme="minorBidi"/>
          <w:lang w:val="sq-AL"/>
        </w:rPr>
        <w:t>siguruar më parë nga ‘burimi i provës’ dhe që nuk janë akte të papërsëritshme.</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Më pas, si pasojë e vlerësimit të gjykatës mbi baza të ‘ligjshmërisë’ dhe ‘nevojshmërisë’, si për provat e ‘treguara për shqyrtim’ të prokurorit ashtu dhe për provat që kërkon ‘të merren’ nga ai dhe mbrojtësi i të pandehurit vendoset ekuilibri në pozicionet e palëve të kundërvënë.</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Kështu, përderisa edhe prova e papërsëritshme mund të jetë si në disfavor ashtu dhe në favor të të pandehurit – parimisht dhe duke shpresuar në ushtrimin korrekt të funksionit nga prokurori – palët mund të konsiderohen se janë të baraslarguara nga gjykata në lidhje me të drejtën për të provuar dhe fuqinë provuese të provave që gjykata ‘verifikon’ dhe ‘shqyrton’ për dhënien e vendimit.</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Kështu, situata nuk është e rënduar, përderisa është normuar detyrimi i prokurorit për të marrë prova edhe në favor të të pandehurit, çka ka çliruar ngarkesën autoritare të pushtetit të prokurorit në fushën e të provuarit.  Pranimi i ‘provave të papërsëritshme’  me faktin se jo për të gjitha provat e emërtuara apo të tipizuara të marra nga prokurori dhe Pol.gjyq. gjatë hetimit paraprak janë të tilla. Mbeten jashtë tyre ato që mund të përsëriten në apo mund të arrijnë deri në seancën gjyqësore dhe si e tillë përmendet ‘dëshmia’ e cila duhet patjetër t’i nënshtrohet kontradiktoritetit të palëve në proces.  Dhe kjo është e vërtetë, se dëshmia e dëshmitarit apo e të bashkëpandehurit, pyetja e të pandehurit dhe ajo e palëve private, si dhe ekspertimi, parashikohen si prova të marra në proces nën trysninë e kontradiktoritetit të palëve, të cilat janë të lejuara që nëpërmjet pyetjeve drejtuar burimit personal të provës, si dëshmitarit, ekspertit, bashkëpandehurit, të pandehurit apo palëve private, kur ato merren si të tillë, të nxjerrin në pah njohjen, dijen apo njoftimin më të plotë e të saktë e të besueshëm nga ata, duke bërë kështu të formohet një provë e qartë në bindjen e ekzistencës së fakteve objekt i njohjes/dijes.</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 xml:space="preserve">Nga sa është e rëndësishme të evidentohet se në mbështetje të normimit se «për të marrë vendimin gjykata nuk mund të përdorë prova të tjera veç atyre që janë marrë ose janë verifikuar në shqyrtimin gjyqësor» (neni 380 Kpp), i takon gjykatës pushteti i ‘pranimit’ (neni 357 Kpp) të provave që </w:t>
      </w:r>
      <w:r w:rsidRPr="006871FF">
        <w:rPr>
          <w:rFonts w:ascii="Georgia" w:hAnsi="Georgia" w:cstheme="minorBidi"/>
          <w:i/>
          <w:lang w:val="sq-AL"/>
        </w:rPr>
        <w:t>verifikohen</w:t>
      </w:r>
      <w:r w:rsidRPr="006871FF">
        <w:rPr>
          <w:rFonts w:ascii="Georgia" w:hAnsi="Georgia" w:cstheme="minorBidi"/>
          <w:lang w:val="sq-AL"/>
        </w:rPr>
        <w:t xml:space="preserve"> (e që janë ato vërtet të marra nga prokurori e Pol.gjyq., por që janë të papërsëritshme dhe jo domosdoshmërish në disfavor të të pandehurit) dhe të provave që </w:t>
      </w:r>
      <w:r w:rsidRPr="006871FF">
        <w:rPr>
          <w:rFonts w:ascii="Georgia" w:hAnsi="Georgia" w:cstheme="minorBidi"/>
          <w:i/>
          <w:lang w:val="sq-AL"/>
        </w:rPr>
        <w:t xml:space="preserve">shqyrtohen </w:t>
      </w:r>
      <w:r w:rsidRPr="006871FF">
        <w:rPr>
          <w:rFonts w:ascii="Georgia" w:hAnsi="Georgia" w:cstheme="minorBidi"/>
          <w:lang w:val="sq-AL"/>
        </w:rPr>
        <w:t>(që janë ato të pranuara e të marra nga gjykata në proces).</w:t>
      </w:r>
    </w:p>
    <w:p w:rsidR="002D0634" w:rsidRDefault="002D0634" w:rsidP="00933A4B">
      <w:pPr>
        <w:pStyle w:val="NoSpacing"/>
        <w:tabs>
          <w:tab w:val="left" w:pos="0"/>
        </w:tabs>
        <w:jc w:val="center"/>
        <w:rPr>
          <w:rFonts w:ascii="Georgia" w:hAnsi="Georgia" w:cstheme="minorBidi"/>
          <w:b/>
          <w:lang w:val="sq-AL"/>
        </w:rPr>
      </w:pPr>
    </w:p>
    <w:p w:rsidR="00810287" w:rsidRPr="006871FF" w:rsidRDefault="00810287" w:rsidP="00933A4B">
      <w:pPr>
        <w:pStyle w:val="NoSpacing"/>
        <w:tabs>
          <w:tab w:val="left" w:pos="0"/>
        </w:tabs>
        <w:jc w:val="center"/>
        <w:rPr>
          <w:rFonts w:ascii="Georgia" w:hAnsi="Georgia" w:cstheme="minorBidi"/>
          <w:b/>
          <w:lang w:val="sq-AL"/>
        </w:rPr>
      </w:pPr>
      <w:r w:rsidRPr="006871FF">
        <w:rPr>
          <w:rFonts w:ascii="Georgia" w:hAnsi="Georgia" w:cstheme="minorBidi"/>
          <w:b/>
          <w:lang w:val="sq-AL"/>
        </w:rPr>
        <w:t>Lejimi i marrjes së provës</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Sepse ka normuar ‘detyrimin e prokurorit për të ushtruar ndjekjen penale’ si dhe i ka njohur të pandehurit dhe palëve private ‘të drejtën e mbrojtjes duke provuar’, ligjvënësi ka disiplinuar edhe reflektimet e tyre, fillimisht me të drejtën e pranimit të kërkesës për marrjen e provës, duke lejuar si ‘verifikimin e provave të treguara’ nga prokurori ashtu dhe ‘marrjen e provave’ të kërkuara nga ai, mbrojtësi apo i pandehuri.  Për këtë është sqaruar se palët janë titullarë jo vetëm të kërkesës, respektivisht ‘provave për t’u verifikuar’ dhe ‘provave për t’u marrë’, por dhe të së drejtës së pranimit të këtyre kërkesave, shprehur me normimin se «në gjykim provat merren me kërkesën e palëve. Gjykata vendos menjëherë [...]» (§2, neni 151 Kpp) dhe se «gjykata, pasi dëgjon palët, jep vendim/disponim për marrjen e provave» (§1, neni 357 Kpp).</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Kërkesa të shpejtësisë të ndërthurura me këtë detyrim e të drejtë, kanë sugjeruar për legjislatorin, përcaktimin e shmangies në dy situata, kur preket ligjshmëria dhe kur cenohet rendimenti, të përmbledhura në përjashtimin e atyre provave të cilat janë të «[...] ndaluara nga ligji dhe ato që janë haptazi të panevojshme» (§2, neni 151 Kpp) për procesin në konkret, të cilave u nënshtrohen si ‘verifikimi i provave’ ashtu dhe ‘marrja e provave’.  Të ndodhur përballë qëndrimit të palëkundur se atje ku e drejta për të provuar nuk është përmbushur, padyshim është cenuar seriozisht e drejta e mbrojtjes, janë shtuar përpjekjet për interpretimin korrekt të ‘provës së ndaluar nga ligji’ dhe të ‘provës haptazi të panevojshme’, zgjerimi apo tkurrja e të parës sjell pashmangshmërisht deformim të së drejtës dhe tejkalimi apo ngushtimi i të dytës sjell respektivisht zvarritje të procesit apo deformim të së drejtës.</w:t>
      </w:r>
    </w:p>
    <w:p w:rsidR="002D0634" w:rsidRDefault="002D0634" w:rsidP="00933A4B">
      <w:pPr>
        <w:pStyle w:val="NoSpacing"/>
        <w:tabs>
          <w:tab w:val="left" w:pos="0"/>
        </w:tabs>
        <w:jc w:val="center"/>
        <w:rPr>
          <w:rFonts w:ascii="Georgia" w:hAnsi="Georgia" w:cstheme="minorBidi"/>
          <w:b/>
          <w:lang w:val="sq-AL"/>
        </w:rPr>
      </w:pPr>
    </w:p>
    <w:p w:rsidR="00810287" w:rsidRPr="006871FF" w:rsidRDefault="00810287" w:rsidP="00933A4B">
      <w:pPr>
        <w:pStyle w:val="NoSpacing"/>
        <w:tabs>
          <w:tab w:val="left" w:pos="0"/>
        </w:tabs>
        <w:jc w:val="center"/>
        <w:rPr>
          <w:rFonts w:ascii="Georgia" w:hAnsi="Georgia" w:cstheme="minorBidi"/>
          <w:b/>
          <w:lang w:val="sq-AL"/>
        </w:rPr>
      </w:pPr>
      <w:r w:rsidRPr="006871FF">
        <w:rPr>
          <w:rFonts w:ascii="Georgia" w:hAnsi="Georgia" w:cstheme="minorBidi"/>
          <w:b/>
          <w:lang w:val="sq-AL"/>
        </w:rPr>
        <w:t>Ndaluar nga ligji</w:t>
      </w:r>
      <w:r w:rsidRPr="006871FF">
        <w:rPr>
          <w:rFonts w:ascii="Georgia" w:hAnsi="Georgia" w:cstheme="minorBidi"/>
          <w:b/>
          <w:i/>
          <w:lang w:val="sq-AL"/>
        </w:rPr>
        <w:t>/contra legem</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Pra, lejimi për marrjen e provave nuk është i pakufishëm dhe për këtë i nënshtrohet vlerësimit të gjykatës në dy drejtime, nëse ‘nuk janë të ndaluara nga ligji</w:t>
      </w:r>
      <w:r w:rsidRPr="006871FF">
        <w:rPr>
          <w:rFonts w:ascii="Georgia" w:hAnsi="Georgia" w:cstheme="minorBidi"/>
          <w:i/>
          <w:lang w:val="sq-AL"/>
        </w:rPr>
        <w:t>/contra legem</w:t>
      </w:r>
      <w:r w:rsidRPr="006871FF">
        <w:rPr>
          <w:rFonts w:ascii="Georgia" w:hAnsi="Georgia" w:cstheme="minorBidi"/>
          <w:lang w:val="sq-AL"/>
        </w:rPr>
        <w:t xml:space="preserve"> dhe nëse ‘nuk janë haptazi të panevojshme’.  Thënë ndryshe, e para lidhet me ‘pranueshmërinë’ e provës që ligja parashikon si të tillë dhe të provës që si të tillë nuk normon dhe e dyta i përket dobishmërisë për gjykimin dhe ka të bëjë me atë që quhet ‘rëndësi’ e provës për qëllime të procesit.</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Kështu kërkesa e palës duhet të fokusohet në ato prova që janë të ligjshme, e lidhur kjo me kuptimin e provës në të cilën kërkohet që ajo të merret ‘prej burimeve të parashikuara në ligjin procedural penal, në përputhje me rregullat e caktuara prej tij’ (neni 149 Kpp), të konsideruara prova tipike.  Në kuptimin e ‘burimit të provës’ përfshihen pikërisht ato që ligji në mënyrë taksative i parashikon si prova, por që ende të pa nxitura në gjykim konsiderohen burime të saj, siç janë dëshmitari, bashkëpandehuri, pandehuri, palët private, eksperti – nga aktivizimi i të cilëve del në pah dija mbi faktin, pra vetë prova tipike e parashikuar nga ligji, siç dëshmia, deklarimi i nxitur nga pyetja, ballafaqimi, njohja, eksperimenti, ekspertimi – ashtu dhe sendet e identifikuara ende të pa marra apo të pashfaqura në proces – por që me marrjen e tyre, dalin në pah prova materiale apo dokumenti, siç gjurma, arma, shkresa, shiriti magnetik.</w:t>
      </w:r>
    </w:p>
    <w:p w:rsidR="00810287" w:rsidRPr="006871FF" w:rsidRDefault="00810287" w:rsidP="00933A4B">
      <w:pPr>
        <w:pStyle w:val="NoSpacing"/>
        <w:tabs>
          <w:tab w:val="left" w:pos="720"/>
        </w:tabs>
        <w:ind w:firstLine="720"/>
        <w:jc w:val="both"/>
        <w:rPr>
          <w:rFonts w:ascii="Georgia" w:hAnsi="Georgia" w:cstheme="minorBidi"/>
          <w:lang w:val="sq-AL"/>
        </w:rPr>
      </w:pPr>
      <w:r w:rsidRPr="006871FF">
        <w:rPr>
          <w:rFonts w:ascii="Georgia" w:hAnsi="Georgia" w:cstheme="minorBidi"/>
          <w:lang w:val="sq-AL"/>
        </w:rPr>
        <w:t>Por nuk mjafton vetëm që burimi i provës të jetë i ligjshëm.  Vështruar në raportin e ngushtë të ‘mjetit provues’ me ‘mjetin e kërkimit’ të saj, nga ku ato bien drejtpërdrejtë në njohje të gjykatës, vesi i këtij të fundit sigurisht që pason ndotje edhe tek vetë prova të cilën, sipas përdorimit ai ka identifikuar dhe nëpërmjet dokumentimit a sekuestrimit ai ka marrë.  Mjetet e kërkimit të provës i përkasin mënyrave të veprimit apo operimit deri në marrjen e provës, modalitete komplekse mjaft të rëndësishme dhe të disiplinuar deri në detaje nga ligjvënësi, për çka krijojnë dhe ligjshmërinë e provës.  Të tipizuara si të kërkimit ligjvënësi ka  normuar  kontrollin,  këqyrjen, përgjimin  dhe mjete të</w:t>
      </w:r>
      <w:r w:rsidR="00933A4B" w:rsidRPr="006871FF">
        <w:rPr>
          <w:rFonts w:ascii="Georgia" w:hAnsi="Georgia" w:cstheme="minorBidi"/>
          <w:lang w:val="sq-AL"/>
        </w:rPr>
        <w:t xml:space="preserve"> </w:t>
      </w:r>
      <w:r w:rsidRPr="006871FF">
        <w:rPr>
          <w:rFonts w:ascii="Georgia" w:hAnsi="Georgia" w:cstheme="minorBidi"/>
          <w:lang w:val="sq-AL"/>
        </w:rPr>
        <w:t>marrjes ka normuar dokumentimin – nëpërmjet regjistrimit audio ose audioviziv dhe kur nuk është e mundur me shtypshkrim apo dorëshkrim – dhe sekuestro. Kështu, në kushtet ‘jo e ndaluar nga ligji’ paraqitet prova e parashikuar nga ligji dhe e marrë nëpërmjet instrumenteve të kërkimit të saj, edhe këto të parashikuar nga ligji.</w:t>
      </w:r>
    </w:p>
    <w:p w:rsidR="00933A4B" w:rsidRPr="006871FF" w:rsidRDefault="00810287" w:rsidP="00933A4B">
      <w:pPr>
        <w:pStyle w:val="NoSpacing"/>
        <w:tabs>
          <w:tab w:val="left" w:pos="720"/>
        </w:tabs>
        <w:ind w:firstLine="720"/>
        <w:jc w:val="both"/>
        <w:rPr>
          <w:rFonts w:ascii="Georgia" w:hAnsi="Georgia" w:cstheme="minorBidi"/>
          <w:lang w:val="sq-AL"/>
        </w:rPr>
      </w:pPr>
      <w:r w:rsidRPr="006871FF">
        <w:rPr>
          <w:rFonts w:ascii="Georgia" w:hAnsi="Georgia" w:cstheme="minorBidi"/>
          <w:lang w:val="sq-AL"/>
        </w:rPr>
        <w:t>Por, ligjvënësi ndonëse të parashikuar si parim përgjithësues, ka përdorur formulën e parimit të taksativitetit dhe tipizimit të provës ashtu dhe të mjetit të kërkimit të provës, nuk ka mohuar ‘marrjen e provës që nuk rregullohet me ligj’ (§2 neni 149 Kpp), madje nuk e ka formuluar as si rast përjashtues, duke lejuar për këtë operimin apo bashkëveprimin e parimit të tipizimit të provës në formën treguese dhe aspak ndaluese.  Pra që, mjetet provues të disiplinuar si të tillë janë ato të parashikuarit në ligjin procedural penal dhe të pa rregulluarit (pa emërtuar, jo tipik) nga ai, mund të jenë edhe të tjera, por që ata duhet t’i nënshtrohen dy kushteve: në qoftë se prova ‘vlen për të vërtetuar’ faktet dhe në qoftë se ‘nuk cenon lirinë e vullnetit’ të personit, vështruar ndryshe njëri që lidhet me ‘rëndësinë’ dhe tjetri që lidhet me ‘ligjshmërinë’.  Për këtë, përveç se hapet çështja e provës së ‘ndaluar nga ligji</w:t>
      </w:r>
      <w:r w:rsidRPr="006871FF">
        <w:rPr>
          <w:rFonts w:ascii="Georgia" w:hAnsi="Georgia" w:cstheme="minorBidi"/>
          <w:i/>
          <w:lang w:val="sq-AL"/>
        </w:rPr>
        <w:t>/contra legem</w:t>
      </w:r>
      <w:r w:rsidRPr="006871FF">
        <w:rPr>
          <w:rFonts w:ascii="Georgia" w:hAnsi="Georgia" w:cstheme="minorBidi"/>
          <w:lang w:val="sq-AL"/>
        </w:rPr>
        <w:t xml:space="preserve"> – pasojë e mospranimit të taksativitetit të provës – që e tillë nuk është edhe ajo që nuk është e normuar nga ai, arsyeshëm kuptohet se prova e parregulluar nga ligji apo e paemëruar/jo tipike, mund të kërkohet nga mjete gjithashtu të pa normuara me ligj.  Çka do të thotë se edhe mjetet e kërkimit të provës, nuk i nënshtrohen rregullimit të tyre sipas parimit shterues taksativ, e gjitha nën konsideratën e përshtatjes me arritjet teknologjike.  Megjithatë ato, si dhe në disiplinimin e atyre të tipizuara, i nënshtrohen kushtit të përdorimit apo operimit të tyre, sado të sofistikuara qofshin, nën pengesën e pakapërcyeshme të ‘pacenueshmërisë së lirisë së vullnetit’ të personit.  Në të kundërt do të ishte demonstrimi më i mirë i një prove ‘të ndaluar nga ligji’.  Kjo sepse jo prova që në fund të fundit është dije, por mjetet e kërkimit të kësaj dijeje, rrezikojnë që të cenojnë lirinë e vullnetit dhe për to qëndron drejtpërdrejtë pengesa.  Çka nuk na lejon që nën dëshirën e konservimit apo ruajtjes së provës, të këmbehet prova e parregulluar nga ligji apo e paemërtuar/jo tipike me provën e marrë në rrugë të paligjshme apo </w:t>
      </w:r>
      <w:r w:rsidRPr="006871FF">
        <w:rPr>
          <w:rFonts w:ascii="Georgia" w:hAnsi="Georgia" w:cstheme="minorBidi"/>
          <w:i/>
          <w:lang w:val="sq-AL"/>
        </w:rPr>
        <w:t>contra legem</w:t>
      </w:r>
      <w:r w:rsidRPr="006871FF">
        <w:rPr>
          <w:rFonts w:ascii="Georgia" w:hAnsi="Georgia" w:cstheme="minorBidi"/>
          <w:lang w:val="sq-AL"/>
        </w:rPr>
        <w:t>.  Në asnjë rast kjo e fundit nuk mund të konsiderohet si mjet provues jo tipik, dhe si e tillë të lejohet të merret për t’u vlerësuar në funksion të vendimit.  Kështu, është më se e dukshme që për prova të ndaluara nga ligji, nuk mund të flitet për provat tipike apo të emëruara siç dëshmia, ekspertimi apo njohja, por një e tillë mund të gjejë vend vetëm në rastin e provës së paemërtuar/jo tipike, të asaj që nuk është parashikuar nga ligji, por gjithsesi në situatën kur në marrjen e saj veprojnë mjete të kërkimit të provës që cenojnë lirinë e vullnetit, çka e bën dhe vetë provën të ndaluar nga ligji.</w:t>
      </w:r>
    </w:p>
    <w:p w:rsidR="002D0634" w:rsidRDefault="002D0634" w:rsidP="00933A4B">
      <w:pPr>
        <w:pStyle w:val="NoSpacing"/>
        <w:tabs>
          <w:tab w:val="left" w:pos="720"/>
        </w:tabs>
        <w:jc w:val="center"/>
        <w:rPr>
          <w:rFonts w:ascii="Georgia" w:hAnsi="Georgia" w:cstheme="minorBidi"/>
          <w:b/>
          <w:lang w:val="sq-AL"/>
        </w:rPr>
      </w:pPr>
    </w:p>
    <w:p w:rsidR="00810287" w:rsidRPr="006871FF" w:rsidRDefault="00810287" w:rsidP="00933A4B">
      <w:pPr>
        <w:pStyle w:val="NoSpacing"/>
        <w:tabs>
          <w:tab w:val="left" w:pos="720"/>
        </w:tabs>
        <w:jc w:val="center"/>
        <w:rPr>
          <w:rFonts w:ascii="Georgia" w:hAnsi="Georgia" w:cstheme="minorBidi"/>
          <w:lang w:val="sq-AL"/>
        </w:rPr>
      </w:pPr>
      <w:r w:rsidRPr="006871FF">
        <w:rPr>
          <w:rFonts w:ascii="Georgia" w:hAnsi="Georgia" w:cstheme="minorBidi"/>
          <w:b/>
          <w:lang w:val="sq-AL"/>
        </w:rPr>
        <w:t>Haptazi</w:t>
      </w:r>
      <w:r w:rsidRPr="006871FF">
        <w:rPr>
          <w:rFonts w:ascii="Georgia" w:hAnsi="Georgia" w:cstheme="minorBidi"/>
          <w:b/>
          <w:i/>
          <w:lang w:val="sq-AL"/>
        </w:rPr>
        <w:t>/ictu oculi</w:t>
      </w:r>
      <w:r w:rsidRPr="006871FF">
        <w:rPr>
          <w:rFonts w:ascii="Georgia" w:hAnsi="Georgia" w:cstheme="minorBidi"/>
          <w:b/>
          <w:lang w:val="sq-AL"/>
        </w:rPr>
        <w:t xml:space="preserve">  të  panevojshme</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Drejtimi i dytë i verifikimit të gjykatës, atëherë kur ajo duhet të disponojë mbi lejimin e ‘provave të treguara’ nga prokurori apo të ‘marrjes së provave’ nga i pandehuri, ka të bëjë drejtpërdrejtë me rëndësinë për qëllime të njohjes së faktit apo rrethanës së pretenduar, pra me nevojat e parashtruara në proces.  Mbi këtë, Kodi që më parë, në përcaktimin apo përkufizimin e objektit të provës, sugjeron apo thënë më mirë ndihmon, se të nevojshme janë ato prova që kanë për objekt të njohjes, njoftimit apo dijes së tyre, faktin e pretenduar nga palët.  Jashtë kësaj lidhje prova e propozuar për t’u marrë apo e treguar për t’u verifikuar në shqyrtimin gjyqësor, do të thotë se është e panevojshme.  Madje kjo kërkesë është aq e qartë sa që bën të duket haptazi e panevojshme ajo provë të cilës i mungon lidhja me faktin apo rrethanën e pretenduar dhe të nxjerrë nga pala në proces.</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Ndërkohë, në përcaktimin e lidhjes së mjaftueshme që kërkohet ndërmjet provës dhe objektit të të provuarit, në shërbim të verifikimit, është e nevojshme që të kihet parasysh që provat indicje, jo më pak me vlerë për njoftimin e një fakti apo rrethane, sepse kanë për objekt të të provuarit apo të njoftimit, jo vetë faktin e pretenduar, janë mjaftueshëm të ‘lidhura’ me faktin në përbërje të akuzës, fajësinë e të pandehurit, dënimit, përgjegjësisë civile apo atij të zbatimit të normave procedural.  Nuk mund të konsiderohet mungesë e lidhjes ajo e tërthorta, ajo nga e cila karakterizohet indicja dhe për këtë nuk ka se si të konsiderohet ajo në verifikimin e gjykatës si ‘haptazi e panevojshme’.  Sigurisht përkundrejt një prove që jep njohje të drejtpërdrejtë mbi faktin e pretenduar të fajësisë, verifikimi i lidhjes së faktit me indicjen kërkon më tepër vëmendje.  Është më e thjeshtë për të dalluar provën që ka për objekt njohjen e faktit të goditjes me armë zjarri të njoftuar nga dëshmitari që ka dalluar për këtë veprim të pandehurin, nga indicja që ka për objekt njohjen e rrethanës së përfitimit të kësaj arme zjarri nga një i njohur i të pandehurit, të njoftuar nga i bashkëpandehuri.  E gjitha kjo, sepse kërkohet ndjekje e një vijimësie arsyetimi më komplekse, për të dalluar pas vërtetimit të rrethanës, lidhjen e mundshme hipotetike të saj me faktin e pretenduar, kompleksitet të cilin nuk e mbart prova që jep njohje të drejtpërdrejtë mbi faktin e pretenduar.</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Nga ana tjetër, duke qenë të vëmendshëm në atë se ‘prova shërben për njohjen apo njoftimin e ekzistencës së faktit apo rrethanës, marrja apo përfitimi i një njohje të tillë nga një tjetër provë e lejuar, që ka të njëjtin objekt të të provuarit apo të dijes, bën po ashtu të panevojshme provën e mëpasshme.  Për çka konsiderohet haptazi e panevojshme, si prova që ka për objekt të të provuarit një fakt të pa pretenduar apo që objekti i saj i të provuarit apo dijes nuk ka lidhje me faktin e pretenduar, ashtu dhe prova që, ndonëse ka një lidhje të tillë, jep dije, njoftim apo njohje mbi një fakt që – sigurisht në mënyrë hipotetike, sepse akoma nuk është marrë – një apo të tjera prova, të lejuara për t’u marrë, japin.  Për shembull, është provë e panevojshme ajo që ka për objekt njohjen apo dijen mbi një mos përmbushje detyrimi në një marrëdhënie civile të të pandehurit që akuzohet për shpërdorim të detyrës apo thëniet e dëshmitarit të tretë, për të njëjtin fakt që dëshmojnë edhe dy pararendës.</w:t>
      </w:r>
    </w:p>
    <w:p w:rsidR="002D0634" w:rsidRDefault="002D0634" w:rsidP="00933A4B">
      <w:pPr>
        <w:pStyle w:val="NoSpacing"/>
        <w:tabs>
          <w:tab w:val="left" w:pos="0"/>
          <w:tab w:val="left" w:pos="142"/>
        </w:tabs>
        <w:jc w:val="center"/>
        <w:rPr>
          <w:rFonts w:ascii="Georgia" w:hAnsi="Georgia" w:cstheme="minorBidi"/>
          <w:b/>
          <w:lang w:val="sq-AL"/>
        </w:rPr>
      </w:pPr>
    </w:p>
    <w:p w:rsidR="00810287" w:rsidRPr="006871FF" w:rsidRDefault="00810287" w:rsidP="00933A4B">
      <w:pPr>
        <w:pStyle w:val="NoSpacing"/>
        <w:tabs>
          <w:tab w:val="left" w:pos="0"/>
          <w:tab w:val="left" w:pos="142"/>
        </w:tabs>
        <w:jc w:val="center"/>
        <w:rPr>
          <w:rFonts w:ascii="Georgia" w:hAnsi="Georgia" w:cstheme="minorBidi"/>
          <w:b/>
          <w:lang w:val="sq-AL"/>
        </w:rPr>
      </w:pPr>
      <w:r w:rsidRPr="006871FF">
        <w:rPr>
          <w:rFonts w:ascii="Georgia" w:hAnsi="Georgia" w:cstheme="minorBidi"/>
          <w:b/>
          <w:lang w:val="sq-AL"/>
        </w:rPr>
        <w:t>Që nuk rregullohet me ligj</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Paragrafi 2 i nenit 149 të Kpp, parashikon mundësinë, në kushte saktë të përcaktuara, të marrjes së ‘provës që nuk rregullohet me ligj’, çka është shprehja më e qartë e mos aplikimit të parimit të taksativitetit dhe tipizimit të provës në sistemin normativ procedural penal nga ligjvënësi ynë, në kuptimin shterues të tyre, apo që vetëm ato janë të lejuara.  Kjo do të thotë se prova është e pakufizuar në larminë e llojit të saj dhe se ato prova, që në sistem janë rregulluar duke u emëruar, shërbejnë si të tilla, por nuk pengojnë përdorimin e të tjerave që nuk rregullohen me ligj, pra janë të llojit tregues.</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Gjithsesi është për të shënuar veçmas, se ekziston një diferencë e qartë apo hendek mjaft i madh ndërmjet ‘provës që nuk është rregulluar me ligj’ dhe ‘indicjes’, veçanërisht në qartësinë e saj, çka nuk lejon që të ngatërrohet apo të shkohet deri në pohimin e taksativitetit apo tipizimit të provave, duke lejuar që vetëm ato të rregulluarat nga ligji, të mund të provojnë faktet e pretenduara apo të nxjerra nga palët.  Nga ana tjetër, niveli i të provuarit nëpërmjet ‘indicjeve’, të cilat së paku kërkohet të jenë më shumë se një, nuk është i njëjtë me atë të provës, qoftë kjo edhe e parregulluar nga ligji.  Kështu, pasi prova e parregulluar nga ligji përmbush kushtet e përcaktuara në §3 të nenit 149 të Kpp, merr statusin që kanë të gjitha provat e tjera të tipizuara dhe për këtë, të njëjtën epërsi ndaj indicjes.</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Po ashtu, nuk janë të pranueshme prirjet e interpretimit të provës së tipizuar në shmangie apo deformim të parashikimit ligjor si një provë e parregulluar nga ligji dhe për këtë, që mund të klasifikohet në provat e paemërtuara apo jo tipizuara.  Për të tilla prova, sigurisht që vlejnë rregullat e përgjithshme të pavlefshmërisë me pasojë papërdorshmërinë e tyre apo kur janë ‘marra në shkelje të ndalimeve të parashikuara nga ligji’, ato sanksionohen me mospërdorim (§3, neni 151 Kpp).  Është zhvillimi i shpejtë i mjeteve të teknikës dhe informacionit i lidhur ky me mjetet e kërkimit të provës, çka ka bërë të merret në konsideratë nga ligjvënësi, mundësia e përdorimit të mjeteve gjithnjë e më të sofistikuara e të panjohura me pasojë dhe marrjen nëpërmjet tyre të provave të parregulluara ende nga ai.  E përllogaritur për këtë mundësi, marrja e një prove të emërtuar/tipike, jo sipas parashikimit abstrakt ligjor, nuk mund të gjejë pika të përbashkëta me marrjen e një prove të parregulluar nga ligji.</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Pasi ka normuar mundësinë e marrjes së një prove të parregulluar, ligjvënësi ka përcaktuar dhe dy kushtet e pashmangshme të lejimit të kësaj marrje.  E para lidhet me ‘vlerën’ e saj në rrafshin provues, domethënë me aftësinë apo karakterin e saj për të transmetuar dije, njohje apo njoftim mbi rrethanën apo faktin që ajo ka për objekt, përveçse siç më sipër është përmendur, objekti i të provuarit nga ajo, të ketë lidhje të mjaftueshme me faktin e përfshirë në akuzë, fajësinë apo dënimin e të pandehurit, pavarësisht në ngarkim apo në shkarkimi të tij apo provë e kundërt, për të mos e transformuar atë në një provë haptazi të panevojshme.  Për këtë është e kuptueshme se kërkesa mund të lidhet, si për marrjen e një prove ashtu dhe të një indicje, nga ku lejimi i kësaj të fundit paraqitet i një shkallë më të lartë vështirësie në përfytyrimin e lidhjes me vetë faktin e përfshirë në akuzën, fajësinë, apo dënimin e të pandehurit, por që nuk përbën shkak të refuzimit për lejimin e marrjes së saj.</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Nga kërkesa për marrjen e një prove të parregulluar nga ligji, të paemërtuar apo jo tipike, buron detyrimi i verifikimit të ‘vlefshmërisë’ së saj për të vërtetuar faktin, i cili, nëse çmohet i kapërcyeshëm, gjykata «dëgjon palët mbi mënyrën e marrjes së saj » (§2, neni 149 Kpp), njësoj si me thënë dëgjon palët për të përcaktuar mënyrën apo modalitetet e të vepruarit</w:t>
      </w:r>
      <w:r w:rsidRPr="006871FF">
        <w:rPr>
          <w:rFonts w:ascii="Georgia" w:hAnsi="Georgia" w:cstheme="minorBidi"/>
          <w:i/>
          <w:lang w:val="sq-AL"/>
        </w:rPr>
        <w:t>/modus operandi</w:t>
      </w:r>
      <w:r w:rsidRPr="006871FF">
        <w:rPr>
          <w:rFonts w:ascii="Georgia" w:hAnsi="Georgia" w:cstheme="minorBidi"/>
          <w:lang w:val="sq-AL"/>
        </w:rPr>
        <w:t xml:space="preserve"> në marrjen e provës së paemërtuar/parregulluar nga ligji, që ka kërkuar njëra nga ato.  E gjitha kjo, duke pasur parasysh se të dyja palët në konflikt janë të interesuara, sepse ajo që e ka kërkuar provën e parregulluar nga ligji, mbart interesin për të realizuar marrjen e provës në rrugën e paraqitjes së njoftimit për ekzistencën e faktit, ndërsa pala ndaj apo kundër të cilës ajo drejtohet, ka interesin për t’u mbrojtur paraprakisht nga çdo veprim procedural, i cili mund të rezultojë në shkelje të të drejtave apo interesave të saj procedural penale.</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Kjo i hap rrugë apo detyron gjykatën në një tjetër vlerësim, i cili formohet si kusht i dytë, i vendosur për të lejuar marrjen e një prove dhe që është pamundësia e cenimit të lirisë së vullnetit të personit (§2, 149 Kpp), pra që mjetet e përdorura në marrjen e provës, të mos jenë të tilla, që në kundërshtim me përcaktimin e vullnetshëm të personit, të përfitohet dija apo njohja.  Është ky një kusht i lidhur si me normën e §2 të nenit 38 të Kpp, që parashikon gjithashtu pamundësinë e përdorimit – sepse është një e drejtë e patjetërsueshme/padisponueshme – ‘qoftë me pëlqimin e të pandehurit, të metodave ose teknikave për të ndikuar mbi lirinë e vullnetit ose për të ndryshuar aftësinë e kujtesës e të vlerësimit të fakteve’, ashtu dhe me normën e përgjithshme se «faktet në procesin penal provohen me çdo provë, me kusht që ato të mos cenojnë të drejtat dhe liritë themelore të njeriut» (§1, neni 8/a Kpp), shprehur të gjitha në normat që rregullojnë marrjen e provës në sistemin tonë, pasojë e përshtatjes së normimit kushtetues të nenit 3, nga ku Shteti ynë, pasi ‘njeh në bazën e ekzistencës së tij – ndër të tjera – dinjitetin e njeriut dhe të drejtat e liritë e tij’, merr përsipër detyrimisht ‘t’i respektojë dhe t’i mbrojë’ ato.</w:t>
      </w:r>
    </w:p>
    <w:p w:rsidR="00810287" w:rsidRPr="006871FF" w:rsidRDefault="00810287" w:rsidP="00933A4B">
      <w:pPr>
        <w:pStyle w:val="NoSpacing"/>
        <w:tabs>
          <w:tab w:val="left" w:pos="720"/>
        </w:tabs>
        <w:ind w:firstLine="720"/>
        <w:jc w:val="both"/>
        <w:rPr>
          <w:rFonts w:ascii="Georgia" w:hAnsi="Georgia" w:cstheme="minorBidi"/>
          <w:lang w:val="sq-AL"/>
        </w:rPr>
      </w:pPr>
      <w:r w:rsidRPr="006871FF">
        <w:rPr>
          <w:rFonts w:ascii="Georgia" w:hAnsi="Georgia" w:cstheme="minorBidi"/>
          <w:lang w:val="sq-AL"/>
        </w:rPr>
        <w:t>Kështu nën këndvështrimin e dinjitetit si vetëdije vlerësuese e vlerave morale dhe e të drejtave dhe për këtë, edhe vetëdije vlerësuese e vetvetes, tipare të veçorive psikike e të karakterit që formojnë personalitetin e njeriut, vullneti si aftësi e brendshme psikike e njeriut që vetë përcakton të kryejë, përbërës i natyrshëm i personalitetit të tij, gjen mbrojtje ligjore së pari, duke u konsideruar si një e drejtë e pacenueshme dhe së dyti si një e drejtë e padisponueshme e kështu e patjetërsueshme.  Për këtë, nuk përputhen me shprehjen e lirë të vullnetit ai produkt i dalë nëpërmjet përdorimit të kujtdo lloj forme të dhunës, që shpërfill vlerat njerëzore.  Çdo mjet i përdorur në dobësim, injorim apo asgjësim të vullnetit a vetë përcaktimit përgjatë marrjes së provës, nën justifikimin e arritjeve për qëllime të procesit penal që kërkon të vërtetën, është kategorikisht i ndaluar.  Po ashtu, sepse është një e drejtë që nuk disponohet e kështu e patjetërsueshme ajo që nuk disponon, apo të heqë dorë nga ajo, qoftë dhe subjekti që e gëzon atë, edhe dhënia e pëlqimit nga vetë ai, për përdorimin e metodave apo mjeteve që po ashtu deformojnë, ngurtësojnë apo shtrembërojnë, në fund të fundit që cenojnë aftësinë e vullnetit apo të vetë përcaktimit, është absolutisht e ndaluar.  Për çka të paligjshme janë të gjitha njohjet, dijet apo njoftimet e përfituara nga subjekte që  vihen  nën  dhunë  fizike  apo  psikike,  nën hipnozë,  apo  pakësim  të</w:t>
      </w:r>
      <w:r w:rsidR="00933A4B" w:rsidRPr="006871FF">
        <w:rPr>
          <w:rFonts w:ascii="Georgia" w:hAnsi="Georgia" w:cstheme="minorBidi"/>
          <w:lang w:val="sq-AL"/>
        </w:rPr>
        <w:t xml:space="preserve"> </w:t>
      </w:r>
      <w:r w:rsidRPr="006871FF">
        <w:rPr>
          <w:rFonts w:ascii="Georgia" w:hAnsi="Georgia" w:cstheme="minorBidi"/>
          <w:lang w:val="sq-AL"/>
        </w:rPr>
        <w:t>reflekseve, shkaktuar nga substanca apo serume, siç gjithashtu dhe përdorimi i mjeteve si ‘makina e së vërtetës’ – përdorur në sistemin anglo-sanksion</w:t>
      </w:r>
      <w:r w:rsidRPr="006871FF">
        <w:rPr>
          <w:rStyle w:val="FootnoteReference"/>
          <w:rFonts w:ascii="Georgia" w:hAnsi="Georgia" w:cstheme="minorBidi"/>
          <w:lang w:val="sq-AL"/>
        </w:rPr>
        <w:footnoteReference w:id="48"/>
      </w:r>
      <w:r w:rsidRPr="006871FF">
        <w:rPr>
          <w:rFonts w:ascii="Georgia" w:hAnsi="Georgia" w:cstheme="minorBidi"/>
          <w:vertAlign w:val="superscript"/>
          <w:lang w:val="sq-AL"/>
        </w:rPr>
        <w:t xml:space="preserve"> </w:t>
      </w:r>
      <w:r w:rsidRPr="006871FF">
        <w:rPr>
          <w:rFonts w:ascii="Georgia" w:hAnsi="Georgia" w:cstheme="minorBidi"/>
          <w:lang w:val="sq-AL"/>
        </w:rPr>
        <w:t>– që është në gjendje të regjistrojë ndryshimet e rrahjes së zemrës apo ndryshimet e djersitjes.  Pra, mungesa e parashikimit apo e tipizimit të provës, nuk mund të justifikojë moszbatimin e parimeve themelore, në rastin e marrjes së një prove të parregulluar nga ligji.</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Parashikimi §2 neni 149, shprehimisht parashikon si autoritet që përcakton lejimin e marrjes së provës së parregulluar nga ligji, gjykatën, por dispozita e mësipërme e pikës 1 të të njëjtit nen që lejon gjithashtu ‘organin që procedon gjatë hetimeve paraprake të marrë provat në këtë fazë, e komplikon situatën, e cila për këtë duket e papërputhur.  Është prevalues opinioni, i tillë dhe nga jurisprudenca,</w:t>
      </w:r>
      <w:r w:rsidRPr="006871FF">
        <w:rPr>
          <w:rStyle w:val="FootnoteReference"/>
          <w:rFonts w:ascii="Georgia" w:hAnsi="Georgia" w:cstheme="minorBidi"/>
          <w:lang w:val="sq-AL"/>
        </w:rPr>
        <w:footnoteReference w:id="49"/>
      </w:r>
      <w:r w:rsidRPr="006871FF">
        <w:rPr>
          <w:rFonts w:ascii="Georgia" w:hAnsi="Georgia" w:cstheme="minorBidi"/>
          <w:lang w:val="sq-AL"/>
        </w:rPr>
        <w:t xml:space="preserve"> se provën e parregulluar nga ligji/jo tipike, gjatë fazës së hetimit paraprak, e merr gjithashtu prokurori apo Pol.gjyq. organe që aktivizohen në këtë fazë dhe që ligja u ka dhënë një atribut të tillë.  Mbetet kështu që në kuadrin e disponimin që lidhet me provat (neni 357 Kpp), për t’u ‘verifikuar’ provat e marra nga prokurori që ato i tregon për t’u shqyrtuar së bashku me provat e kërkuara për t’u marrë, nga palët, në kushtet e përjashtimit të provave të ndaluara nga ligji dhe ato që janë haptazi të panevojshme (§2, neni 151 Kpp), gjykata të bëjë një rivlerësim edhe për provën e parregulluar nga ligji/jo tipike, tashmë të marrë nga prokurori, mbi të njëjtat parametra që kërkon marrja e saj sipas §2 të nenit 149 Kpp.  Për këtë është e dukshme, që jo përpara se të merret prova, por pasi ajo është marrë nga prokurori, gjykata gjithsesi ‘dëgjon palët’ mbi mënyrën ‘se si është marrë ajo’ dhe jo për ‘mënyrën sesi do të merret ajo’, që për këtë nuk është më një mjet parandalues i ‘cenimit të vullnetit të lirë’, por i mundësisë së ngritjes së këtij cenimi.</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Tregimi i dëshmitarit, që njeh drejtpërdrejtë të pandehurin apo që njeh të pandehurin në një fotografi/figurë</w:t>
      </w:r>
      <w:r w:rsidRPr="006871FF">
        <w:rPr>
          <w:rStyle w:val="FootnoteReference"/>
          <w:rFonts w:ascii="Georgia" w:hAnsi="Georgia" w:cstheme="minorBidi"/>
          <w:lang w:val="sq-AL"/>
        </w:rPr>
        <w:footnoteReference w:id="50"/>
      </w:r>
      <w:r w:rsidRPr="006871FF">
        <w:rPr>
          <w:rFonts w:ascii="Georgia" w:hAnsi="Georgia" w:cstheme="minorBidi"/>
          <w:lang w:val="sq-AL"/>
        </w:rPr>
        <w:t xml:space="preserve"> apo figurë, njohje apo dijeni të përfituara këto kudo qoftë, përgjatë hetimit paraprak apo përgjatë shqyrtimit gjyqësor, përfshihen në objektin e provës respektivisht të dëshmisë (neni 149 Kpp) dhe të ‘njohjes’ (§2, neni 313 Kpp).  Kështu ato nuk konsiderohen se janë prova të parregulluara nga ligji apo të paemërtuara.  Fakti se përmbushja e tyre nuk i referohet parashikimit ligjor të provës ‘njohje e personit’ (neni 172 Kpp), është treguesi më i qartë se nuk ndodhemi përpara mosrespektimit të dispozitave në marrjen e kësaj prove.</w:t>
      </w:r>
    </w:p>
    <w:p w:rsidR="00810287" w:rsidRPr="006871FF" w:rsidRDefault="00810287" w:rsidP="00933A4B">
      <w:pPr>
        <w:pStyle w:val="NoSpacing"/>
        <w:tabs>
          <w:tab w:val="left" w:pos="0"/>
        </w:tabs>
        <w:jc w:val="center"/>
        <w:rPr>
          <w:rFonts w:ascii="Georgia" w:hAnsi="Georgia" w:cstheme="minorBidi"/>
          <w:b/>
          <w:lang w:val="sq-AL"/>
        </w:rPr>
      </w:pPr>
      <w:r w:rsidRPr="006871FF">
        <w:rPr>
          <w:rFonts w:ascii="Georgia" w:hAnsi="Georgia" w:cstheme="minorBidi"/>
          <w:b/>
          <w:lang w:val="sq-AL"/>
        </w:rPr>
        <w:t>Papërdorshmëria e provave</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Edhe pse lejohet të verifikohet në shqyrtimin gjyqësor, prova e treguar nga prokurori, e para formuar, apo edhe pse lejohet të merret një provë e kërkuar nga palët (i pandehuri &amp; prokurori) si edhe pse ajo merret në shqyrtimin gjyqësor, formuese, është e pamjaftueshme veprimtaria që prova të ‘përdoret në marrjen e vendimit nga gjykata’ (neni 380 Kpp), pasi kurdo që të mund të verifikohet, sipas kërkesës së palëve apo kryesisht nga gjykata, nëse ajo është ‘marrë në shkelje të ndalimeve të parashikuara nga ligji’, nuk mund të përdoret (§3 neni 151 Kpp).  Është ky një sanksion që i vishet provës për shkak të rëndësisë së veçantë që ajo ka përkundrejt veprimeve apo veprimeve të tjera të procedimit penal, siç dhe vetë prova një veprim i procedimit është, i cili përveç ngjashmërisë që ka me pavlefshmërinë absolute, ndryshon nga ajo për shkak se nuk reflekton, tek veprimet apo provat e tjera, të njëjtin ves.  Është formuar kështu nga ligjvënësi instituti i ‘papërdorshmërisë’ përkrah atij tradicionali të ‘pavlefshmërisë’ të cilët i japin shkas dhe formimit, tashmë të figurës së ‘pa dobishmërisë’,</w:t>
      </w:r>
      <w:r w:rsidRPr="006871FF">
        <w:rPr>
          <w:rStyle w:val="FootnoteReference"/>
          <w:rFonts w:ascii="Georgia" w:hAnsi="Georgia" w:cstheme="minorBidi"/>
          <w:lang w:val="sq-AL"/>
        </w:rPr>
        <w:footnoteReference w:id="51"/>
      </w:r>
      <w:r w:rsidRPr="006871FF">
        <w:rPr>
          <w:rFonts w:ascii="Georgia" w:hAnsi="Georgia" w:cstheme="minorBidi"/>
          <w:lang w:val="sq-AL"/>
        </w:rPr>
        <w:t xml:space="preserve"> në përbërje të së cilës përmbledhjen të dy këto institute, nëse ‘të dobishme’ do të quanim ato prova për të cilat normon neni 380 Kpp të cilat ‘mund të përdoren për të marrë vendimin’.</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Fillimisht, zbatimi i një rregulli të tillë merr jetë me vlerësimin paraprak në rastin e kërkimit të provës që nuk është e rregulluar nga ligji (§2, neni 159 Kpp), për formimin e fashikullit të gjykimit në seancën paraprake (§3, neni 332/c Kpp) ose me vlerësimin e kërkesës së prokurorit që tregon provat që kërkon të shqyrtohen (§1, neni 356 Kpp) dhe atë të tij e mbrojtësit të të pandehurit që kërkojnë marrjen e provave (§2, neni 356 Kpp).  Po ashtu ajo vazhdon, përgjatë shqyrtimit gjyqësor, edhe me vlerësimin e kërkesës për marrjen e provave të palëve që nuk janë kërkuar paraprakisht (§3, neni 356 Kpp).  Por edhe pasi prova është lejuar apo dhe është marrë në proces – dhe pikërisht për këtë moment të fundit normon §3 i nenit 151 Kpp – ende, qoftë nga objeksioni i palëve ashtu dhe kryesisht nga gjykata, në çdo shkallë të procedimit, gjykata është e mundur të ngrejë apo nxjerrë papërdorshmërinë, duke deklaruar mos përfshirjen e provës që mbart vesin, në ato prova mbi të cilat gjyqtari do të krijojë bindjen për ekzistencën e faktit, apo që gjykata për qëllime të vendimit, do të përdorë (neni 380 Kpp).</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Papërdorshmëria prek si vetë provën ashtu dhe mjetin e kërkimit të provës, çka do të thotë se vesi i mjetit të kërkimit të provës reflektohet, duke bërë të papërdorshme dhe vetë provën.  Nuk bëhet dallim ndërmjet llojeve të ndalimeve, çka do të thotë, se i kujtdo lloji qoftë ndalimi që konkurron në rastin konkret, prova e marrë i nënshtrohet sanksionit të papërdorshmërisë.  Përkundrejt papërdorshmërisë, pavlefshmëria paraqitet si gjendje që pasohet nga ajo, ndërsa vetë papërdorshmëria është sanksion pasues i shkeljes së ndalimit.  Ajo zë një vend që nuk e mbulon pavlefshmëria dhe për këtë në rastin e konkurrimit të tyre, pra kur pretendohet se papërdorshmëria ka ardhur nga pavlefshmëria e mjetit të kërkimit të provës – siç në paragrafin 5 të nenit 171 Kpp – kjo e fundit ka përparësi dhe e para është sanksion i rrjedhur prej saj.  Çka do të thotë se respektohen parashikimet për pasojat e deklarimit të pavlefshmërisë (neni 131 Kpp).</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Nën dëshirën e zbatimit të parimit të ligjshmërisë së provës, parashikohet papërdorshmëria e çdo prove që ‘merret në shkelje të ndalimeve të parashikuara nga ligji’, nga ku sipas një interpretimi rigoroz, e papërdorshme është vetëm ajo provë që merret në shkelje të një ndalimit të shprehur, pa përfshirë atë ndalim të kuptuar si të kundërtin i një disiplinimi lejues.  Për çka lihen jashtë, ato ndalime që tërthorazi, janë të normuara në kod.  Kështu janë të papërdorshme, sipas paragrafit 3 të nenit 151 Kpp, deklarimet e përfituara nga i pandehuri/hetuari, nëpërmjet metodave dhe teknikave, në shpërfillje të vetë përcaktimit, ndalim i shprehur të paragrafit 2, të nenit 38 Kpp;  apo deklarimet që tregojnë vetë përgjegjësi në ngarkim të personit që ende i pandehur apo i hetuar nuk ka qenë kur ato i ka bërë, ndalim i shprehur në nenin 37 Kpp.  Po ashtu, edhe pse ndalimi ligjor nuk mund të jetë parashikuar shprehimisht në ligjin procedural penal, pra i paparashikuar objektivisht nga ligji si ndalim, siç për shembull, ai i pamundësisë së marrjes së deklarimeve të dëshmitarit apo të atij që është në gjendje të tregojë rrethana të faktit vepër penale, nëpërmjet ‘trajtimit poshtërues’ që kufizon vetë përcaktimin, – siç për të pandehurin është parashikuar (§2, neni 38 Kpp) apo siç për provën e parregulluar është normuar (§2, neni 149 Kpp), – për shkak se formohet si një e drejtë kushtetutshmërish e siguruar përkundrejt çdo qenie njerëzore (neni 25 Kusht.), edhe dëshmia e përfituar në kushte të një trajtimi çnjerëzor apo poshtërues, lënduese e dinjitetit dhe cenuese e personalitetit të njeriut, është e papërdorshme në kuptim të paragrafit 3 të nenit 151 Kpp.</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Ndërsa lihen jashtë ato që tërthorazi apo në mënyrë indirekte parashikohen si ndalime, siç mund të jetë ‘marrja e një veprimi të një procedimi tjetër’, jashtë rasteve të lejuara në nenin 193 Kpp, ndonëse vetë kjo dispozitë është e karakterit taksativ, që parashikon shprehimisht qartë, rastet kur ‘lejohet marrja e veprimit të procedimit tjetër’, duke u kuptuar se veprimet e tjera të tij, nuk janë të lejuara për t’u marrë.  Po ashtu, mbi bazën e këtij koncepti favorizuar nga ky interpretim rigoroz, duhet të lihet jashtë rasti i provës ‘dëshmi’, ‘pyetje e bashkëpandehurit’, ‘pyetje e ekspertit’ ‘pyetje e të pandehurit’ apo dhe ‘pyetje e palëve’, të marra nga prokurori apo Pol.gjyq. përgjatë hetimit paraprak.  Kjo sepse ato, për shkak të parashikimit normativ të ‘fashikullit të gjykimit’ (§1 dhe §2, neni 332/ë Kpp) dhe ‘fashikullit të prokurorit’ (§3, neni 332/ë Kpp), duke mos u përfshirë në të parin, përfshirje që së bashku me disiplinimin normativ të radhitur në iter/udhën që duhet të ndiqet përgjatë ‘radhës së marrjes së provave’ (neni 359 Kpp) – respektivisht neni 361 Kpp, neni 361/a Kpp, neni 361/b Kpp, neni 363 Kpp, neni 365 Kpp, si dhe për të pandehurin në qoftë se bën kërkesë ose kur i kërkohet dhe ai jep pëlqimin, neni 166 Kpp, – shfaqin vetëm një situatë të qartë taksative, që është ajo se ato duhet të ‘merren në gjykim’, duke mos u formuar nga ligjvënësi si një ndalim i shprehur.</w:t>
      </w:r>
    </w:p>
    <w:p w:rsidR="008445C4" w:rsidRPr="006871FF" w:rsidRDefault="00810287" w:rsidP="008445C4">
      <w:pPr>
        <w:pStyle w:val="NoSpacing"/>
        <w:tabs>
          <w:tab w:val="left" w:pos="720"/>
        </w:tabs>
        <w:ind w:firstLine="720"/>
        <w:jc w:val="both"/>
        <w:rPr>
          <w:rFonts w:ascii="Georgia" w:hAnsi="Georgia" w:cstheme="minorBidi"/>
          <w:lang w:val="sq-AL"/>
        </w:rPr>
      </w:pPr>
      <w:r w:rsidRPr="006871FF">
        <w:rPr>
          <w:rFonts w:ascii="Georgia" w:hAnsi="Georgia" w:cstheme="minorBidi"/>
          <w:lang w:val="sq-AL"/>
        </w:rPr>
        <w:t>Kështu nën parimin se sanksioni, nuk mund të veprojë në mënyrë analoge dhe se ai nuk shtrin efekte përtej kufirit që ligji përcakton, nuk mjafton për të njëjtin interpretim, vetëm shfaqja e qartë e një situate taksative lejuese e marrjes së provës apo e procedimit, për të konsideruar si ‘ndalim të parashikuar nga ligji’ në kuptim të pikës 3 të nenit 151 Kpp, marrjen e provës përtej tij.  Marrja e provës sipas një veprimtarie të ndryshme nga ajo që, qoftë dhe në mënyrë taksative parashikon ligji, përbën në rastin më të lehtë, parregullsi të veprimit apo në rastin më të rëndë pavlefshmëri, sipas kushteve që konkurrojnë.</w:t>
      </w:r>
    </w:p>
    <w:p w:rsidR="002D0634" w:rsidRDefault="002D0634" w:rsidP="008445C4">
      <w:pPr>
        <w:pStyle w:val="NoSpacing"/>
        <w:tabs>
          <w:tab w:val="left" w:pos="0"/>
        </w:tabs>
        <w:jc w:val="center"/>
        <w:rPr>
          <w:rFonts w:ascii="Georgia" w:hAnsi="Georgia" w:cstheme="minorBidi"/>
          <w:b/>
          <w:lang w:val="sq-AL"/>
        </w:rPr>
      </w:pPr>
    </w:p>
    <w:p w:rsidR="00810287" w:rsidRPr="006871FF" w:rsidRDefault="00810287" w:rsidP="008445C4">
      <w:pPr>
        <w:pStyle w:val="NoSpacing"/>
        <w:tabs>
          <w:tab w:val="left" w:pos="0"/>
        </w:tabs>
        <w:jc w:val="center"/>
        <w:rPr>
          <w:rFonts w:ascii="Georgia" w:hAnsi="Georgia" w:cstheme="minorBidi"/>
          <w:b/>
          <w:lang w:val="sq-AL"/>
        </w:rPr>
      </w:pPr>
      <w:r w:rsidRPr="006871FF">
        <w:rPr>
          <w:rFonts w:ascii="Georgia" w:hAnsi="Georgia" w:cstheme="minorBidi"/>
          <w:b/>
          <w:lang w:val="sq-AL"/>
        </w:rPr>
        <w:t>Çmuarja</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Neni 149 Kpp, ka shpjeguar se ‘provë është njoftimi apo dija mbi faktin’, duke përcaktuar se nga pikëpamja thelbësore/substanciale prova, për shkak të njohjes që jep, është e zonja pra posedon aftësi, të krijojë bindjen mbi ekzistencën e faktit.  Neni 380 Kpp kur normon se për të vendosur gjykata duhet të përdorë provat, dukshëm disiplinon për provat nga pikëpamja formale, që janë ato të marra apo të verifikuara në shqyrtimin gjyqësor.  Nga ana tjetër §3, neni 151 Kpp, që përcakton se «provat e marra në shkelje të ndalimeve të parashikuara nga ligji nuk mund të përdoren [...] » (§3, neni 151 Kpp) si dhe se «gjykata, [...] çmon vërtetësinë dhe fuqinë provuese të tyre [...]» (§1, neni 152 Kpp) do të thotë se jo thjeshtë ekzistenca formale, por verifikimi i qenësisë substanciale të provës, është ajo situatë që krijon besimin dhe për këtë detyrimisht bindjen në ekzistencën e faktit.  Ndërkohë që po ashtu §1 e nenit 152 Kpp e kushtëzon verifikimin e qenësisë substanciale të provës, pra të vërtetësisë dhe të fuqisë së saj bindëse, nëpërmjet shfrytëzimit të metodës së ‘shqyrtimit të të gjitha provave në tërësi dhe pa përfillur hierarki artificiale para vlerësimi ndërmjet tyre, sepse «asnjë provë nuk ka vlerë të paracaktuar nga ligji [...]» (§1 e nenit 152 Kpp).  Kjo do të thotë se ‘prova’ si veprim apo akt formal mbart mundësinë dhe jo sigurinë e vërtetësisë dhe fuqisë substanciale të njohjes mbi faktin.</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Normimi se «gjykata, [...] çmon vërtetësinë dhe fuqinë provuese të tyre, duke argumentuar arsyet ku është mbështetur për të krijuar bindjen e saj» (§1, neni 152 Kpp), përveçse normon rolin qendror të gjykatës si i vetmi organ që vlerëson, po ashtu normon edhe se përcaktimi i vërtetësisë dhe i fuqisë së provës arrihet sipas bindjes së gjykatës apo secilit gjyqtar që formon atë, i cili duhet të argumentohet.  Njëkohësisht pa harruar dhe vetë kuptimin e provës që është njoftimi mbi faktin si dhe se bindja formohet pas shqyrtimit të provave në tërësi, mund të deduktohet se procesi i çmuarjes së provës, konsiston në ‘marrjen e dijes, ballafaqimin dhe krahasimin e tyre, nga i cili përthithet vetëm rezultati</w:t>
      </w:r>
      <w:r w:rsidRPr="006871FF">
        <w:rPr>
          <w:rStyle w:val="FootnoteReference"/>
          <w:rFonts w:ascii="Georgia" w:hAnsi="Georgia" w:cstheme="minorBidi"/>
          <w:lang w:val="sq-AL"/>
        </w:rPr>
        <w:footnoteReference w:id="52"/>
      </w:r>
      <w:r w:rsidRPr="006871FF">
        <w:rPr>
          <w:rFonts w:ascii="Georgia" w:hAnsi="Georgia" w:cstheme="minorBidi"/>
          <w:lang w:val="sq-AL"/>
        </w:rPr>
        <w:t xml:space="preserve"> i besueshëm që formon bindje të gjyqtarit.</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Për krijimin e bindjes mbi ekzistencën apo jo të faktit objekt i të provuarit, §1 e nenit 152 Kpp, duke përcaktuar kuptimin e “çmuarjes”, disiplinon edhe se, hap i parë apo fillimisht, realizohet “çmuarja” e provave.  Normimi se «[...] Gjykata, pas shqyrtimit të provave në tërësi, çmon vërtetësinë dhe fuqinë provuese të tyre [...]». qartë tregon se më parë realizohet çmuarja e vërtetësisë dhe fuqisë provuese të secilës prej tyre.  Ndërsa ‘vërtetësia’ i referohet besueshmërisë së brendshme dhe asaj të jashtme, ‘fuqia’ i referohet qartësisë së saj.  Për të bërë një shembull, ndërsa dëshmia e dëshmitarit gëzon apriori, si perceptues i drejtpërdrejtë i faktit, “besueshmëri të brendshme” dhe për shkak se ai është i tretë i paanshëm, ajo posedon ‘besueshmëri të jashtme’, qartësia apo zbehtësia e dijeve/njohjeve që jep ajo, të transmetuara me siguri, mundësi apo dyshim, përcakton ‘fuqinë’ e saj.  Për shembull, metoda e pyetjeve ndaj burimit personal të provës «[...] mbi rrethanat, [...]» (§2, neni 153 Kpp), lejon të konfirmohet apo jo cilësia e dëshmitarit si perceptues apo jo i drejtpërdrejtë i faktit, ndërsa pyetjet [...] në marrëdhëniet e farefisnisë dhe të interesave që ekzistojnë ndërmjet dëshmitarit dhe palëve apo dëshmitarëve të tjerë [...]» (§2, neni 153 Kpp), japin mundësinë e verifikimit të cilësisë apo jo të të tretit, respektivisht të besueshmërisë së brendshme dhe të jashtme dhe kështu të dyja bashkë të «[...] besueshmërisë së tij [...]» (§2, neni 153 Kpp).  Pastaj sipas asaj se dijet/njohjet e dhëna nga dëshmitari me siguri e vendosmëri janë të qarta dhe ato të dhëna me mundësi apo dyshim janë të zbehta, arrihet detyrimisht në përcaktimin e ‘fuqisë provuese’.</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Kështu, është shqyrtimi i këtyre elementëve, për secilën provë, i cili lejon më tej, si hap të dytë, që të çmohen provat, të cilat formojnë bindjen, pas shqyrtimit të tyre në tërësi.  Dhe në këtë shqyrtim, që lejon formimin apo jo të bindjes mbi ekzistencën apo jo të faktit, i njëjti proces zhvillohet në një rang më të lartë – ndërmjet provave – dhe më të gjerë – ndërmjet të gjitha provave.  Kështu ballafaqimi i provave me njëra tjetrën, ku më parë është përcaktuar si vërtetësia ashtu dhe fuqia provuese e secilës prej tyre, bën krejt të lehtë dhe mjaft të saktë përcaktimin në tërësi, si të vërtetësisë ashtu dhe fuqisë së tyre, rrjedhimisht dhe verifikimin apo jo të faktit objekt i të provuarit.</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Për këtë, në ligjin tonë procedural penal vërehet se normohet parimi i ‘</w:t>
      </w:r>
      <w:r w:rsidRPr="006871FF">
        <w:rPr>
          <w:rFonts w:ascii="Georgia" w:hAnsi="Georgia" w:cstheme="minorBidi"/>
          <w:i/>
          <w:lang w:val="sq-AL"/>
        </w:rPr>
        <w:t>bindjes së gjyqtarit’</w:t>
      </w:r>
      <w:r w:rsidRPr="006871FF">
        <w:rPr>
          <w:rFonts w:ascii="Georgia" w:hAnsi="Georgia" w:cstheme="minorBidi"/>
          <w:lang w:val="sq-AL"/>
        </w:rPr>
        <w:t>, që është i detyruar të vlerësojë provat – vërtetësinë dhe fuqinë e tyre – brenda kufijve dhe brenda lirisë së veprimit/maturisë që legjislatori atij i ka njohur/atribuuar.  Krahasuar me sistemin e ‘bindjes së lirë’</w:t>
      </w:r>
      <w:r w:rsidRPr="006871FF">
        <w:rPr>
          <w:rStyle w:val="FootnoteReference"/>
          <w:rFonts w:ascii="Georgia" w:hAnsi="Georgia" w:cstheme="minorBidi"/>
          <w:lang w:val="sq-AL"/>
        </w:rPr>
        <w:footnoteReference w:id="53"/>
      </w:r>
      <w:r w:rsidRPr="006871FF">
        <w:rPr>
          <w:rFonts w:ascii="Georgia" w:hAnsi="Georgia" w:cstheme="minorBidi"/>
          <w:lang w:val="sq-AL"/>
        </w:rPr>
        <w:t xml:space="preserve"> të gjyqtarit dhe me sistemin e ‘provave ligjore’,</w:t>
      </w:r>
      <w:r w:rsidRPr="006871FF">
        <w:rPr>
          <w:rStyle w:val="FootnoteReference"/>
          <w:rFonts w:ascii="Georgia" w:hAnsi="Georgia" w:cstheme="minorBidi"/>
          <w:lang w:val="sq-AL"/>
        </w:rPr>
        <w:footnoteReference w:id="54"/>
      </w:r>
      <w:r w:rsidRPr="006871FF">
        <w:rPr>
          <w:rFonts w:ascii="Georgia" w:hAnsi="Georgia" w:cstheme="minorBidi"/>
          <w:lang w:val="sq-AL"/>
        </w:rPr>
        <w:t xml:space="preserve"> ky parim është i ndërmjetëm dhe i përzierë, me pakësim dhe shtim nga secili prej tyre, mbi bazën detyruese që në çmuarjen e provave gjyqtari duhet të llogarisë vetëm provat e ‘marra dhe të verifikuara në shqyrtimin gjyqësor’.  Kështu duke lejuar të merren apo të verifikohen në shqyrtimin gjyqësor edhe prova të parregulluara nga ligji (§2 neni 149 Kpp), rrjedhimisht lejohet të çmohen jo vetëm provat tipike por edhe të tjera, pra në ndryshim nga ‘sistemi i provave ligjore’, i cili lejon formimin e bindjes vetëm mbi prova të rregulluara nga ligji apo tipike.  Ndërsa duke përcaktuar se bindja mund të krijohet vetëm mbi provat e ‘marra dhe të verifikuara në shqyrtimin gjyqësor’, pengohet të çmohet kushdo provë e pa shqyrtuar, pra në ndryshim nga sistemi i ‘bindjes së lirë’ ku vërehet liri veprimi e pakufishme, fillimisht në marrjen e çfarëdolloj prove dhe rrjedhimisht në vlerësimin, qoftë edhe të pashqyrtuar në proces siç maksimat e eksperiencës</w:t>
      </w:r>
      <w:r w:rsidRPr="006871FF">
        <w:rPr>
          <w:rStyle w:val="FootnoteReference"/>
          <w:rFonts w:ascii="Georgia" w:hAnsi="Georgia" w:cstheme="minorBidi"/>
          <w:lang w:val="sq-AL"/>
        </w:rPr>
        <w:footnoteReference w:id="55"/>
      </w:r>
      <w:r w:rsidRPr="006871FF">
        <w:rPr>
          <w:rFonts w:ascii="Georgia" w:hAnsi="Georgia" w:cstheme="minorBidi"/>
          <w:lang w:val="sq-AL"/>
        </w:rPr>
        <w:t>.  Mbi bazën e këtij kombinimi, ligjvënësi ka arritur të përshtatë në ekuilibër parimin e lehtësimit të të fajshmit/</w:t>
      </w:r>
      <w:r w:rsidRPr="006871FF">
        <w:rPr>
          <w:rFonts w:ascii="Georgia" w:hAnsi="Georgia" w:cstheme="minorBidi"/>
          <w:i/>
          <w:lang w:val="sq-AL"/>
        </w:rPr>
        <w:t>favor rei</w:t>
      </w:r>
      <w:r w:rsidRPr="006871FF">
        <w:rPr>
          <w:rFonts w:ascii="Georgia" w:hAnsi="Georgia" w:cstheme="minorBidi"/>
          <w:lang w:val="sq-AL"/>
        </w:rPr>
        <w:t xml:space="preserve"> – nëpërmjet marrjes edhe të provave të parregulluara nga ligji, i cili lejon të vlerësohen drejt situatat konkrete – me pamundësinë e shkarjes në autoritarizëm – nëpërmjet pamundësisë së përdorimit të provave të tjera, përveç atyre të marra dhe verifikuara në proces.</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Çmuarja e provave e normuar kështu, së bashku me përcaktimet mbi forcën dhe fuqinë e indiceve (§2 neni 152 Kpp) si dhe të deklarimeve të të bashkëpandehurit (§3, neni 152 Kpp), pa neglizhuar detyrimin për arsyetimin e vendimit (§3, neni 112 Kpp), duke argumentuar arsyet ku është mbështetur për të krijuar bindjen (§1, neni 152 Kpp) si pasqyrim i metodave dhe rrugës së ndjekur në konsistencë logjike, bën që bindja e gjyqtarit mbi ekzistencën e faktit të vendoset në kufij të përcaktuar ligjërisht, jashtë çdo lloj ndikimi subjektiv dhe për këtë, të shmanget si transformimi i saj në arbitraritet, apo transformimi i bindjes në vetë provën.  Përmbushja dhe zbatimi i normimit të çmuarjes së provës dhe në tërësi i nenit 152 Kpp, i formuar në dinamikën e përpunimit të rezultateve të dala nga secila provë apo indicje, ballafaquar e krahasuar ndërmjet tyre, në një shqyrtim tërësor, nën dritën e përfitimit të të dhënave nëpërmjet kontradiktoritetit – të kufizuar, – shpaloset në argumentimin e arsyeve ku është mbështetur për tu krijuar bindja (§1, neni 152 Kpp) në arsyetimin e detyrueshëm të vendimit (§3 neni 112 Kpp) dhe për këtë lehtësisht i kontrollueshëm.  Kështu, detyrimi për të treguar e shpjeguar kriteret e zbatuara, në arritjen e përcaktimit të vërtetësisë e fuqisë së provave në kompleksitetin e tyre gjatë procesit shqyrtues e, pa i dhënë paraprakisht forcë dominuese, me kërkesa që arsyetimi të mos jetë i sipërfaqshëm, por të jetë i plotë dhe që përmbush, të mos jetë relatim</w:t>
      </w:r>
      <w:r w:rsidRPr="006871FF">
        <w:rPr>
          <w:rFonts w:ascii="Georgia" w:hAnsi="Georgia" w:cstheme="minorBidi"/>
          <w:i/>
          <w:lang w:val="sq-AL"/>
        </w:rPr>
        <w:t>/de relato</w:t>
      </w:r>
      <w:r w:rsidRPr="006871FF">
        <w:rPr>
          <w:rFonts w:ascii="Georgia" w:hAnsi="Georgia" w:cstheme="minorBidi"/>
          <w:lang w:val="sq-AL"/>
        </w:rPr>
        <w:t xml:space="preserve"> i veprimeve që ndodhen në fashikull, të mos jetë kontradiktor, por të ketë konsekuencë logjike, bëjnë që gjyqtari paraprakisht të reflektojë mbi të gjithë procesin në kërkim të lidhjeve dhe raporteve të drejta, justifikuese të rezultatit që formon bindjen e tij.</w:t>
      </w:r>
    </w:p>
    <w:p w:rsidR="00810287" w:rsidRPr="006871FF" w:rsidRDefault="00810287" w:rsidP="00810287">
      <w:pPr>
        <w:pStyle w:val="NoSpacing"/>
        <w:numPr>
          <w:ilvl w:val="0"/>
          <w:numId w:val="39"/>
        </w:numPr>
        <w:tabs>
          <w:tab w:val="left" w:pos="1134"/>
        </w:tabs>
        <w:ind w:left="0" w:firstLine="567"/>
        <w:rPr>
          <w:rFonts w:ascii="Georgia" w:hAnsi="Georgia" w:cstheme="minorBidi"/>
          <w:i/>
          <w:lang w:val="sq-AL"/>
        </w:rPr>
      </w:pPr>
      <w:r w:rsidRPr="006871FF">
        <w:rPr>
          <w:rFonts w:ascii="Georgia" w:hAnsi="Georgia" w:cstheme="minorBidi"/>
          <w:b/>
          <w:i/>
          <w:lang w:val="sq-AL"/>
        </w:rPr>
        <w:t>indicjet e rëndësishme, të sakta dhe të përputhura</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Kriter apo metodë në sens pengues, në operacionin e çmuarjes së provave është ‘pamundësia e përfitimit të njoftimit’ e kështu bindje për ekzistencën e faktit, nga një e vetme provë e llojit indicje (§2 neni 152 Kpp), nga ku në të kundërt, nëse prova-indicje përbëhet në shumës, pra është jo e vetme si dhe kur, jo më pak se dy prej tyre, janë të ‘rëndësishme, të sakta dhe të përputhura’, ligjvënësi i kategorizon ato si ‘të mundshme që të japin njoftim mbi faktin objekt i të provuarit’ dhe për këtë, të afta të formojnë bindjen tek gjyqtari për ekzistencën e tij.  Është ky një normim së bashku me atë të përcaktimit të objektit të provës, që përfundimisht shmang interpretimin ‘abuziv’ të krijimit të bindjes mbi ekzistencën e faktit, vetëm mbi bazën e njoftimit që transmeton vetëm një provë-indicje.  Duke rikujtuar edhe një herë se nga pikëpamja thelbësore/substanciale ‘prova’ nga ‘prova-indicje’ ndryshon tërësisht për sa i përket ‘objektit’ të ndryshëm të të provuarit që ka secila prej tyre, nga ku ‘objekt i provës-indicje’ nuk është fakti që kërkohet të provohet në procesin penal, por një fakt tjetër që ka lidhje domosdoshmërish me të, ligji na pengon kategorikisht, që në mbështetje të njoftimit të dhënë nga prova-indicje, të pretendohet se formohet bindja mbi ekzistencën e faktit objekt në procesin penal.  Për këtë mund të jepet shembulli, se gjurma papilare e përfituar, që njofton mbi ekzistencën e të pandehurit në vendin e ngjarjes, është një provë-indicje, pavarësisht mbi qartësinë e madhe të kësaj njohje.  Ajo gjithsesi e vetme nuk mund të provojë faktin se i pandehuri me armë zjarri ka qëlluar mbi viktimën.  Në procesin penal, për të pandehurin që akuzohet për vrasje, fakti objekt i provës është të qëlluarit me armë zjarri.  Ndërsa fakti i ekzistencës së të pandehurit në vendin e ngjarjes nuk është objekt i këtij fakti, ai është objekt i ndryshëm, por që domosdoshmërish lidhet me të.  Ky i fundit vetëm nëse minimalisht edhe me një provë-indicje tjetër, edhe ajo e rëndësishme dhe e saktë, krijojnë lidhje ndërmjet tyre të përputhura, siç mund të jetë – në shembullin e dhënë – njoftimi nga një dëshmitar i ‘duarve me gjak’ të të pandehurit, është i aftë të krijojë njohje dhe më pas besim në ekzistencën e faktit të ‘qëlluarit me armë zjarri’ nga i pandehuri, si bindje e gjyqtarit.</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Përveç pamundësisë së të provuarit e vetme të faktit objekt i procesit penal, që janë, duke përsëritur, ‘faktet që kanë lidhje me akuzën, fajësinë e të pandehurit, caktimin e masave të sigurimit, dënimin dhe përgjegjësinë civile, si dhe faktet nga të cilat varet zbatimi normave procedurale’ (neni 150 Kpp), nga ku – në shembullin e mësipërm është i tillë, që ka lidhje me akuzën, fakti i ‘të ‘qëlluarit me armë zjarri’ dhe jo fakti i ‘ekzistencës së të pandehurit në vendin e ngjarjes’, sepse kjo e fundit ka lidhje me faktin e të qëlluarit me armë zjarri, dhe me akuzën e krijon lidhjen nëpërmjet tij – provat-indicje duhet të jenë ‘të rëndësishme’, ‘të sakta’ dhe ‘të përputhura’ ndërmjet tyre.  Në atë që kuptohet të rëndësishme përfshihet serioziteti i lartë i demonstrimit apo i dallueshmërisë, ku çdo njëra prej tyre përmban aftësi të mëdha treguese si dhe veçanërisht të dukshme.  Në të sakta, kuptohen provat-indicje që veçanërisht dhe qartë japin dije të caktuara jo të mjegullta dhe me të përputhura, ato prova-indicje që jo vetëm nuk përjashtojnë por edhe që e mbështesin njëra tjetrën.  Për të vazhduar në shembullin e mësipërm, provat-indicje gjurmë papilare të gjetura në vendin e ngjarjes, me atë të njoftimit nga dëshmitari, i duarve me gjak të të pandehurit, nëse koha e këtij njoftimi është për disa orë më parë se ajo e kryerjes së krimit, nuk janë të përputhura, ndërkohë që do të ishin të përputhura, nëse njoftimi për njollat në duart e të pandehurit do të ishte për kohën pas kryerjes së krimit.  Po ashtu do të ishte edhe nëse koha e lënies së gjurmëve papilare në vendin e ngjarjes do të rezultonte më e vonë se vetë koha e kryerjes së krimit, për çka nuk gjen përputhje as me provën-indicje të njollave në duart e të pandehurit.</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Është rasti të përmendet dhe koncepti i ‘dyshimit’ që mbështetet në maksima të eksperiencës i cili nuk duhet të ngatërrohet me atë të provës-indicje, sepse ai lind nga njohja e rrethanave apo fakte që ndodhin në më të shumtën e rasteve/</w:t>
      </w:r>
      <w:r w:rsidRPr="006871FF">
        <w:rPr>
          <w:rFonts w:ascii="Georgia" w:hAnsi="Georgia" w:cstheme="minorBidi"/>
          <w:i/>
          <w:lang w:val="sq-AL"/>
        </w:rPr>
        <w:t>id quod plerumque accidit</w:t>
      </w:r>
      <w:r w:rsidRPr="006871FF">
        <w:rPr>
          <w:rFonts w:ascii="Georgia" w:hAnsi="Georgia" w:cstheme="minorBidi"/>
          <w:lang w:val="sq-AL"/>
        </w:rPr>
        <w:t>, pra të mundshme dhe jo të sigurta.  Në të kundërt prova-indicje është njoftim mbi rrethanën apo faktin e sigurt, ndonëse jo me objekt të drejtpërdrejtë të faktit që ka lidhje me akuzën apo fajësinë e të pandehurit.  Ndërsa është i përdorshëm për fazën e hetimeve paraprake e për këtë në ndihmë të prokurorit apo Pol.gjyq., të cilët – në mungesë të provave (të drejtpërdrejta) a indicjeve (të tërthorta) e për të gjetur ato – nëpërmjet maksima të eksperiencës krijojnë dyshimin duke krijuar kështu dhe pistat a drejtimet e hetimit.</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Po ashtu, është për të evidentuar se nuk duhet të ngatërrohet prova-indicje apo siç shpesh përmendet prova indirekte me ‘dëshminë indirekte’</w:t>
      </w:r>
      <w:r w:rsidRPr="006871FF">
        <w:rPr>
          <w:rFonts w:ascii="Georgia" w:hAnsi="Georgia" w:cstheme="minorBidi"/>
          <w:i/>
          <w:lang w:val="sq-AL"/>
        </w:rPr>
        <w:t>/de auditu</w:t>
      </w:r>
      <w:r w:rsidRPr="006871FF">
        <w:rPr>
          <w:rFonts w:ascii="Georgia" w:hAnsi="Georgia" w:cstheme="minorBidi"/>
          <w:lang w:val="sq-AL"/>
        </w:rPr>
        <w:t>, që është ajo «kur dëshmitari, për njohjen e fakteve, u referohet personave të tjerë [...]» (§1, neni 154 Kpp), në formën ‘</w:t>
      </w:r>
      <w:r w:rsidRPr="006871FF">
        <w:rPr>
          <w:rFonts w:ascii="Georgia" w:hAnsi="Georgia" w:cstheme="minorBidi"/>
          <w:i/>
          <w:lang w:val="sq-AL"/>
        </w:rPr>
        <w:t>kam ardhur në dijeni se flitet që</w:t>
      </w:r>
      <w:r w:rsidRPr="006871FF">
        <w:rPr>
          <w:rFonts w:ascii="Georgia" w:hAnsi="Georgia" w:cstheme="minorBidi"/>
          <w:lang w:val="sq-AL"/>
        </w:rPr>
        <w:t>...’, e cila formohet mbi bazën e ndryshimit të burimit të provës personale.</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Mbi bazën e normës ligjore se mbi një indicje nuk mund të nxirret ekzistenca e faktit, rrjedh një pasojë po ashtu ligjore se ‘prova – dhe asnjëherë indicja, – qoftë dhe e vetme, është në gjendje apo mbart potencialin të japë dijeni, pra të krijojë përfaqësimin a përfytyrimin dhe kështu të krijojë bindje mbi ekzistencën e sigurt të faktit.  Pastaj, përderisa provat nuk kanë vlerë të paracaktuar, nga secila prej tyre mund të thithet një konkluzion i tillë bindës.</w:t>
      </w:r>
    </w:p>
    <w:p w:rsidR="00810287" w:rsidRPr="006871FF" w:rsidRDefault="00810287" w:rsidP="00810287">
      <w:pPr>
        <w:pStyle w:val="NoSpacing"/>
        <w:numPr>
          <w:ilvl w:val="0"/>
          <w:numId w:val="39"/>
        </w:numPr>
        <w:tabs>
          <w:tab w:val="left" w:pos="1134"/>
        </w:tabs>
        <w:ind w:left="0" w:firstLine="567"/>
        <w:rPr>
          <w:rFonts w:ascii="Georgia" w:hAnsi="Georgia" w:cstheme="minorBidi"/>
          <w:b/>
          <w:i/>
          <w:lang w:val="sq-AL"/>
        </w:rPr>
      </w:pPr>
      <w:r w:rsidRPr="006871FF">
        <w:rPr>
          <w:rFonts w:ascii="Georgia" w:hAnsi="Georgia" w:cstheme="minorBidi"/>
          <w:b/>
          <w:i/>
          <w:lang w:val="sq-AL"/>
        </w:rPr>
        <w:t>deklarimet e bashkëpandehurit</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Është përmendur se procedimet për shkaqe të përputhjes së pjesshme të objektit apo subjektit, konsiderohen të lidhura dhe për këtë, sipas oportunitetit të organit që procedon mund të bashkohen.  Si raste organikisht të lidhura me mundësi bashkimi janë përmendur nga neni 79 Kpp, dhe veçanërisht për shkaqe të përputhjes së objektit, që do të thotë me subjekte të veçuar, janë ato vepra penale të kryera nga disa persona në bashkëpunim ndërmjet tyre ose në mënyrë të pavarur si dhe ato që kryhen për t'i siguruar fajtorit apo të tjerëve përfitime të paligjshme ose mos dënimin.  Duke qenë gjithnjë në oportunitetin e organit që procedon, pra jo se bashkohen detyrimisht, procedimet që ndërmjet tyre organikisht janë të lidhur, mund të rezultojnë praktikisht si të bashkuar ashtu dhe të veçuar.  Në këtë kuptim, për ato raste kur qëndron lidhja në përputhjen, qoftë dhe të pjesshme të objektit, vërehet minimalisht ekzistenca e së paku dy subjekteve që akuzohen për kryerje të veprës apo veprave penale.  Pastaj për shkaqe të vlerësimit personal të secilit të pandehur, nxitur edhe nga parashikimi i pikës 7 të nenit 28 të kPenal, që ka krijuar figurën e ‘bashkëpunëtorit me drejtësinë’, i quajtur shpesh ‘i penduari’, secili nga subjektet, pavarësisht në të njëjtin procedim tashmë të bashkuar apo në procedime të veçanta, por që gjithsesi organikisht janë të lidhur, formojnë përkundrejt vetvetes figurën e të pandehurit dhe ndaj subjektit tjetër figurën e dëshmitarit.</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Ky pozicion i dyfishtë i ‘bashkëpandehurit’, ka detyruar ligjvënësin të konsiderojë veçmas ‘deklarimet’ e mbajtura nga ai, duke përcaktuar për gjykatën detyrimin që ato të «[...] vlerësohen në unitet me provat e tjera që konfirmojnë vërtetësinë e tyre» (§3 neni 152 Kpp), i quajtur zakonisht dhe verifikimi i besueshmërisë së jashtme,</w:t>
      </w:r>
      <w:r w:rsidRPr="006871FF">
        <w:rPr>
          <w:rStyle w:val="FootnoteReference"/>
          <w:rFonts w:ascii="Georgia" w:hAnsi="Georgia" w:cstheme="minorBidi"/>
          <w:lang w:val="sq-AL"/>
        </w:rPr>
        <w:footnoteReference w:id="56"/>
      </w:r>
      <w:r w:rsidRPr="006871FF">
        <w:rPr>
          <w:rFonts w:ascii="Georgia" w:hAnsi="Georgia" w:cstheme="minorBidi"/>
          <w:lang w:val="sq-AL"/>
        </w:rPr>
        <w:t xml:space="preserve"> për çka me një nivel të njohjes së ‘gjysmë provë’</w:t>
      </w:r>
      <w:r w:rsidRPr="006871FF">
        <w:rPr>
          <w:rFonts w:ascii="Georgia" w:hAnsi="Georgia" w:cstheme="minorBidi"/>
          <w:i/>
          <w:lang w:val="sq-AL"/>
        </w:rPr>
        <w:t>/probatio semiplena</w:t>
      </w:r>
      <w:r w:rsidRPr="006871FF">
        <w:rPr>
          <w:rFonts w:ascii="Georgia" w:hAnsi="Georgia" w:cstheme="minorBidi"/>
          <w:lang w:val="sq-AL"/>
        </w:rPr>
        <w:t xml:space="preserve"> apo në vlerat e provës indicje.</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Përveç parashikimit në kreun e II, llojet e provave (neni 167 Kpp), përfshirja e ‘deklarimeve’ të të bashkëpandehurit në ato veprime që kanë nevojë të vlerësohen apo të çmohen, referuar asaj që «për të marrë vendimin gjykata nuk mund të përdorë prova të tjera veç atyre që janë marrë ose janë verifikuar në shqyrtimin gjyqësor» (neni 380 Kpp), nuk ka më dyshim se ‘deklarimet’ e bashkëpandehurit rrjedhur nga ‘pyetja’ e tij, në kuptimin formal janë provë.  Nëse procedimet e të bashkëpandehurve janë të veçuar, është e mundur që njëri apo tjetri procedim të përfundojë më parë se tjetri.  Për këtë i bashkëpandehur konsiderohet edhe ai, procedimi ndaj të cilit ka përfunduar, qoftë me mosfillim të procedimit, me pushim ose me dënim.  Përjashtohet si i tillë personi që i bashkëpandehur ka qenë gjatë procedimit, por ai është deklaruar i pafajshëm.  Rrjedhimisht, duke i konsideruar edhe këta persona të bashkëpandehur, normohet se ata «nuk mund të pyeten si dëshmitarë» (shkronja ‘b’, §1, neni 156 Kpp), duke u ruajtur atyre të njëjtin status të bashkëpandehurit «deklarimet – e të cilit – vlerësohen në unitet me provat e tjera që konfirmojnë vërtetësinë e tyre» (§3, neni 154 Kpp).</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Kështu deklarimet e të bashkëpandehurit janë provë në kuptim të pozicionit të tij si bashkëpandehur i cili ‘dëshmon’ përkundrejt të pandehurit tjetër.  Pra atëherë kur të dhënat apo deklarimet e bashkëpandehurit i drejtohen njohjes ndaj të pandehurit apo të pandehurve të tjerë, këto deklarime kanë elementë të provës që vlerësohet në unitet me provat e tjera që konfirmojnë vërtetësinë e tyre (§3, neni 152 Kpp).  Ndërsa kur ato i drejtohen vetvetes apo vetë të bashkëpandehurit që deklaron, janë një mjet që spraps të cilin ai ushtron në mbrojtje të pozicionit të tij si i tillë, çka edhe pse e komplikon mjaft deklarimin e tij, duhet theksuar se ato «[...] nuk mund të përbëjnë objekt dëshmie» (neni 36 Kpp), që gjithashtu dhe për këtë vlerësohen në unitet me provat e tjera që konfirmojnë vërtetësinë e tyre (§3, neni 152 Kpp).</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Kërkohet për këtë një evidentim i kujdesshëm dhe i saktë i objektit të provës mbi faktin që i bashkëpandehuri referon, për të bërë të mundur zbatimin e saktë të normave procedurale.  Kështu i bashkëpandehuri për fakte objekt të deklarimit, gjen një trajtim të njëjtë me atë të dëshmitarit (§3 neni 370 Kpp) në rastin kur ai nuk pranon të deklarojë dhe kur nuk mund të sigurohet prania e tij në proces siç dhe në rastin e kundërshtimit të dëshmisë së tij (§1, neni 362 Kpp).  Ndërsa i nënshtrohet apo gjen një trajtim të njëjtë me atë të të pandehurit, i bashkëpandehuri për fakte objekt ndaj vetvetes.  Nga pozicioni i dyfishtë i bashkëpandehurit, rrjedh dhe detyrimi i ‘pyetjes së të pandehurit’, në një procedim të lidhur, në prani të një mbrojtësi që atë e ndihmon (§3, neni 167 Kpp).</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color w:val="FF0000"/>
          <w:lang w:val="sq-AL"/>
        </w:rPr>
        <w:t>Dyshim</w:t>
      </w:r>
      <w:r w:rsidRPr="006871FF">
        <w:rPr>
          <w:rFonts w:ascii="Georgia" w:hAnsi="Georgia" w:cstheme="minorBidi"/>
          <w:lang w:val="sq-AL"/>
        </w:rPr>
        <w:t>i mbi besnikërinë e deklarimeve të të bashkëpandehurit është i ligjshëm.  Pozicioni i tij dëshmitar dhe i pandehur, në thelb është i nxitur nga interesa ngushtësisht personale, çka lë të hapur dyshimin mbi vërtetësinë e deklarimeve, pavarësisht se kujt i drejtohen ato.  Veçanërisht i vështirë për t’u vlerësuar drejt, është pozicioni i atij që përcaktohet si ‘bashkëpunëtor i drejtësisë’, i cili pohon faktin për të cilin akuzohet, duke drejtuar njoftim në ngarkim njëkohësisht edhe përkundrejt të pandehurit a të pandehurve të tjerë, çka konsiderohet një ‘thirrje/tërheqje në bashkëfajësi’.</w:t>
      </w:r>
      <w:r w:rsidRPr="006871FF">
        <w:rPr>
          <w:rStyle w:val="FootnoteReference"/>
          <w:rFonts w:ascii="Georgia" w:hAnsi="Georgia" w:cstheme="minorBidi"/>
          <w:lang w:val="sq-AL"/>
        </w:rPr>
        <w:footnoteReference w:id="57"/>
      </w:r>
      <w:r w:rsidRPr="006871FF">
        <w:rPr>
          <w:rFonts w:ascii="Georgia" w:hAnsi="Georgia" w:cstheme="minorBidi"/>
          <w:lang w:val="sq-AL"/>
        </w:rPr>
        <w:t xml:space="preserve">  Gjithsesi ligjvënësi këtij ‘dyshimi’ i përballet me vendosjen e një kufizimi që në thelb përmban maturi.  Detyrimi i gjyqtarit për të vlerësuar deklarimet e bashkëpandehurit «në unitet me provat e tjera që konfirmojnë vërtetësinë e tyre» (§3 neni 152 Kpp), përkrah atij të të shqyrtimit të provave në tërësi dhe çmuarjes së vërtetësisë dhe fuqisë provuese (§1, neni 152 Kpp), kërkon një përkujdesje mirë të organizuar dhe precize.</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Kështu së pari është për t’u sqaruar se ‘provat e tjera’ për të cilat flet paragrafi i tretë i nenit 152 Kpp, sigurisht nuk janë – qoftë dhe një e vetme prej tyre – të tilla që kanë për objekt faktin për të cilin jep njohje deklarimi i bashkëpandehurit faktin kryesor.  Si të tilla ato janë prova-indicje përkundrejt faktit kryesor.  Po të ishte ndryshe, pra që për të njëjtin fakt kryesor – përveç deklarimit të të bashkëpandehurit – jep njohje apo njoftim një provë e plotë, e drejtpërdrejtë a përfaqësuese tjetër, ky deklarim nuk do të ishte i rëndësishëm, sepse do të shërbente vetëm si mbështetje e provës tjetër dhe për këtë nuk do të meritonte një përkujdesje normative të veçantë nga ligjvënësi.  Për këtë, në rrugë shteruese, mbetet që ato të jenë ‘indicje’, prova që nuk kanë për objekt të drejtpërdrejtë faktin kryesor për të cilin njofton deklarimi i të bashkëpandehurit.  Nga ana tjetër, kërkesa për ‘konfirmim të vërtetësisë’ së deklarimit e përcakton këtë deklarim, që i vetëm, nuk është i aftë për të dhënë njoftim të plotë apo përfaqësues dhe kështu të besueshëm për ekzistencën e sigurt të faktit objekt të tij.  Pra si një ‘provë jo të plotë’ dhe kështu për nga pikëpamja subjektive të ngjashëm me provën-indicje, e cila gjithashtu kërkon mbështetje të rëndësishme, të saktë dhe të përputhur, nga të tjera.  Vështruar kështu, ‘provat e tjera’, nuk pengohet që të mund të jenë në nivelin e vetë dëshmisë së të bashkëpandehurit, të tilla që kërkojnë po ashtu edhe ato nga ana e tyre, një ‘konfirmim të vërtetësisë’.  Nga sa, rezulton se, ‘maturia’ e kërkuar nga gjyqtari fillon pikërisht në vlerësimin korrekt dhe të saktë të nivelit të provave që ai ka në dispozicion të çmuarjes së tyre.</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 xml:space="preserve">Në terma sqarues është për të evidentuar edhe kërkesën për ‘konfirmim të vërtetësisë së deklarimit’, që konsiston në përputhjen e tij, me të gjitha ato njoftime apo dije që japin provat-indicje apo provat me vlerë të njëjtë me të.  Deklarimi i bashkëpandehurit, siç është përmendur, mbart si dëshminë në cilësinë e dëshmitarit ashtu dhe deklarimet në cilësinë e të pandehurit, nga ku besimi si dëshmitar bie ndjeshëm për shkak të interesit si i pandehur.  Të dyja këto pozicione, kërkojnë të verifikohet fillimisht besueshmëria e </w:t>
      </w:r>
      <w:r w:rsidRPr="006871FF">
        <w:rPr>
          <w:rFonts w:ascii="Georgia" w:hAnsi="Georgia" w:cstheme="minorBidi"/>
          <w:i/>
          <w:lang w:val="sq-AL"/>
        </w:rPr>
        <w:t>brendshme</w:t>
      </w:r>
      <w:r w:rsidRPr="006871FF">
        <w:rPr>
          <w:rFonts w:ascii="Georgia" w:hAnsi="Georgia" w:cstheme="minorBidi"/>
          <w:lang w:val="sq-AL"/>
        </w:rPr>
        <w:t xml:space="preserve"> subjektive,</w:t>
      </w:r>
      <w:r w:rsidRPr="006871FF">
        <w:rPr>
          <w:rStyle w:val="FootnoteReference"/>
          <w:rFonts w:ascii="Georgia" w:hAnsi="Georgia" w:cstheme="minorBidi"/>
          <w:lang w:val="sq-AL"/>
        </w:rPr>
        <w:footnoteReference w:id="58"/>
      </w:r>
      <w:r w:rsidRPr="006871FF">
        <w:rPr>
          <w:rFonts w:ascii="Georgia" w:hAnsi="Georgia" w:cstheme="minorBidi"/>
          <w:lang w:val="sq-AL"/>
        </w:rPr>
        <w:t xml:space="preserve"> që ka të bëjë me personalitetin e bashkëpandehurit, karakteristikat psikike dhe mënyrën e të sjellit të tij, si veprimtarinë e tij në të shkuarën dhe ambientin ekonomiko-familjar në të cilin ai ka jetuar, i dënuar apo jo, raste të tjera apo jo të deklarimeve të tilla, shkaqet pse ka përzgjedhur të deklarojë përkundrejt të pandehurit tjetër, marrëdhëniet me të si ato të grindjes, hakmarrjes apo xhelozisë, sa i vetëdijshëm, i përpiktë apo konsekuent është në këto deklarime.  Më pas kërkohet të verifikohet besueshmëria e </w:t>
      </w:r>
      <w:r w:rsidRPr="006871FF">
        <w:rPr>
          <w:rFonts w:ascii="Georgia" w:hAnsi="Georgia" w:cstheme="minorBidi"/>
          <w:i/>
          <w:lang w:val="sq-AL"/>
        </w:rPr>
        <w:t>jashtme</w:t>
      </w:r>
      <w:r w:rsidRPr="006871FF">
        <w:rPr>
          <w:rFonts w:ascii="Georgia" w:hAnsi="Georgia" w:cstheme="minorBidi"/>
          <w:lang w:val="sq-AL"/>
        </w:rPr>
        <w:t xml:space="preserve"> objektive,</w:t>
      </w:r>
      <w:r w:rsidRPr="006871FF">
        <w:rPr>
          <w:rStyle w:val="FootnoteReference"/>
          <w:rFonts w:ascii="Georgia" w:hAnsi="Georgia" w:cstheme="minorBidi"/>
          <w:lang w:val="sq-AL"/>
        </w:rPr>
        <w:footnoteReference w:id="59"/>
      </w:r>
      <w:r w:rsidRPr="006871FF">
        <w:rPr>
          <w:rFonts w:ascii="Georgia" w:hAnsi="Georgia" w:cstheme="minorBidi"/>
          <w:lang w:val="sq-AL"/>
        </w:rPr>
        <w:t xml:space="preserve"> që ka të bëjë me të gjitha faktet e rrethanat objekt i akuzës dhe që rezultojnë nga prova të tjera, gjithçka që hedh dritë në konfirmimin e përputhjes apo jo të deklarimit, siç mund të jetë vendi i fshehjes së lëndës narkotike apo i mjeteve të kryerjes së krimit si dhe në rastin e disa bashkëpandehurve të penduar, verifikimi apo jo i të njëjtave njoftime.  Vetëm nëse verifikimi jep rezultat pozitiv, pra që ballafaqimi me provat-indicjet e tjera tregon vërtetësi të deklarimeve të të bashkëpandehurit, ato marrin vlerë të plotë provuese mbi njohjen e faktit objekt i të cilit janë.</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Po ashtu, por me formulim të ndryshëm – në vlerësim të faktit fajësi e të pandehurit – është normuar se «gjykata nuk mund të bazojë vendimin e fajësisë vetëm ose kryesisht në deklarimet e bashkëpandehurit [...]» (§3, neni 390 Kpp), duke e përcaktuar me ligj – edhe pse si normim të përgjithshëm parashikon se «asnjë provë nuk ka vlerë të paracaktuar nga ligji […]» (§1, neni 152 Kpp) – deklarimin e bashkëpandehurit në nivelin e ‘indicjes’ e cila kërkon minimalisht edhe një tjetër të tillë dhe sidoqoftë «[…] të rëndësishme, të sakta dhe në përputhje me njëra-tjetrën» (§2, neni 152 Kpp), për të provuar ekzistencën e faktit fajësi e të pandehurit.  Kështu ndërsa nga njëra anë deklarimet e të bashkëpandehurit «[...] vlerësohen në unitet me provat e tjera që konfirmojnë vërtetësinë e tyre» (§3, neni 152 Kpp), kur është rasti i fajësisë ato duhet të shoqërohen minimalisht edhe nga një provë tjetër e nivelit të indicjes «[...] të rëndësishme, të sakta dhe në përputhje me njëra-tjetrën» (§2, neni 152 Kpp).</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Gjithsesi është për t’u kujtuar se deklarimet e bashkëpandehurit nuk mund t’i shmangen ndalimit të bërë nga neni 154 Kpp, i cili i shtrin efektet edhe mbi të, sepse ato nuk mund të përdoren (§4 neni 154 Kpp) nëse ‘u referohen personave të tjerë’, të cilët nëse tregohen, duhet të thirren për të dëshmuar (§1, neni 154 Kpp) dhe për këtë është dëshmia e këtyre të fundit ajo që mbart forcën dhe cilësinë e provës.</w:t>
      </w:r>
    </w:p>
    <w:p w:rsidR="00810287" w:rsidRPr="006871FF" w:rsidRDefault="00810287" w:rsidP="00810287">
      <w:pPr>
        <w:pStyle w:val="NoSpacing"/>
        <w:tabs>
          <w:tab w:val="left" w:pos="720"/>
        </w:tabs>
        <w:ind w:firstLine="720"/>
        <w:jc w:val="both"/>
        <w:rPr>
          <w:rFonts w:ascii="Georgia" w:hAnsi="Georgia" w:cstheme="minorBidi"/>
          <w:lang w:val="sq-AL"/>
        </w:rPr>
      </w:pPr>
      <w:r w:rsidRPr="006871FF">
        <w:rPr>
          <w:rFonts w:ascii="Georgia" w:hAnsi="Georgia" w:cstheme="minorBidi"/>
          <w:lang w:val="sq-AL"/>
        </w:rPr>
        <w:t>Rregulli, si më sipër, i çmuarjes së deklarimeve të bashkëpandehurit, është efikas jo vetëm në përcaktimet e gjykimit të themelit, por edhe me çka lidhet me masat e sigurimit.  Por sepse në këto të fundit kërkohet ‘dyshimi i arsyeshëm’ dhe jo ‘bindja përtej dyshimit të arsyeshëm’ e ekzistencës së faktit, edhe pa konfirmimin e vërtetësisë apo besueshmërisë së deklarimeve të të bashkëpandehurit, deklarimet e tij mund të mbështesin ‘dyshimin e arsyeshëm’.</w:t>
      </w:r>
    </w:p>
    <w:p w:rsidR="00810287" w:rsidRPr="006871FF" w:rsidRDefault="00810287" w:rsidP="00810287">
      <w:pPr>
        <w:pStyle w:val="NoSpacing"/>
        <w:numPr>
          <w:ilvl w:val="0"/>
          <w:numId w:val="39"/>
        </w:numPr>
        <w:tabs>
          <w:tab w:val="left" w:pos="1134"/>
        </w:tabs>
        <w:ind w:left="0" w:firstLine="567"/>
        <w:rPr>
          <w:rFonts w:ascii="Georgia" w:hAnsi="Georgia" w:cstheme="minorBidi"/>
          <w:b/>
          <w:i/>
          <w:lang w:val="sq-AL"/>
        </w:rPr>
      </w:pPr>
      <w:r w:rsidRPr="006871FF">
        <w:rPr>
          <w:rFonts w:ascii="Georgia" w:hAnsi="Georgia" w:cstheme="minorBidi"/>
          <w:b/>
          <w:i/>
          <w:lang w:val="sq-AL"/>
        </w:rPr>
        <w:t>deklarimet e atij që nuk pranon të pyetet nga i pandehuri</w:t>
      </w:r>
    </w:p>
    <w:p w:rsidR="00810287" w:rsidRPr="006871FF" w:rsidRDefault="00810287" w:rsidP="00C001CE">
      <w:pPr>
        <w:jc w:val="both"/>
        <w:rPr>
          <w:rFonts w:ascii="Georgia" w:hAnsi="Georgia" w:cstheme="majorBidi"/>
          <w:shd w:val="clear" w:color="auto" w:fill="FFFFFF"/>
        </w:rPr>
      </w:pPr>
      <w:r w:rsidRPr="006871FF">
        <w:rPr>
          <w:rFonts w:ascii="Georgia" w:hAnsi="Georgia"/>
        </w:rPr>
        <w:t>Tashmë – me ligjin n.35/2017 – është normuar se «gjykata nuk mund të bazojë vendimin e fajësisë vetëm mbi deklarimet e bëra nga personi, i cili, me vullnetin e tij, nuk ka pranuar të pyetet nga i pandehuri ose nga mbrojtësi i tij në asnjërën nga fazat e procedimit» (§2, neni 390 Kpp), normë e cila edhe pse nuk është sistemuar në nenin 152 Kpp, shfaqet si parametër i çmuarjes së provës.  Pamundësia për të provuar fajësinë e të pandehurit nëpërmjet vetëm deklarimit të atij që i vullnetshëm, pra me qëllim, nuk pranon të pyetet nga i pandehuri a mbrojtësi i këtij të fundit, i përcakton deklarimet e tij si një ‘indicje’.  Për këtë, sepse një e vetme indicje nuk mund të provojë faktin, kërkohet minimalisht edhe një tjetër e kështu që të dyja të «[...] janë të rëndësishme, të sakta dhe në përputhje me njëra-tjetrën» (§1, neni 152 Kpp), që të mund ta provojnë atë.  Nga ana tjetër, sepse përjashtimi është vendosur vetëm në lidhje me fajësinë e të pandehurit, kur është rasti i njohjeve për fakte të tjera, deklarimet e atij që nuk pranon i vullnetshëm të pyetet nga i pandehuri a mbrojtësi i tij, ruajnë forcën e zakonshme të çmuarjes së tyre (§1, neni 152 Kpp)</w:t>
      </w:r>
    </w:p>
    <w:p w:rsidR="00F05B7F" w:rsidRPr="006871FF" w:rsidRDefault="00F05B7F" w:rsidP="000579EE">
      <w:pPr>
        <w:rPr>
          <w:rFonts w:ascii="Georgia" w:hAnsi="Georgia" w:cstheme="majorBidi"/>
          <w:shd w:val="clear" w:color="auto" w:fill="FFFFFF"/>
        </w:rPr>
      </w:pPr>
    </w:p>
    <w:p w:rsidR="000579EE" w:rsidRPr="006871FF" w:rsidRDefault="00771600" w:rsidP="000579EE">
      <w:pPr>
        <w:rPr>
          <w:rFonts w:ascii="Georgia" w:hAnsi="Georgia" w:cstheme="majorBidi"/>
          <w:shd w:val="clear" w:color="auto" w:fill="FFFFFF"/>
        </w:rPr>
      </w:pPr>
      <w:r w:rsidRPr="006871FF">
        <w:rPr>
          <w:rFonts w:ascii="Georgia" w:hAnsi="Georgia" w:cstheme="majorBidi"/>
          <w:shd w:val="clear" w:color="auto" w:fill="FFFFFF"/>
        </w:rPr>
        <w:t>Dhimitë</w:t>
      </w:r>
      <w:r w:rsidR="0066637E" w:rsidRPr="006871FF">
        <w:rPr>
          <w:rFonts w:ascii="Georgia" w:hAnsi="Georgia" w:cstheme="majorBidi"/>
          <w:shd w:val="clear" w:color="auto" w:fill="FFFFFF"/>
        </w:rPr>
        <w:t>r LARA.</w:t>
      </w:r>
      <w:r w:rsidR="0066637E" w:rsidRPr="006871FF">
        <w:rPr>
          <w:rFonts w:ascii="Georgia" w:hAnsi="Georgia" w:cstheme="majorBidi"/>
          <w:shd w:val="clear" w:color="auto" w:fill="FFFFFF"/>
        </w:rPr>
        <w:tab/>
      </w:r>
      <w:r w:rsidR="0066637E" w:rsidRPr="006871FF">
        <w:rPr>
          <w:rFonts w:ascii="Georgia" w:hAnsi="Georgia" w:cstheme="majorBidi"/>
          <w:shd w:val="clear" w:color="auto" w:fill="FFFFFF"/>
        </w:rPr>
        <w:tab/>
      </w:r>
      <w:r w:rsidR="0066637E" w:rsidRPr="006871FF">
        <w:rPr>
          <w:rFonts w:ascii="Georgia" w:hAnsi="Georgia" w:cstheme="majorBidi"/>
          <w:shd w:val="clear" w:color="auto" w:fill="FFFFFF"/>
        </w:rPr>
        <w:tab/>
      </w:r>
      <w:r w:rsidR="0066637E" w:rsidRPr="006871FF">
        <w:rPr>
          <w:rFonts w:ascii="Georgia" w:hAnsi="Georgia" w:cstheme="majorBidi"/>
          <w:shd w:val="clear" w:color="auto" w:fill="FFFFFF"/>
        </w:rPr>
        <w:tab/>
        <w:t>03 Mars 2023</w:t>
      </w:r>
    </w:p>
    <w:sectPr w:rsidR="000579EE" w:rsidRPr="006871FF">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4262" w:rsidRDefault="00054262" w:rsidP="008303EA">
      <w:pPr>
        <w:spacing w:after="0" w:line="240" w:lineRule="auto"/>
      </w:pPr>
      <w:r>
        <w:separator/>
      </w:r>
    </w:p>
  </w:endnote>
  <w:endnote w:type="continuationSeparator" w:id="0">
    <w:p w:rsidR="00054262" w:rsidRDefault="00054262" w:rsidP="00830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7073267"/>
      <w:docPartObj>
        <w:docPartGallery w:val="Page Numbers (Bottom of Page)"/>
        <w:docPartUnique/>
      </w:docPartObj>
    </w:sdtPr>
    <w:sdtEndPr/>
    <w:sdtContent>
      <w:p w:rsidR="00E06013" w:rsidRDefault="00E06013">
        <w:pPr>
          <w:pStyle w:val="Footer"/>
          <w:jc w:val="center"/>
        </w:pPr>
        <w:r>
          <w:fldChar w:fldCharType="begin"/>
        </w:r>
        <w:r>
          <w:instrText>PAGE   \* MERGEFORMAT</w:instrText>
        </w:r>
        <w:r>
          <w:fldChar w:fldCharType="separate"/>
        </w:r>
        <w:r w:rsidR="00B462E3" w:rsidRPr="00B462E3">
          <w:rPr>
            <w:noProof/>
            <w:lang w:val="sq-AL"/>
          </w:rPr>
          <w:t>2</w:t>
        </w:r>
        <w:r>
          <w:fldChar w:fldCharType="end"/>
        </w:r>
      </w:p>
    </w:sdtContent>
  </w:sdt>
  <w:p w:rsidR="00E06013" w:rsidRDefault="00E060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4262" w:rsidRDefault="00054262" w:rsidP="008303EA">
      <w:pPr>
        <w:spacing w:after="0" w:line="240" w:lineRule="auto"/>
      </w:pPr>
      <w:r>
        <w:separator/>
      </w:r>
    </w:p>
  </w:footnote>
  <w:footnote w:type="continuationSeparator" w:id="0">
    <w:p w:rsidR="00054262" w:rsidRDefault="00054262" w:rsidP="008303EA">
      <w:pPr>
        <w:spacing w:after="0" w:line="240" w:lineRule="auto"/>
      </w:pPr>
      <w:r>
        <w:continuationSeparator/>
      </w:r>
    </w:p>
  </w:footnote>
  <w:footnote w:id="1">
    <w:p w:rsidR="00E06013" w:rsidRPr="00911780" w:rsidRDefault="00E06013" w:rsidP="00DD7FB6">
      <w:pPr>
        <w:pStyle w:val="NoSpacing"/>
        <w:jc w:val="both"/>
        <w:rPr>
          <w:rFonts w:ascii="Georgia" w:hAnsi="Georgia" w:cstheme="majorBidi"/>
          <w:sz w:val="16"/>
          <w:szCs w:val="16"/>
          <w:shd w:val="clear" w:color="auto" w:fill="FFFFFF"/>
        </w:rPr>
      </w:pPr>
      <w:r w:rsidRPr="00911780">
        <w:rPr>
          <w:rStyle w:val="FootnoteReference"/>
          <w:rFonts w:ascii="Georgia" w:hAnsi="Georgia"/>
          <w:sz w:val="16"/>
          <w:szCs w:val="16"/>
        </w:rPr>
        <w:footnoteRef/>
      </w:r>
      <w:r w:rsidRPr="00911780">
        <w:rPr>
          <w:rFonts w:ascii="Georgia" w:hAnsi="Georgia"/>
          <w:sz w:val="16"/>
          <w:szCs w:val="16"/>
        </w:rPr>
        <w:t xml:space="preserve"> </w:t>
      </w:r>
      <w:r w:rsidRPr="00911780">
        <w:rPr>
          <w:rFonts w:ascii="Georgia" w:hAnsi="Georgia" w:cstheme="majorBidi"/>
          <w:sz w:val="16"/>
          <w:szCs w:val="16"/>
          <w:shd w:val="clear" w:color="auto" w:fill="FFFFFF"/>
        </w:rPr>
        <w:t>Dr. Rossana Petrucci, Dr. Elena De Gregorio, Dr. Rocco Pezzano. E drejta penale. Pjesa e përgjithshme, botimi XXI, Edizioni Giurideche Simone, 2011.</w:t>
      </w:r>
    </w:p>
  </w:footnote>
  <w:footnote w:id="2">
    <w:p w:rsidR="00E06013" w:rsidRPr="00911780" w:rsidRDefault="00E06013">
      <w:pPr>
        <w:pStyle w:val="FootnoteText"/>
        <w:rPr>
          <w:rFonts w:ascii="Georgia" w:hAnsi="Georgia"/>
          <w:sz w:val="16"/>
          <w:szCs w:val="16"/>
          <w:lang w:val="en-US"/>
        </w:rPr>
      </w:pPr>
      <w:r w:rsidRPr="00911780">
        <w:rPr>
          <w:rStyle w:val="FootnoteReference"/>
          <w:rFonts w:ascii="Georgia" w:hAnsi="Georgia"/>
          <w:sz w:val="16"/>
          <w:szCs w:val="16"/>
        </w:rPr>
        <w:footnoteRef/>
      </w:r>
      <w:r w:rsidRPr="00911780">
        <w:rPr>
          <w:rFonts w:ascii="Georgia" w:hAnsi="Georgia"/>
          <w:sz w:val="16"/>
          <w:szCs w:val="16"/>
        </w:rPr>
        <w:t xml:space="preserve"> </w:t>
      </w:r>
      <w:r w:rsidRPr="00911780">
        <w:rPr>
          <w:rFonts w:ascii="Georgia" w:hAnsi="Georgia"/>
          <w:sz w:val="16"/>
          <w:szCs w:val="16"/>
          <w:lang w:val="en-US"/>
        </w:rPr>
        <w:t>Maria M. 09 gen 2020, Studio Cataldi, Drito Penale.</w:t>
      </w:r>
    </w:p>
  </w:footnote>
  <w:footnote w:id="3">
    <w:p w:rsidR="00ED5777" w:rsidRPr="009E26B7" w:rsidRDefault="00ED5777" w:rsidP="00ED5777">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Strukturë tipike e organizimit të ‘Shërbimit’ të Pol.gjyq. në Policinë e Shtetit, është ‘Byroja Kombëtare e Hetimit’, e cila kryen veprimtari hetimore, «në përputhje me legjislacionin penal dhe procedural penal» (§2, neni 27 PSh), e pikërisht me atë të nenit 277 Kpp.</w:t>
      </w:r>
    </w:p>
  </w:footnote>
  <w:footnote w:id="4">
    <w:p w:rsidR="00CA431F" w:rsidRPr="009E26B7" w:rsidRDefault="00CA431F" w:rsidP="00CA431F">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M.Mercone 2003, </w:t>
      </w:r>
      <w:r w:rsidRPr="009E26B7">
        <w:rPr>
          <w:rFonts w:ascii="Arial" w:hAnsi="Arial" w:cs="Arial"/>
          <w:i/>
          <w:sz w:val="12"/>
          <w:szCs w:val="12"/>
          <w:lang w:val="it-IT"/>
        </w:rPr>
        <w:t>Diritto Processuale Penale</w:t>
      </w:r>
      <w:r w:rsidRPr="009E26B7">
        <w:rPr>
          <w:rFonts w:ascii="Arial" w:hAnsi="Arial" w:cs="Arial"/>
          <w:sz w:val="12"/>
          <w:szCs w:val="12"/>
          <w:lang w:val="it-IT"/>
        </w:rPr>
        <w:t xml:space="preserve">, XI edizione, Simone editore, Capitolo 22, </w:t>
      </w:r>
      <w:r w:rsidRPr="009E26B7">
        <w:rPr>
          <w:rFonts w:ascii="Arial" w:hAnsi="Arial" w:cs="Arial"/>
          <w:i/>
          <w:sz w:val="12"/>
          <w:szCs w:val="12"/>
          <w:lang w:val="it-IT"/>
        </w:rPr>
        <w:t>Attività della P.G</w:t>
      </w:r>
      <w:r w:rsidRPr="009E26B7">
        <w:rPr>
          <w:rFonts w:ascii="Arial" w:hAnsi="Arial" w:cs="Arial"/>
          <w:sz w:val="12"/>
          <w:szCs w:val="12"/>
          <w:lang w:val="it-IT"/>
        </w:rPr>
        <w:t>.</w:t>
      </w:r>
    </w:p>
  </w:footnote>
  <w:footnote w:id="5">
    <w:p w:rsidR="00E06013" w:rsidRPr="00911780" w:rsidRDefault="00E06013">
      <w:pPr>
        <w:pStyle w:val="FootnoteText"/>
        <w:rPr>
          <w:rFonts w:ascii="Georgia" w:hAnsi="Georgia"/>
          <w:sz w:val="16"/>
          <w:szCs w:val="16"/>
          <w:lang w:val="en-US"/>
        </w:rPr>
      </w:pPr>
      <w:r w:rsidRPr="00911780">
        <w:rPr>
          <w:rStyle w:val="FootnoteReference"/>
          <w:rFonts w:ascii="Georgia" w:hAnsi="Georgia"/>
          <w:sz w:val="16"/>
          <w:szCs w:val="16"/>
        </w:rPr>
        <w:footnoteRef/>
      </w:r>
      <w:r w:rsidRPr="00911780">
        <w:rPr>
          <w:rFonts w:ascii="Georgia" w:hAnsi="Georgia"/>
          <w:sz w:val="16"/>
          <w:szCs w:val="16"/>
        </w:rPr>
        <w:t xml:space="preserve"> </w:t>
      </w:r>
      <w:r w:rsidRPr="00911780">
        <w:rPr>
          <w:rFonts w:ascii="Georgia" w:hAnsi="Georgia" w:cstheme="majorBidi"/>
          <w:sz w:val="16"/>
          <w:szCs w:val="16"/>
          <w:shd w:val="clear" w:color="auto" w:fill="FFFFFF"/>
        </w:rPr>
        <w:t xml:space="preserve">organizuar nga Prezenca e OSBE-se ne Shqiperi me teme "Standardet ndërkombëtare dhe praktikat me të mira në gjykimin e veprave penale në fushën e korrupsionit", </w:t>
      </w:r>
      <w:r w:rsidRPr="00911780">
        <w:rPr>
          <w:rFonts w:ascii="Georgia" w:hAnsi="Georgia" w:cstheme="majorBidi"/>
          <w:sz w:val="16"/>
          <w:szCs w:val="16"/>
        </w:rPr>
        <w:t>For October 28-29 Tranings for SPAK judges.  Support to the Advancement of rule of Laë in Albania Fhase II)Support to the Advancement of rule of Laë in Albania Fhase II</w:t>
      </w:r>
    </w:p>
  </w:footnote>
  <w:footnote w:id="6">
    <w:p w:rsidR="00E06013" w:rsidRPr="00911780" w:rsidRDefault="00E06013" w:rsidP="0082140E">
      <w:pPr>
        <w:pStyle w:val="NoSpacing"/>
        <w:jc w:val="both"/>
        <w:rPr>
          <w:rFonts w:ascii="Georgia" w:hAnsi="Georgia"/>
          <w:sz w:val="16"/>
          <w:szCs w:val="16"/>
        </w:rPr>
      </w:pPr>
      <w:r w:rsidRPr="00911780">
        <w:rPr>
          <w:rStyle w:val="FootnoteReference"/>
          <w:rFonts w:ascii="Georgia" w:hAnsi="Georgia"/>
          <w:sz w:val="16"/>
          <w:szCs w:val="16"/>
        </w:rPr>
        <w:footnoteRef/>
      </w:r>
      <w:r w:rsidRPr="00911780">
        <w:rPr>
          <w:rFonts w:ascii="Georgia" w:hAnsi="Georgia"/>
          <w:sz w:val="16"/>
          <w:szCs w:val="16"/>
        </w:rPr>
        <w:t xml:space="preserve"> U përshtat nga Asambleja e Përgjithshme e KB më 31 Tetor 2003, hyri në fuqi më 14 Dhjetor 2005, 188 Shtete Anëtare që nga Gushti I vitit 2021, Anëtar të pranuar të gjithë vendet dhe organizatat ekonomike rajonale dhe Sekretariat në Zyra e Kombeve të Bashkuara e Drogës dhe Krimit (ZKBDK).</w:t>
      </w:r>
    </w:p>
  </w:footnote>
  <w:footnote w:id="7">
    <w:p w:rsidR="00E06013" w:rsidRPr="00911780" w:rsidRDefault="00E06013" w:rsidP="0082140E">
      <w:pPr>
        <w:pStyle w:val="NoSpacing"/>
        <w:jc w:val="both"/>
        <w:rPr>
          <w:rFonts w:ascii="Georgia" w:hAnsi="Georgia"/>
          <w:sz w:val="16"/>
          <w:szCs w:val="16"/>
        </w:rPr>
      </w:pPr>
      <w:r w:rsidRPr="00911780">
        <w:rPr>
          <w:rStyle w:val="FootnoteReference"/>
          <w:rFonts w:ascii="Georgia" w:hAnsi="Georgia"/>
          <w:sz w:val="16"/>
          <w:szCs w:val="16"/>
        </w:rPr>
        <w:footnoteRef/>
      </w:r>
      <w:r w:rsidRPr="00911780">
        <w:rPr>
          <w:rFonts w:ascii="Georgia" w:hAnsi="Georgia"/>
          <w:sz w:val="16"/>
          <w:szCs w:val="16"/>
        </w:rPr>
        <w:t xml:space="preserve"> </w:t>
      </w:r>
      <w:hyperlink r:id="rId1" w:anchor="?CountryProfileDetails=%2Funodc%2Fcorruption%2Fcountry-profile%2Fprofiles%2Falb.html" w:history="1">
        <w:r w:rsidRPr="00911780">
          <w:rPr>
            <w:rStyle w:val="Hyperlink"/>
            <w:rFonts w:ascii="Georgia" w:hAnsi="Georgia"/>
            <w:color w:val="auto"/>
            <w:sz w:val="16"/>
            <w:szCs w:val="16"/>
          </w:rPr>
          <w:t>https://ëëë.unodc.org/unodc/en/corruption/country-profile/countryprofile.html#?CountryProfileDetails=%2Funodc%2Fcorruption%2Fcountry-profile%2Fprofiles%2Falb.html</w:t>
        </w:r>
      </w:hyperlink>
      <w:r w:rsidRPr="00911780">
        <w:rPr>
          <w:rFonts w:ascii="Georgia" w:hAnsi="Georgia"/>
          <w:sz w:val="16"/>
          <w:szCs w:val="16"/>
        </w:rPr>
        <w:t xml:space="preserve"> </w:t>
      </w:r>
    </w:p>
  </w:footnote>
  <w:footnote w:id="8">
    <w:p w:rsidR="00E06013" w:rsidRPr="00911780" w:rsidRDefault="00E06013" w:rsidP="0082140E">
      <w:pPr>
        <w:pStyle w:val="NoSpacing"/>
        <w:jc w:val="both"/>
        <w:rPr>
          <w:rFonts w:ascii="Georgia" w:hAnsi="Georgia"/>
          <w:sz w:val="16"/>
          <w:szCs w:val="16"/>
        </w:rPr>
      </w:pPr>
      <w:r w:rsidRPr="00911780">
        <w:rPr>
          <w:rStyle w:val="FootnoteReference"/>
          <w:rFonts w:ascii="Georgia" w:hAnsi="Georgia"/>
          <w:sz w:val="16"/>
          <w:szCs w:val="16"/>
        </w:rPr>
        <w:footnoteRef/>
      </w:r>
      <w:r w:rsidRPr="00911780">
        <w:rPr>
          <w:rFonts w:ascii="Georgia" w:hAnsi="Georgia"/>
          <w:sz w:val="16"/>
          <w:szCs w:val="16"/>
        </w:rPr>
        <w:t xml:space="preserve"> </w:t>
      </w:r>
      <w:hyperlink r:id="rId2" w:history="1">
        <w:r w:rsidRPr="00911780">
          <w:rPr>
            <w:rStyle w:val="Hyperlink"/>
            <w:rFonts w:ascii="Georgia" w:hAnsi="Georgia"/>
            <w:color w:val="auto"/>
            <w:sz w:val="16"/>
            <w:szCs w:val="16"/>
          </w:rPr>
          <w:t>https://ëëë.europeëatchdog.info/en/partial-agreements/corruption/</w:t>
        </w:r>
      </w:hyperlink>
    </w:p>
  </w:footnote>
  <w:footnote w:id="9">
    <w:p w:rsidR="00E06013" w:rsidRPr="00911780" w:rsidRDefault="00E06013" w:rsidP="0082140E">
      <w:pPr>
        <w:pStyle w:val="NoSpacing"/>
        <w:jc w:val="both"/>
        <w:rPr>
          <w:rFonts w:ascii="Georgia" w:hAnsi="Georgia"/>
          <w:sz w:val="16"/>
          <w:szCs w:val="16"/>
        </w:rPr>
      </w:pPr>
      <w:r w:rsidRPr="00911780">
        <w:rPr>
          <w:rStyle w:val="FootnoteReference"/>
          <w:rFonts w:ascii="Georgia" w:hAnsi="Georgia"/>
          <w:sz w:val="16"/>
          <w:szCs w:val="16"/>
        </w:rPr>
        <w:footnoteRef/>
      </w:r>
      <w:r w:rsidRPr="00911780">
        <w:rPr>
          <w:rFonts w:ascii="Georgia" w:hAnsi="Georgia"/>
          <w:sz w:val="16"/>
          <w:szCs w:val="16"/>
        </w:rPr>
        <w:t xml:space="preserve"> </w:t>
      </w:r>
      <w:hyperlink r:id="rId3" w:history="1">
        <w:r w:rsidRPr="00911780">
          <w:rPr>
            <w:rStyle w:val="Hyperlink"/>
            <w:rFonts w:ascii="Georgia" w:hAnsi="Georgia"/>
            <w:color w:val="auto"/>
            <w:sz w:val="16"/>
            <w:szCs w:val="16"/>
          </w:rPr>
          <w:t>https://ëëë.coe.int/en/ëeb/conventions/full-list?module=treaty-detail&amp;treatynum=191</w:t>
        </w:r>
      </w:hyperlink>
      <w:r w:rsidRPr="00911780">
        <w:rPr>
          <w:rStyle w:val="Hyperlink"/>
          <w:rFonts w:ascii="Georgia" w:hAnsi="Georgia"/>
          <w:color w:val="auto"/>
          <w:sz w:val="16"/>
          <w:szCs w:val="16"/>
        </w:rPr>
        <w:t xml:space="preserve"> </w:t>
      </w:r>
      <w:r w:rsidRPr="00911780">
        <w:rPr>
          <w:rFonts w:ascii="Georgia" w:hAnsi="Georgia"/>
          <w:sz w:val="16"/>
          <w:szCs w:val="16"/>
        </w:rPr>
        <w:t>This Protocol extends the scope of the Convention (</w:t>
      </w:r>
      <w:hyperlink r:id="rId4" w:history="1">
        <w:r w:rsidRPr="00911780">
          <w:rPr>
            <w:rStyle w:val="Hyperlink"/>
            <w:rFonts w:ascii="Georgia" w:hAnsi="Georgia"/>
            <w:color w:val="auto"/>
            <w:sz w:val="16"/>
            <w:szCs w:val="16"/>
          </w:rPr>
          <w:t>ETS No. 173</w:t>
        </w:r>
      </w:hyperlink>
      <w:r w:rsidRPr="00911780">
        <w:rPr>
          <w:rFonts w:ascii="Georgia" w:hAnsi="Georgia"/>
          <w:sz w:val="16"/>
          <w:szCs w:val="16"/>
        </w:rPr>
        <w:t>) to arbitrators in commercial, civil and other matters, as ëell as to jurors, thus complementing the Convention’s provisions aimed at protecting judicial authorities from corruption. Parties to the Convention ëill have to adopt the necessary measures to establish, as criminal offences, the active and passive bribery of domestic and foreign arbitrators and jurors.</w:t>
      </w:r>
    </w:p>
  </w:footnote>
  <w:footnote w:id="10">
    <w:p w:rsidR="00E06013" w:rsidRPr="00911780" w:rsidRDefault="00E06013" w:rsidP="0082140E">
      <w:pPr>
        <w:pStyle w:val="NoSpacing"/>
        <w:jc w:val="both"/>
        <w:rPr>
          <w:rFonts w:ascii="Georgia" w:hAnsi="Georgia"/>
          <w:sz w:val="16"/>
          <w:szCs w:val="16"/>
        </w:rPr>
      </w:pPr>
      <w:r w:rsidRPr="00911780">
        <w:rPr>
          <w:rStyle w:val="FootnoteReference"/>
          <w:rFonts w:ascii="Georgia" w:hAnsi="Georgia"/>
          <w:sz w:val="16"/>
          <w:szCs w:val="16"/>
        </w:rPr>
        <w:footnoteRef/>
      </w:r>
      <w:r w:rsidRPr="00911780">
        <w:rPr>
          <w:rFonts w:ascii="Georgia" w:hAnsi="Georgia"/>
          <w:sz w:val="16"/>
          <w:szCs w:val="16"/>
        </w:rPr>
        <w:t xml:space="preserve"> </w:t>
      </w:r>
      <w:hyperlink r:id="rId5" w:anchor="/Albania" w:history="1">
        <w:r w:rsidRPr="00911780">
          <w:rPr>
            <w:rStyle w:val="Hyperlink"/>
            <w:rFonts w:ascii="Georgia" w:hAnsi="Georgia"/>
            <w:color w:val="auto"/>
            <w:sz w:val="16"/>
            <w:szCs w:val="16"/>
          </w:rPr>
          <w:t>https://ëëë.coe.int/en/ëeb/impact-convention-human-rights/civil-laë-convention-on-corruption#/Albania</w:t>
        </w:r>
      </w:hyperlink>
      <w:r w:rsidRPr="00911780">
        <w:rPr>
          <w:rStyle w:val="Hyperlink"/>
          <w:rFonts w:ascii="Georgia" w:hAnsi="Georgia"/>
          <w:color w:val="auto"/>
          <w:sz w:val="16"/>
          <w:szCs w:val="16"/>
        </w:rPr>
        <w:t xml:space="preserve"> </w:t>
      </w:r>
    </w:p>
  </w:footnote>
  <w:footnote w:id="11">
    <w:p w:rsidR="00E06013" w:rsidRPr="00911780" w:rsidRDefault="00E06013" w:rsidP="0082140E">
      <w:pPr>
        <w:pStyle w:val="NoSpacing"/>
        <w:jc w:val="both"/>
        <w:rPr>
          <w:rFonts w:ascii="Georgia" w:hAnsi="Georgia"/>
          <w:sz w:val="16"/>
          <w:szCs w:val="16"/>
        </w:rPr>
      </w:pPr>
      <w:r w:rsidRPr="00911780">
        <w:rPr>
          <w:rStyle w:val="FootnoteReference"/>
          <w:rFonts w:ascii="Georgia" w:hAnsi="Georgia"/>
          <w:sz w:val="16"/>
          <w:szCs w:val="16"/>
        </w:rPr>
        <w:footnoteRef/>
      </w:r>
      <w:r w:rsidRPr="00911780">
        <w:rPr>
          <w:rFonts w:ascii="Georgia" w:hAnsi="Georgia"/>
          <w:sz w:val="16"/>
          <w:szCs w:val="16"/>
        </w:rPr>
        <w:t xml:space="preserve"> </w:t>
      </w:r>
      <w:hyperlink r:id="rId6" w:history="1">
        <w:r w:rsidRPr="00911780">
          <w:rPr>
            <w:rStyle w:val="Hyperlink"/>
            <w:rFonts w:ascii="Georgia" w:hAnsi="Georgia"/>
            <w:color w:val="auto"/>
            <w:sz w:val="16"/>
            <w:szCs w:val="16"/>
          </w:rPr>
          <w:t>https://ëëë.europeëatchdog.info/en/partial-agreements/corruption/</w:t>
        </w:r>
      </w:hyperlink>
    </w:p>
  </w:footnote>
  <w:footnote w:id="12">
    <w:p w:rsidR="00E06013" w:rsidRPr="00911780" w:rsidRDefault="00E06013" w:rsidP="0082140E">
      <w:pPr>
        <w:pStyle w:val="NoSpacing"/>
        <w:jc w:val="both"/>
        <w:rPr>
          <w:rFonts w:ascii="Georgia" w:hAnsi="Georgia"/>
          <w:sz w:val="16"/>
          <w:szCs w:val="16"/>
        </w:rPr>
      </w:pPr>
      <w:r w:rsidRPr="00911780">
        <w:rPr>
          <w:rStyle w:val="FootnoteReference"/>
          <w:rFonts w:ascii="Georgia" w:hAnsi="Georgia"/>
          <w:sz w:val="16"/>
          <w:szCs w:val="16"/>
        </w:rPr>
        <w:footnoteRef/>
      </w:r>
      <w:r w:rsidRPr="00911780">
        <w:rPr>
          <w:rFonts w:ascii="Georgia" w:hAnsi="Georgia"/>
          <w:sz w:val="16"/>
          <w:szCs w:val="16"/>
        </w:rPr>
        <w:t xml:space="preserve"> </w:t>
      </w:r>
      <w:hyperlink r:id="rId7" w:history="1">
        <w:r w:rsidRPr="00911780">
          <w:rPr>
            <w:rStyle w:val="Hyperlink"/>
            <w:rFonts w:ascii="Georgia" w:hAnsi="Georgia"/>
            <w:color w:val="auto"/>
            <w:sz w:val="16"/>
            <w:szCs w:val="16"/>
          </w:rPr>
          <w:t>https://ëëë.coe.int/en/ëeb/conventions/full-list?module=signatures-by-treaty&amp;treatynum=198</w:t>
        </w:r>
      </w:hyperlink>
      <w:r w:rsidRPr="00911780">
        <w:rPr>
          <w:rFonts w:ascii="Georgia" w:hAnsi="Georgia"/>
          <w:sz w:val="16"/>
          <w:szCs w:val="16"/>
        </w:rPr>
        <w:t xml:space="preserve"> and </w:t>
      </w:r>
      <w:hyperlink r:id="rId8" w:history="1">
        <w:r w:rsidRPr="00911780">
          <w:rPr>
            <w:rStyle w:val="Hyperlink"/>
            <w:rFonts w:ascii="Georgia" w:hAnsi="Georgia"/>
            <w:color w:val="auto"/>
            <w:sz w:val="16"/>
            <w:szCs w:val="16"/>
          </w:rPr>
          <w:t>https://ëëë.coe.int/en/ëeb/conventions/full-list?module=signatures-by-treaty&amp;treatynum=141</w:t>
        </w:r>
      </w:hyperlink>
    </w:p>
  </w:footnote>
  <w:footnote w:id="13">
    <w:p w:rsidR="00E06013" w:rsidRPr="00911780" w:rsidRDefault="00E06013" w:rsidP="0082140E">
      <w:pPr>
        <w:pStyle w:val="NoSpacing"/>
        <w:jc w:val="both"/>
        <w:rPr>
          <w:rFonts w:ascii="Georgia" w:hAnsi="Georgia"/>
          <w:sz w:val="16"/>
          <w:szCs w:val="16"/>
        </w:rPr>
      </w:pPr>
      <w:r w:rsidRPr="00911780">
        <w:rPr>
          <w:rStyle w:val="FootnoteReference"/>
          <w:rFonts w:ascii="Georgia" w:hAnsi="Georgia"/>
          <w:sz w:val="16"/>
          <w:szCs w:val="16"/>
        </w:rPr>
        <w:footnoteRef/>
      </w:r>
      <w:r w:rsidRPr="00911780">
        <w:rPr>
          <w:rFonts w:ascii="Georgia" w:hAnsi="Georgia"/>
          <w:sz w:val="16"/>
          <w:szCs w:val="16"/>
        </w:rPr>
        <w:t xml:space="preserve"> </w:t>
      </w:r>
      <w:hyperlink r:id="rId9" w:history="1">
        <w:r w:rsidRPr="00911780">
          <w:rPr>
            <w:rStyle w:val="Hyperlink"/>
            <w:rFonts w:ascii="Georgia" w:hAnsi="Georgia"/>
            <w:color w:val="auto"/>
            <w:sz w:val="16"/>
            <w:szCs w:val="16"/>
          </w:rPr>
          <w:t>https://ëëë.europeëatchdog.info/en/instruments/expert-bodies/moneyval/</w:t>
        </w:r>
      </w:hyperlink>
    </w:p>
  </w:footnote>
  <w:footnote w:id="14">
    <w:p w:rsidR="00E06013" w:rsidRPr="00911780" w:rsidRDefault="00E06013">
      <w:pPr>
        <w:pStyle w:val="FootnoteText"/>
        <w:rPr>
          <w:rFonts w:ascii="Georgia" w:hAnsi="Georgia"/>
          <w:sz w:val="16"/>
          <w:szCs w:val="16"/>
          <w:lang w:val="en-US"/>
        </w:rPr>
      </w:pPr>
      <w:r w:rsidRPr="00911780">
        <w:rPr>
          <w:rStyle w:val="FootnoteReference"/>
          <w:rFonts w:ascii="Georgia" w:hAnsi="Georgia"/>
          <w:sz w:val="16"/>
          <w:szCs w:val="16"/>
        </w:rPr>
        <w:footnoteRef/>
      </w:r>
      <w:r w:rsidRPr="00911780">
        <w:rPr>
          <w:rFonts w:ascii="Georgia" w:hAnsi="Georgia"/>
          <w:sz w:val="16"/>
          <w:szCs w:val="16"/>
        </w:rPr>
        <w:t xml:space="preserve"> </w:t>
      </w:r>
      <w:r w:rsidRPr="00911780">
        <w:rPr>
          <w:rFonts w:ascii="Georgia" w:hAnsi="Georgia" w:cstheme="majorBidi"/>
          <w:sz w:val="16"/>
          <w:szCs w:val="16"/>
          <w:shd w:val="clear" w:color="auto" w:fill="FFFFFF"/>
        </w:rPr>
        <w:t xml:space="preserve">organizuar nga Prezenca e OSBE-se ne Shqiperi me teme "Standardet ndërkombëtare dhe praktikat me të mira në gjykimin e veprave penale në fushën e korrupsionit", </w:t>
      </w:r>
      <w:r w:rsidRPr="00911780">
        <w:rPr>
          <w:rFonts w:ascii="Georgia" w:hAnsi="Georgia" w:cstheme="majorBidi"/>
          <w:sz w:val="16"/>
          <w:szCs w:val="16"/>
        </w:rPr>
        <w:t>For October 28-29 Tranings for SPAK judges.  Support to the Advancement of rule of Laë in Albania Fhase II)Support to the Advancement of rule of Laë in Albania Fhase II.</w:t>
      </w:r>
    </w:p>
  </w:footnote>
  <w:footnote w:id="15">
    <w:p w:rsidR="00E06013" w:rsidRPr="00911780" w:rsidRDefault="00E06013" w:rsidP="0082140E">
      <w:pPr>
        <w:pStyle w:val="NoSpacing"/>
        <w:jc w:val="both"/>
        <w:rPr>
          <w:rFonts w:ascii="Georgia" w:hAnsi="Georgia"/>
          <w:sz w:val="16"/>
          <w:szCs w:val="16"/>
        </w:rPr>
      </w:pPr>
      <w:r w:rsidRPr="00911780">
        <w:rPr>
          <w:rStyle w:val="FootnoteReference"/>
          <w:rFonts w:ascii="Georgia" w:hAnsi="Georgia"/>
          <w:sz w:val="16"/>
          <w:szCs w:val="16"/>
        </w:rPr>
        <w:footnoteRef/>
      </w:r>
      <w:r w:rsidRPr="00911780">
        <w:rPr>
          <w:rFonts w:ascii="Georgia" w:hAnsi="Georgia"/>
          <w:sz w:val="16"/>
          <w:szCs w:val="16"/>
        </w:rPr>
        <w:t xml:space="preserve"> </w:t>
      </w:r>
      <w:hyperlink r:id="rId10" w:history="1">
        <w:r w:rsidRPr="00911780">
          <w:rPr>
            <w:rStyle w:val="Hyperlink"/>
            <w:rFonts w:ascii="Georgia" w:hAnsi="Georgia"/>
            <w:color w:val="auto"/>
            <w:sz w:val="16"/>
            <w:szCs w:val="16"/>
          </w:rPr>
          <w:t>https://ëëë.phillipsandcohen.com/false-claims-act-history/</w:t>
        </w:r>
      </w:hyperlink>
    </w:p>
  </w:footnote>
  <w:footnote w:id="16">
    <w:p w:rsidR="00E06013" w:rsidRPr="00911780" w:rsidRDefault="00E06013" w:rsidP="0082140E">
      <w:pPr>
        <w:pStyle w:val="NoSpacing"/>
        <w:jc w:val="both"/>
        <w:rPr>
          <w:rFonts w:ascii="Georgia" w:hAnsi="Georgia"/>
          <w:sz w:val="16"/>
          <w:szCs w:val="16"/>
        </w:rPr>
      </w:pPr>
      <w:r w:rsidRPr="00911780">
        <w:rPr>
          <w:rStyle w:val="FootnoteReference"/>
          <w:rFonts w:ascii="Georgia" w:hAnsi="Georgia"/>
          <w:sz w:val="16"/>
          <w:szCs w:val="16"/>
        </w:rPr>
        <w:footnoteRef/>
      </w:r>
      <w:r w:rsidRPr="00911780">
        <w:rPr>
          <w:rFonts w:ascii="Georgia" w:hAnsi="Georgia"/>
          <w:sz w:val="16"/>
          <w:szCs w:val="16"/>
        </w:rPr>
        <w:t xml:space="preserve"> </w:t>
      </w:r>
      <w:hyperlink r:id="rId11" w:history="1">
        <w:r w:rsidRPr="00911780">
          <w:rPr>
            <w:rStyle w:val="Hyperlink"/>
            <w:rFonts w:ascii="Georgia" w:hAnsi="Georgia"/>
            <w:color w:val="auto"/>
            <w:sz w:val="16"/>
            <w:szCs w:val="16"/>
          </w:rPr>
          <w:t>https://search.coe.int/cm/Pages/result_details.aspx?ObjectId=09000016805c5ea5</w:t>
        </w:r>
      </w:hyperlink>
    </w:p>
  </w:footnote>
  <w:footnote w:id="17">
    <w:p w:rsidR="00E06013" w:rsidRPr="00911780" w:rsidRDefault="00E06013" w:rsidP="0082140E">
      <w:pPr>
        <w:pStyle w:val="NoSpacing"/>
        <w:jc w:val="both"/>
        <w:rPr>
          <w:rFonts w:ascii="Georgia" w:hAnsi="Georgia"/>
          <w:sz w:val="16"/>
          <w:szCs w:val="16"/>
        </w:rPr>
      </w:pPr>
      <w:r w:rsidRPr="00911780">
        <w:rPr>
          <w:rStyle w:val="FootnoteReference"/>
          <w:rFonts w:ascii="Georgia" w:hAnsi="Georgia"/>
          <w:sz w:val="16"/>
          <w:szCs w:val="16"/>
        </w:rPr>
        <w:footnoteRef/>
      </w:r>
      <w:r w:rsidRPr="00911780">
        <w:rPr>
          <w:rFonts w:ascii="Georgia" w:hAnsi="Georgia"/>
          <w:sz w:val="16"/>
          <w:szCs w:val="16"/>
        </w:rPr>
        <w:t xml:space="preserve"> </w:t>
      </w:r>
      <w:hyperlink r:id="rId12" w:history="1">
        <w:r w:rsidRPr="00911780">
          <w:rPr>
            <w:rStyle w:val="Hyperlink"/>
            <w:rFonts w:ascii="Georgia" w:hAnsi="Georgia"/>
            <w:color w:val="auto"/>
            <w:sz w:val="16"/>
            <w:szCs w:val="16"/>
          </w:rPr>
          <w:t>https://eur-lex.europa.eu/legal-content/en/TXT/?uri=CELEX%3A32019L1937</w:t>
        </w:r>
      </w:hyperlink>
    </w:p>
  </w:footnote>
  <w:footnote w:id="18">
    <w:p w:rsidR="00E06013" w:rsidRPr="00911780" w:rsidRDefault="00E06013" w:rsidP="0082140E">
      <w:pPr>
        <w:pStyle w:val="NoSpacing"/>
        <w:jc w:val="both"/>
        <w:rPr>
          <w:rFonts w:ascii="Georgia" w:hAnsi="Georgia"/>
          <w:sz w:val="16"/>
          <w:szCs w:val="16"/>
        </w:rPr>
      </w:pPr>
      <w:r w:rsidRPr="00911780">
        <w:rPr>
          <w:rStyle w:val="FootnoteReference"/>
          <w:rFonts w:ascii="Georgia" w:hAnsi="Georgia"/>
          <w:sz w:val="16"/>
          <w:szCs w:val="16"/>
        </w:rPr>
        <w:footnoteRef/>
      </w:r>
      <w:r w:rsidRPr="00911780">
        <w:rPr>
          <w:rFonts w:ascii="Georgia" w:hAnsi="Georgia"/>
          <w:sz w:val="16"/>
          <w:szCs w:val="16"/>
        </w:rPr>
        <w:t xml:space="preserve"> </w:t>
      </w:r>
      <w:hyperlink r:id="rId13" w:history="1">
        <w:r w:rsidRPr="00911780">
          <w:rPr>
            <w:rStyle w:val="Hyperlink"/>
            <w:rFonts w:ascii="Georgia" w:hAnsi="Georgia"/>
            <w:color w:val="auto"/>
            <w:sz w:val="16"/>
            <w:szCs w:val="16"/>
          </w:rPr>
          <w:t>http://ëëë.transparency.org/ëhatëedo/publication/international_principles_for_ëhis</w:t>
        </w:r>
      </w:hyperlink>
    </w:p>
  </w:footnote>
  <w:footnote w:id="19">
    <w:p w:rsidR="00E06013" w:rsidRPr="00911780" w:rsidRDefault="00E06013" w:rsidP="0082140E">
      <w:pPr>
        <w:pStyle w:val="NoSpacing"/>
        <w:jc w:val="both"/>
        <w:rPr>
          <w:rFonts w:ascii="Georgia" w:hAnsi="Georgia"/>
          <w:sz w:val="16"/>
          <w:szCs w:val="16"/>
        </w:rPr>
      </w:pPr>
      <w:r w:rsidRPr="00911780">
        <w:rPr>
          <w:rStyle w:val="FootnoteReference"/>
          <w:rFonts w:ascii="Georgia" w:hAnsi="Georgia"/>
          <w:sz w:val="16"/>
          <w:szCs w:val="16"/>
        </w:rPr>
        <w:footnoteRef/>
      </w:r>
      <w:r w:rsidRPr="00911780">
        <w:rPr>
          <w:rFonts w:ascii="Georgia" w:hAnsi="Georgia"/>
          <w:sz w:val="16"/>
          <w:szCs w:val="16"/>
        </w:rPr>
        <w:t xml:space="preserve"> For more see “Breaking the Silence: Enhancing Ëhistlebloëing Policies and Culture in the Ëestern Balkans and Moldova”, Mark Ëorth and Tom Devine, RAI-SEE, 2021. Available at: </w:t>
      </w:r>
      <w:hyperlink r:id="rId14" w:history="1">
        <w:r w:rsidRPr="00911780">
          <w:rPr>
            <w:rStyle w:val="Hyperlink"/>
            <w:rFonts w:ascii="Georgia" w:hAnsi="Georgia"/>
            <w:color w:val="auto"/>
            <w:sz w:val="16"/>
            <w:szCs w:val="16"/>
          </w:rPr>
          <w:t>https://rai-see.org/ëhat-ëe-do/ëhistlebloëing2/ëhistlebloëing-platform/ëb-library/</w:t>
        </w:r>
      </w:hyperlink>
    </w:p>
  </w:footnote>
  <w:footnote w:id="20">
    <w:p w:rsidR="00E06013" w:rsidRPr="00911780" w:rsidRDefault="00E06013" w:rsidP="0082140E">
      <w:pPr>
        <w:pStyle w:val="NoSpacing"/>
        <w:jc w:val="both"/>
        <w:rPr>
          <w:rFonts w:ascii="Georgia" w:hAnsi="Georgia"/>
          <w:sz w:val="16"/>
          <w:szCs w:val="16"/>
        </w:rPr>
      </w:pPr>
      <w:r w:rsidRPr="00911780">
        <w:rPr>
          <w:rStyle w:val="FootnoteReference"/>
          <w:rFonts w:ascii="Georgia" w:hAnsi="Georgia"/>
          <w:sz w:val="16"/>
          <w:szCs w:val="16"/>
        </w:rPr>
        <w:footnoteRef/>
      </w:r>
      <w:r w:rsidRPr="00911780">
        <w:rPr>
          <w:rFonts w:ascii="Georgia" w:hAnsi="Georgia"/>
          <w:sz w:val="16"/>
          <w:szCs w:val="16"/>
        </w:rPr>
        <w:t xml:space="preserve"> 2021 Rule of Laë Report The rule of laë situation in the European Union. Country Chapter on the Rule of Laë in Bulgaria. Page 15</w:t>
      </w:r>
    </w:p>
  </w:footnote>
  <w:footnote w:id="21">
    <w:p w:rsidR="00E06013" w:rsidRPr="00911780" w:rsidRDefault="00E06013" w:rsidP="0082140E">
      <w:pPr>
        <w:pStyle w:val="NoSpacing"/>
        <w:jc w:val="both"/>
        <w:rPr>
          <w:rFonts w:ascii="Georgia" w:hAnsi="Georgia"/>
          <w:sz w:val="16"/>
          <w:szCs w:val="16"/>
        </w:rPr>
      </w:pPr>
      <w:r w:rsidRPr="00911780">
        <w:rPr>
          <w:rStyle w:val="FootnoteReference"/>
          <w:rFonts w:ascii="Georgia" w:hAnsi="Georgia"/>
          <w:sz w:val="16"/>
          <w:szCs w:val="16"/>
        </w:rPr>
        <w:footnoteRef/>
      </w:r>
      <w:r w:rsidRPr="00911780">
        <w:rPr>
          <w:rFonts w:ascii="Georgia" w:hAnsi="Georgia"/>
          <w:sz w:val="16"/>
          <w:szCs w:val="16"/>
        </w:rPr>
        <w:t xml:space="preserve"> 2021 Rule of Laë Report The rule of laë situation in the European Union. Country Chapter on the Rule of Laë in Czechia. Page 11.</w:t>
      </w:r>
    </w:p>
  </w:footnote>
  <w:footnote w:id="22">
    <w:p w:rsidR="00E06013" w:rsidRPr="00911780" w:rsidRDefault="00E06013" w:rsidP="0082140E">
      <w:pPr>
        <w:pStyle w:val="NoSpacing"/>
        <w:jc w:val="both"/>
        <w:rPr>
          <w:rFonts w:ascii="Georgia" w:hAnsi="Georgia"/>
          <w:sz w:val="16"/>
          <w:szCs w:val="16"/>
        </w:rPr>
      </w:pPr>
      <w:r w:rsidRPr="00911780">
        <w:rPr>
          <w:rStyle w:val="FootnoteReference"/>
          <w:rFonts w:ascii="Georgia" w:hAnsi="Georgia"/>
          <w:sz w:val="16"/>
          <w:szCs w:val="16"/>
        </w:rPr>
        <w:footnoteRef/>
      </w:r>
      <w:r w:rsidRPr="00911780">
        <w:rPr>
          <w:rFonts w:ascii="Georgia" w:hAnsi="Georgia"/>
          <w:sz w:val="16"/>
          <w:szCs w:val="16"/>
        </w:rPr>
        <w:t xml:space="preserve"> 2021 Rule of Laë Report The rule of laë situation in the European Union. Country Chapter on the Rule of Laë in Greece. Page 9.</w:t>
      </w:r>
    </w:p>
  </w:footnote>
  <w:footnote w:id="23">
    <w:p w:rsidR="00E06013" w:rsidRPr="00911780" w:rsidRDefault="00E06013" w:rsidP="0082140E">
      <w:pPr>
        <w:pStyle w:val="NoSpacing"/>
        <w:jc w:val="both"/>
        <w:rPr>
          <w:rFonts w:ascii="Georgia" w:hAnsi="Georgia"/>
          <w:sz w:val="16"/>
          <w:szCs w:val="16"/>
        </w:rPr>
      </w:pPr>
      <w:r w:rsidRPr="00911780">
        <w:rPr>
          <w:rStyle w:val="FootnoteReference"/>
          <w:rFonts w:ascii="Georgia" w:hAnsi="Georgia"/>
          <w:sz w:val="16"/>
          <w:szCs w:val="16"/>
        </w:rPr>
        <w:footnoteRef/>
      </w:r>
      <w:r w:rsidRPr="00911780">
        <w:rPr>
          <w:rFonts w:ascii="Georgia" w:hAnsi="Georgia"/>
          <w:sz w:val="16"/>
          <w:szCs w:val="16"/>
        </w:rPr>
        <w:t xml:space="preserve"> 2021 Rule of Laë Report The rule of laë situation in the European Union. Country Chapter on the Rule of Laë in Italy. Page 11</w:t>
      </w:r>
    </w:p>
  </w:footnote>
  <w:footnote w:id="24">
    <w:p w:rsidR="00E06013" w:rsidRPr="00911780" w:rsidRDefault="00E06013" w:rsidP="0082140E">
      <w:pPr>
        <w:pStyle w:val="NoSpacing"/>
        <w:jc w:val="both"/>
        <w:rPr>
          <w:rFonts w:ascii="Georgia" w:hAnsi="Georgia"/>
          <w:sz w:val="16"/>
          <w:szCs w:val="16"/>
        </w:rPr>
      </w:pPr>
      <w:r w:rsidRPr="00911780">
        <w:rPr>
          <w:rStyle w:val="FootnoteReference"/>
          <w:rFonts w:ascii="Georgia" w:hAnsi="Georgia"/>
          <w:sz w:val="16"/>
          <w:szCs w:val="16"/>
        </w:rPr>
        <w:footnoteRef/>
      </w:r>
      <w:r w:rsidRPr="00911780">
        <w:rPr>
          <w:rFonts w:ascii="Georgia" w:hAnsi="Georgia"/>
          <w:sz w:val="16"/>
          <w:szCs w:val="16"/>
        </w:rPr>
        <w:t xml:space="preserve"> 2021 Rule of Laë Report The rule of laë situation in the European Union. Country Chapter on the Rule of Laë in Slovakia. Page 13</w:t>
      </w:r>
    </w:p>
  </w:footnote>
  <w:footnote w:id="25">
    <w:p w:rsidR="00E06013" w:rsidRPr="00911780" w:rsidRDefault="00E06013" w:rsidP="0082140E">
      <w:pPr>
        <w:pStyle w:val="NoSpacing"/>
        <w:jc w:val="both"/>
        <w:rPr>
          <w:rFonts w:ascii="Georgia" w:hAnsi="Georgia"/>
          <w:sz w:val="16"/>
          <w:szCs w:val="16"/>
        </w:rPr>
      </w:pPr>
      <w:r w:rsidRPr="00911780">
        <w:rPr>
          <w:rStyle w:val="FootnoteReference"/>
          <w:rFonts w:ascii="Georgia" w:hAnsi="Georgia"/>
          <w:sz w:val="16"/>
          <w:szCs w:val="16"/>
        </w:rPr>
        <w:footnoteRef/>
      </w:r>
      <w:r w:rsidRPr="00911780">
        <w:rPr>
          <w:rFonts w:ascii="Georgia" w:hAnsi="Georgia"/>
          <w:sz w:val="16"/>
          <w:szCs w:val="16"/>
        </w:rPr>
        <w:t xml:space="preserve"> 2021 Rule of Laë Report The rule of laë situation in the European Union. Country Chapter on the Rule of Laë in Croatia. Page 15.</w:t>
      </w:r>
    </w:p>
  </w:footnote>
  <w:footnote w:id="26">
    <w:p w:rsidR="00E06013" w:rsidRPr="00911780" w:rsidRDefault="00E06013" w:rsidP="006C2B89">
      <w:pPr>
        <w:pStyle w:val="NoSpacing"/>
        <w:jc w:val="both"/>
        <w:rPr>
          <w:rFonts w:ascii="Georgia" w:hAnsi="Georgia" w:cstheme="minorBidi"/>
          <w:sz w:val="16"/>
          <w:szCs w:val="16"/>
          <w:lang w:val="it-IT"/>
        </w:rPr>
      </w:pPr>
      <w:r w:rsidRPr="00911780">
        <w:rPr>
          <w:rStyle w:val="FootnoteReference"/>
          <w:rFonts w:ascii="Georgia" w:hAnsi="Georgia" w:cstheme="minorBidi"/>
          <w:sz w:val="16"/>
          <w:szCs w:val="16"/>
          <w:lang w:val="it-IT"/>
        </w:rPr>
        <w:footnoteRef/>
      </w:r>
      <w:r w:rsidRPr="00911780">
        <w:rPr>
          <w:rFonts w:ascii="Georgia" w:hAnsi="Georgia" w:cstheme="minorBidi"/>
          <w:sz w:val="16"/>
          <w:szCs w:val="16"/>
          <w:lang w:val="it-IT"/>
        </w:rPr>
        <w:t xml:space="preserve"> V.Perchinunno (1997), </w:t>
      </w:r>
      <w:r w:rsidRPr="00911780">
        <w:rPr>
          <w:rFonts w:ascii="Georgia" w:hAnsi="Georgia" w:cstheme="minorBidi"/>
          <w:i/>
          <w:sz w:val="16"/>
          <w:szCs w:val="16"/>
          <w:lang w:val="it-IT"/>
        </w:rPr>
        <w:t>Manuale di Procedura Penale</w:t>
      </w:r>
      <w:r w:rsidRPr="00911780">
        <w:rPr>
          <w:rFonts w:ascii="Georgia" w:hAnsi="Georgia" w:cstheme="minorBidi"/>
          <w:sz w:val="16"/>
          <w:szCs w:val="16"/>
          <w:lang w:val="it-IT"/>
        </w:rPr>
        <w:t xml:space="preserve">, Monduzzi editore, sec. ediz., Vol. I, Cap. XVII, </w:t>
      </w:r>
      <w:r w:rsidRPr="00911780">
        <w:rPr>
          <w:rFonts w:ascii="Georgia" w:hAnsi="Georgia" w:cstheme="minorBidi"/>
          <w:i/>
          <w:sz w:val="16"/>
          <w:szCs w:val="16"/>
          <w:lang w:val="it-IT"/>
        </w:rPr>
        <w:t>Premessa</w:t>
      </w:r>
      <w:r w:rsidRPr="00911780">
        <w:rPr>
          <w:rFonts w:ascii="Georgia" w:hAnsi="Georgia" w:cstheme="minorBidi"/>
          <w:sz w:val="16"/>
          <w:szCs w:val="16"/>
          <w:lang w:val="it-IT"/>
        </w:rPr>
        <w:t>.</w:t>
      </w:r>
    </w:p>
  </w:footnote>
  <w:footnote w:id="27">
    <w:p w:rsidR="00E06013" w:rsidRPr="00911780" w:rsidRDefault="00E06013" w:rsidP="006C2B89">
      <w:pPr>
        <w:pStyle w:val="NoSpacing"/>
        <w:jc w:val="both"/>
        <w:rPr>
          <w:rFonts w:ascii="Georgia" w:hAnsi="Georgia" w:cstheme="minorBidi"/>
          <w:sz w:val="16"/>
          <w:szCs w:val="16"/>
          <w:lang w:val="it-IT"/>
        </w:rPr>
      </w:pPr>
      <w:r w:rsidRPr="00911780">
        <w:rPr>
          <w:rStyle w:val="FootnoteReference"/>
          <w:rFonts w:ascii="Georgia" w:hAnsi="Georgia" w:cstheme="minorBidi"/>
          <w:sz w:val="16"/>
          <w:szCs w:val="16"/>
          <w:lang w:val="it-IT"/>
        </w:rPr>
        <w:footnoteRef/>
      </w:r>
      <w:r w:rsidRPr="00911780">
        <w:rPr>
          <w:rFonts w:ascii="Georgia" w:hAnsi="Georgia" w:cstheme="minorBidi"/>
          <w:sz w:val="16"/>
          <w:szCs w:val="16"/>
          <w:lang w:val="it-IT"/>
        </w:rPr>
        <w:t xml:space="preserve"> M.Mercone (2003), </w:t>
      </w:r>
      <w:r w:rsidRPr="00911780">
        <w:rPr>
          <w:rFonts w:ascii="Georgia" w:hAnsi="Georgia" w:cstheme="minorBidi"/>
          <w:i/>
          <w:sz w:val="16"/>
          <w:szCs w:val="16"/>
          <w:lang w:val="it-IT"/>
        </w:rPr>
        <w:t>Diritto Processuale Penale</w:t>
      </w:r>
      <w:r w:rsidRPr="00911780">
        <w:rPr>
          <w:rFonts w:ascii="Georgia" w:hAnsi="Georgia" w:cstheme="minorBidi"/>
          <w:sz w:val="16"/>
          <w:szCs w:val="16"/>
          <w:lang w:val="it-IT"/>
        </w:rPr>
        <w:t xml:space="preserve">, XI ediz., Simone editore, Cap. 33, i </w:t>
      </w:r>
      <w:r w:rsidRPr="00911780">
        <w:rPr>
          <w:rFonts w:ascii="Georgia" w:hAnsi="Georgia" w:cstheme="minorBidi"/>
          <w:i/>
          <w:sz w:val="16"/>
          <w:szCs w:val="16"/>
          <w:lang w:val="it-IT"/>
        </w:rPr>
        <w:t>mezzi di ricerca</w:t>
      </w:r>
      <w:r w:rsidRPr="00911780">
        <w:rPr>
          <w:rFonts w:ascii="Georgia" w:hAnsi="Georgia" w:cstheme="minorBidi"/>
          <w:sz w:val="16"/>
          <w:szCs w:val="16"/>
          <w:lang w:val="it-IT"/>
        </w:rPr>
        <w:t>.</w:t>
      </w:r>
    </w:p>
  </w:footnote>
  <w:footnote w:id="28">
    <w:p w:rsidR="00E06013" w:rsidRPr="00911780" w:rsidRDefault="00E06013" w:rsidP="006C2B89">
      <w:pPr>
        <w:pStyle w:val="NoSpacing"/>
        <w:jc w:val="both"/>
        <w:rPr>
          <w:rFonts w:ascii="Georgia" w:hAnsi="Georgia" w:cstheme="minorBidi"/>
          <w:sz w:val="16"/>
          <w:szCs w:val="16"/>
          <w:lang w:val="it-IT"/>
        </w:rPr>
      </w:pPr>
      <w:r w:rsidRPr="00911780">
        <w:rPr>
          <w:rStyle w:val="FootnoteReference"/>
          <w:rFonts w:ascii="Georgia" w:hAnsi="Georgia" w:cstheme="minorBidi"/>
          <w:sz w:val="16"/>
          <w:szCs w:val="16"/>
          <w:lang w:val="it-IT"/>
        </w:rPr>
        <w:footnoteRef/>
      </w:r>
      <w:r w:rsidRPr="00911780">
        <w:rPr>
          <w:rFonts w:ascii="Georgia" w:hAnsi="Georgia" w:cstheme="minorBidi"/>
          <w:sz w:val="16"/>
          <w:szCs w:val="16"/>
          <w:lang w:val="it-IT"/>
        </w:rPr>
        <w:t xml:space="preserve"> M.Mercone (2003), </w:t>
      </w:r>
      <w:r w:rsidRPr="00911780">
        <w:rPr>
          <w:rFonts w:ascii="Georgia" w:hAnsi="Georgia" w:cstheme="minorBidi"/>
          <w:i/>
          <w:sz w:val="16"/>
          <w:szCs w:val="16"/>
          <w:lang w:val="it-IT"/>
        </w:rPr>
        <w:t>Diritto Processuale Penale</w:t>
      </w:r>
      <w:r w:rsidRPr="00911780">
        <w:rPr>
          <w:rFonts w:ascii="Georgia" w:hAnsi="Georgia" w:cstheme="minorBidi"/>
          <w:sz w:val="16"/>
          <w:szCs w:val="16"/>
          <w:lang w:val="it-IT"/>
        </w:rPr>
        <w:t xml:space="preserve">, XI ediz., Simone editore, Cap. 33, </w:t>
      </w:r>
      <w:r w:rsidRPr="00911780">
        <w:rPr>
          <w:rFonts w:ascii="Georgia" w:hAnsi="Georgia" w:cstheme="minorBidi"/>
          <w:i/>
          <w:sz w:val="16"/>
          <w:szCs w:val="16"/>
          <w:lang w:val="it-IT"/>
        </w:rPr>
        <w:t>Le ispezioni</w:t>
      </w:r>
      <w:r w:rsidRPr="00911780">
        <w:rPr>
          <w:rFonts w:ascii="Georgia" w:hAnsi="Georgia" w:cstheme="minorBidi"/>
          <w:sz w:val="16"/>
          <w:szCs w:val="16"/>
          <w:lang w:val="it-IT"/>
        </w:rPr>
        <w:t>.</w:t>
      </w:r>
    </w:p>
  </w:footnote>
  <w:footnote w:id="29">
    <w:p w:rsidR="00E06013" w:rsidRPr="00911780" w:rsidRDefault="00E06013" w:rsidP="006C2B89">
      <w:pPr>
        <w:pStyle w:val="NoSpacing"/>
        <w:jc w:val="both"/>
        <w:rPr>
          <w:rFonts w:ascii="Georgia" w:hAnsi="Georgia" w:cstheme="minorBidi"/>
          <w:sz w:val="16"/>
          <w:szCs w:val="16"/>
          <w:lang w:val="it-IT"/>
        </w:rPr>
      </w:pPr>
      <w:r w:rsidRPr="00911780">
        <w:rPr>
          <w:rStyle w:val="FootnoteReference"/>
          <w:rFonts w:ascii="Georgia" w:hAnsi="Georgia" w:cstheme="minorBidi"/>
          <w:sz w:val="16"/>
          <w:szCs w:val="16"/>
          <w:lang w:val="it-IT"/>
        </w:rPr>
        <w:footnoteRef/>
      </w:r>
      <w:r w:rsidRPr="00911780">
        <w:rPr>
          <w:rFonts w:ascii="Georgia" w:hAnsi="Georgia" w:cstheme="minorBidi"/>
          <w:sz w:val="16"/>
          <w:szCs w:val="16"/>
          <w:lang w:val="it-IT"/>
        </w:rPr>
        <w:t xml:space="preserve"> D.Siracusano, </w:t>
      </w:r>
      <w:r w:rsidRPr="00911780">
        <w:rPr>
          <w:rFonts w:ascii="Georgia" w:hAnsi="Georgia" w:cstheme="minorBidi"/>
          <w:i/>
          <w:sz w:val="16"/>
          <w:szCs w:val="16"/>
          <w:lang w:val="it-IT"/>
        </w:rPr>
        <w:t>Diritto Processuale Penale</w:t>
      </w:r>
      <w:r w:rsidRPr="00911780">
        <w:rPr>
          <w:rFonts w:ascii="Georgia" w:hAnsi="Georgia" w:cstheme="minorBidi"/>
          <w:sz w:val="16"/>
          <w:szCs w:val="16"/>
          <w:lang w:val="it-IT"/>
        </w:rPr>
        <w:t xml:space="preserve">, nuova ediz. 2004, Giuffrè editore, Vol. primo, Le Prove, Capitolo Secondo, </w:t>
      </w:r>
      <w:r w:rsidRPr="00911780">
        <w:rPr>
          <w:rFonts w:ascii="Georgia" w:hAnsi="Georgia" w:cstheme="minorBidi"/>
          <w:i/>
          <w:sz w:val="16"/>
          <w:szCs w:val="16"/>
          <w:lang w:val="it-IT"/>
        </w:rPr>
        <w:t>Le ispezioni</w:t>
      </w:r>
      <w:r w:rsidRPr="00911780">
        <w:rPr>
          <w:rFonts w:ascii="Georgia" w:hAnsi="Georgia" w:cstheme="minorBidi"/>
          <w:sz w:val="16"/>
          <w:szCs w:val="16"/>
          <w:lang w:val="it-IT"/>
        </w:rPr>
        <w:t>.</w:t>
      </w:r>
    </w:p>
  </w:footnote>
  <w:footnote w:id="30">
    <w:p w:rsidR="00E06013" w:rsidRPr="00911780" w:rsidRDefault="00E06013" w:rsidP="006C2B89">
      <w:pPr>
        <w:pStyle w:val="NoSpacing"/>
        <w:jc w:val="both"/>
        <w:rPr>
          <w:rFonts w:ascii="Georgia" w:hAnsi="Georgia" w:cstheme="minorBidi"/>
          <w:sz w:val="16"/>
          <w:szCs w:val="16"/>
          <w:lang w:val="it-IT"/>
        </w:rPr>
      </w:pPr>
      <w:r w:rsidRPr="00911780">
        <w:rPr>
          <w:rStyle w:val="FootnoteReference"/>
          <w:rFonts w:ascii="Georgia" w:hAnsi="Georgia" w:cstheme="minorBidi"/>
          <w:sz w:val="16"/>
          <w:szCs w:val="16"/>
          <w:lang w:val="it-IT"/>
        </w:rPr>
        <w:footnoteRef/>
      </w:r>
      <w:r w:rsidRPr="00911780">
        <w:rPr>
          <w:rFonts w:ascii="Georgia" w:hAnsi="Georgia" w:cstheme="minorBidi"/>
          <w:sz w:val="16"/>
          <w:szCs w:val="16"/>
          <w:lang w:val="it-IT"/>
        </w:rPr>
        <w:t xml:space="preserve"> V.Perchinunno (1997), </w:t>
      </w:r>
      <w:r w:rsidRPr="00911780">
        <w:rPr>
          <w:rFonts w:ascii="Georgia" w:hAnsi="Georgia" w:cstheme="minorBidi"/>
          <w:i/>
          <w:sz w:val="16"/>
          <w:szCs w:val="16"/>
          <w:lang w:val="it-IT"/>
        </w:rPr>
        <w:t>Manuale di Procedura Penale</w:t>
      </w:r>
      <w:r w:rsidRPr="00911780">
        <w:rPr>
          <w:rFonts w:ascii="Georgia" w:hAnsi="Georgia" w:cstheme="minorBidi"/>
          <w:sz w:val="16"/>
          <w:szCs w:val="16"/>
          <w:lang w:val="it-IT"/>
        </w:rPr>
        <w:t xml:space="preserve">, Monduzzi editore, sec. ediz., Vol. I, Cap. XVII, </w:t>
      </w:r>
      <w:r w:rsidRPr="00911780">
        <w:rPr>
          <w:rFonts w:ascii="Georgia" w:hAnsi="Georgia" w:cstheme="minorBidi"/>
          <w:i/>
          <w:sz w:val="16"/>
          <w:szCs w:val="16"/>
          <w:lang w:val="it-IT"/>
        </w:rPr>
        <w:t>Il sequestro</w:t>
      </w:r>
      <w:r w:rsidRPr="00911780">
        <w:rPr>
          <w:rFonts w:ascii="Georgia" w:hAnsi="Georgia" w:cstheme="minorBidi"/>
          <w:sz w:val="16"/>
          <w:szCs w:val="16"/>
          <w:lang w:val="it-IT"/>
        </w:rPr>
        <w:t>.</w:t>
      </w:r>
    </w:p>
  </w:footnote>
  <w:footnote w:id="31">
    <w:p w:rsidR="00E06013" w:rsidRPr="00911780" w:rsidRDefault="00E06013" w:rsidP="006C2B89">
      <w:pPr>
        <w:pStyle w:val="NoSpacing"/>
        <w:jc w:val="both"/>
        <w:rPr>
          <w:rFonts w:ascii="Georgia" w:hAnsi="Georgia" w:cstheme="minorBidi"/>
          <w:sz w:val="16"/>
          <w:szCs w:val="16"/>
          <w:lang w:val="it-IT"/>
        </w:rPr>
      </w:pPr>
      <w:r w:rsidRPr="00911780">
        <w:rPr>
          <w:rStyle w:val="FootnoteReference"/>
          <w:rFonts w:ascii="Georgia" w:hAnsi="Georgia" w:cstheme="minorBidi"/>
          <w:sz w:val="16"/>
          <w:szCs w:val="16"/>
          <w:lang w:val="it-IT"/>
        </w:rPr>
        <w:footnoteRef/>
      </w:r>
      <w:r w:rsidRPr="00911780">
        <w:rPr>
          <w:rFonts w:ascii="Georgia" w:hAnsi="Georgia" w:cstheme="minorBidi"/>
          <w:sz w:val="16"/>
          <w:szCs w:val="16"/>
          <w:lang w:val="it-IT"/>
        </w:rPr>
        <w:t xml:space="preserve"> Duke qenë se, ‘sendet që kanë shërbyer si mjete për realizimin e veprës penale’ ashtu dhe ‘produktet e veprës penale’, janë prova materiale (neni 187 Kpp) dhe njëkohësisht janë sende të konfiskueshme (shkronja ‘a’ &amp; ‘b’, §1, neni 36 kPenal), rrjedh që të sekuestrueshën për qëllim prove (neni 208 Kpp) janë sendet e konfiskueshme.  Për këtë sendet e konfiskueshme janë si objekt i ‘sekuestros </w:t>
      </w:r>
      <w:r w:rsidRPr="00911780">
        <w:rPr>
          <w:rFonts w:ascii="Georgia" w:hAnsi="Georgia" w:cstheme="minorBidi"/>
          <w:i/>
          <w:sz w:val="16"/>
          <w:szCs w:val="16"/>
          <w:lang w:val="it-IT"/>
        </w:rPr>
        <w:t>provuese</w:t>
      </w:r>
      <w:r w:rsidRPr="00911780">
        <w:rPr>
          <w:rFonts w:ascii="Georgia" w:hAnsi="Georgia" w:cstheme="minorBidi"/>
          <w:sz w:val="16"/>
          <w:szCs w:val="16"/>
          <w:lang w:val="it-IT"/>
        </w:rPr>
        <w:t xml:space="preserve">’ ashtu dhe objekt i ‘sekuestros </w:t>
      </w:r>
      <w:r w:rsidRPr="00911780">
        <w:rPr>
          <w:rFonts w:ascii="Georgia" w:hAnsi="Georgia" w:cstheme="minorBidi"/>
          <w:i/>
          <w:sz w:val="16"/>
          <w:szCs w:val="16"/>
          <w:lang w:val="it-IT"/>
        </w:rPr>
        <w:t>preventive</w:t>
      </w:r>
      <w:r w:rsidRPr="00911780">
        <w:rPr>
          <w:rFonts w:ascii="Georgia" w:hAnsi="Georgia" w:cstheme="minorBidi"/>
          <w:sz w:val="16"/>
          <w:szCs w:val="16"/>
          <w:lang w:val="it-IT"/>
        </w:rPr>
        <w:t xml:space="preserve">’ funksionale.  Kështu, nëse sendi është ‘sekuestruar’ për qëllime provuese nga </w:t>
      </w:r>
      <w:r w:rsidRPr="00911780">
        <w:rPr>
          <w:rFonts w:ascii="Georgia" w:hAnsi="Georgia" w:cstheme="minorBidi"/>
          <w:sz w:val="16"/>
          <w:szCs w:val="16"/>
        </w:rPr>
        <w:t>o.p.gj.</w:t>
      </w:r>
      <w:r w:rsidRPr="00911780">
        <w:rPr>
          <w:rFonts w:ascii="Georgia" w:hAnsi="Georgia" w:cstheme="minorBidi"/>
          <w:sz w:val="16"/>
          <w:szCs w:val="16"/>
          <w:lang w:val="it-IT"/>
        </w:rPr>
        <w:t xml:space="preserve"> i vleftësuar nga prokurori (neni 208 Kpp) të cilët sidoqoftë nuk kanë funksion gjyqësor</w:t>
      </w:r>
      <w:r w:rsidRPr="00911780">
        <w:rPr>
          <w:rFonts w:ascii="Georgia" w:hAnsi="Georgia" w:cstheme="minorBidi"/>
          <w:i/>
          <w:sz w:val="16"/>
          <w:szCs w:val="16"/>
          <w:lang w:val="it-IT"/>
        </w:rPr>
        <w:t>/non iudice</w:t>
      </w:r>
      <w:r w:rsidRPr="00911780">
        <w:rPr>
          <w:rFonts w:ascii="Georgia" w:hAnsi="Georgia" w:cstheme="minorBidi"/>
          <w:sz w:val="16"/>
          <w:szCs w:val="16"/>
          <w:lang w:val="it-IT"/>
        </w:rPr>
        <w:t xml:space="preserve"> dhe kështu të paaftë për të emetuar kufizim të së drejtës së pronësisë vetjake të kujdo lloji dhe njëkohësisht ai (sendi) ka vlera ekonomike dhe duhet të shmanget nga disponimi i lirë i pronarit të tij, ‘sekuestro provuese’ duhet të pasohet nga ‘sekuestro preventive’, e cila mbi bazën e kërkesës së prokurorit, pashmangshmërisht caktohet nga organi gjyqësor i pajisur me një të pushtet të tillë dhe kështu i vlefshëm si titull legjitimues i mosdisponimit të pronarit.  E drejta e pronësisë private mbi sendin është e garantuar (§1, neni 41 Kusht.), ligji mund të parashikojë kufizime të ushtrimit të së drejtës vetëm për interesa publik (§3, neni 41 Kusht.), nga ku prona nuk mund të cenohen pa një proces të rregullt ligjor (§1, neni 42 Kusht.).  Për çka, ndonëse prokurorit i lejohet me ligj të vendosë sekuestron provuese (neni 208 Kpp), atij i mungon funksioni gjyqësor i përmbushur në procesin gjyqësor nga gjyqtari.  Për këtë, si sende të cilat mund t’i nënshtrohen sekuestros provuese nën regjimin e ‘ruajtjes’, pra jashtë disponimit të lirë nga ai që të drejta reale apo detyrimi ka mbi to, janë vetëm ato sende, mosdisponimi i të cilave nuk formon cënim apo kufizim të ushtrimit të së drejtës së pronësisë.  Në të kundërt, ndaj tyre duhet të vendoset domosdoshmërish ‘sekuestro preventive’, si titull i aftë dhe i përputhur kushtetutshmërisht, e cila duke siguruar/garantuar të drejtat e pronësisë i ekuilibron ato me nevojat për mbrojtjen sociale.  Është kjo arsyeja që në rastin e ‘sekuestros provuese’ është disiplinuar si ‘kopja’ e dokumenteve (neni 213 Kpp) ashtu dhe ‘kthimi i sendeve’ (neni 217 Kpp), nga ku shmanget mundësia e kufizimit të ushtrimit të lirë të pronësisë.</w:t>
      </w:r>
    </w:p>
  </w:footnote>
  <w:footnote w:id="32">
    <w:p w:rsidR="00E06013" w:rsidRPr="00911780" w:rsidRDefault="00E06013" w:rsidP="006C2B89">
      <w:pPr>
        <w:pStyle w:val="NoSpacing"/>
        <w:jc w:val="both"/>
        <w:rPr>
          <w:rFonts w:ascii="Georgia" w:hAnsi="Georgia" w:cstheme="minorBidi"/>
          <w:sz w:val="16"/>
          <w:szCs w:val="16"/>
          <w:lang w:val="it-IT"/>
        </w:rPr>
      </w:pPr>
      <w:r w:rsidRPr="00911780">
        <w:rPr>
          <w:rStyle w:val="FootnoteReference"/>
          <w:rFonts w:ascii="Georgia" w:hAnsi="Georgia" w:cstheme="minorBidi"/>
          <w:sz w:val="16"/>
          <w:szCs w:val="16"/>
          <w:lang w:val="it-IT"/>
        </w:rPr>
        <w:footnoteRef/>
      </w:r>
      <w:r w:rsidRPr="00911780">
        <w:rPr>
          <w:rFonts w:ascii="Georgia" w:hAnsi="Georgia" w:cstheme="minorBidi"/>
          <w:sz w:val="16"/>
          <w:szCs w:val="16"/>
          <w:lang w:val="it-IT"/>
        </w:rPr>
        <w:t xml:space="preserve"> M.Mercone (2003), </w:t>
      </w:r>
      <w:r w:rsidRPr="00911780">
        <w:rPr>
          <w:rFonts w:ascii="Georgia" w:hAnsi="Georgia" w:cstheme="minorBidi"/>
          <w:i/>
          <w:sz w:val="16"/>
          <w:szCs w:val="16"/>
          <w:lang w:val="it-IT"/>
        </w:rPr>
        <w:t>Diritto Processuale Penale</w:t>
      </w:r>
      <w:r w:rsidRPr="00911780">
        <w:rPr>
          <w:rFonts w:ascii="Georgia" w:hAnsi="Georgia" w:cstheme="minorBidi"/>
          <w:sz w:val="16"/>
          <w:szCs w:val="16"/>
          <w:lang w:val="it-IT"/>
        </w:rPr>
        <w:t xml:space="preserve">, XI ediz., Simone editore, Cap. 33, </w:t>
      </w:r>
      <w:r w:rsidRPr="00911780">
        <w:rPr>
          <w:rFonts w:ascii="Georgia" w:hAnsi="Georgia" w:cstheme="minorBidi"/>
          <w:i/>
          <w:sz w:val="16"/>
          <w:szCs w:val="16"/>
          <w:lang w:val="it-IT"/>
        </w:rPr>
        <w:t>Le intercettazioni</w:t>
      </w:r>
      <w:r w:rsidRPr="00911780">
        <w:rPr>
          <w:rFonts w:ascii="Georgia" w:hAnsi="Georgia" w:cstheme="minorBidi"/>
          <w:sz w:val="16"/>
          <w:szCs w:val="16"/>
          <w:lang w:val="it-IT"/>
        </w:rPr>
        <w:t>.</w:t>
      </w:r>
    </w:p>
  </w:footnote>
  <w:footnote w:id="33">
    <w:p w:rsidR="00E06013" w:rsidRPr="00911780" w:rsidRDefault="00E06013" w:rsidP="006C2B89">
      <w:pPr>
        <w:pStyle w:val="FootnoteText"/>
        <w:jc w:val="both"/>
        <w:rPr>
          <w:rFonts w:ascii="Georgia" w:hAnsi="Georgia"/>
          <w:sz w:val="16"/>
          <w:szCs w:val="16"/>
          <w:lang w:val="it-IT"/>
        </w:rPr>
      </w:pPr>
      <w:r w:rsidRPr="00911780">
        <w:rPr>
          <w:rStyle w:val="FootnoteReference"/>
          <w:rFonts w:ascii="Georgia" w:hAnsi="Georgia"/>
          <w:sz w:val="16"/>
          <w:szCs w:val="16"/>
          <w:lang w:val="it-IT"/>
        </w:rPr>
        <w:footnoteRef/>
      </w:r>
      <w:r w:rsidRPr="00911780">
        <w:rPr>
          <w:rFonts w:ascii="Georgia" w:hAnsi="Georgia"/>
          <w:sz w:val="16"/>
          <w:szCs w:val="16"/>
          <w:lang w:val="it-IT"/>
        </w:rPr>
        <w:t xml:space="preserve"> Po aty.</w:t>
      </w:r>
    </w:p>
  </w:footnote>
  <w:footnote w:id="34">
    <w:p w:rsidR="00E06013" w:rsidRPr="00911780" w:rsidRDefault="00E06013" w:rsidP="006C2B89">
      <w:pPr>
        <w:pStyle w:val="NoSpacing"/>
        <w:jc w:val="both"/>
        <w:rPr>
          <w:rFonts w:ascii="Georgia" w:hAnsi="Georgia" w:cstheme="minorBidi"/>
          <w:sz w:val="16"/>
          <w:szCs w:val="16"/>
          <w:lang w:val="it-IT"/>
        </w:rPr>
      </w:pPr>
      <w:r w:rsidRPr="00911780">
        <w:rPr>
          <w:rStyle w:val="FootnoteReference"/>
          <w:rFonts w:ascii="Georgia" w:hAnsi="Georgia" w:cstheme="minorBidi"/>
          <w:sz w:val="16"/>
          <w:szCs w:val="16"/>
          <w:lang w:val="it-IT"/>
        </w:rPr>
        <w:footnoteRef/>
      </w:r>
      <w:r w:rsidRPr="00911780">
        <w:rPr>
          <w:rFonts w:ascii="Georgia" w:hAnsi="Georgia" w:cstheme="minorBidi"/>
          <w:sz w:val="16"/>
          <w:szCs w:val="16"/>
          <w:lang w:val="it-IT"/>
        </w:rPr>
        <w:t xml:space="preserve"> «Nel caso in cui la persona sottoposta ad intercettazione, sullo steso apparecchio cellulare, cambia la scheda, il P.M.  può disporre l’intercettazione sulla nuova utenza, senza necessità di nuova autorizzazione del g.i.p. -Cass. IV, 1-10-2000, n.4046;  Cass. IV, 3-5-2001, n.17832» – M.Mercone (2003), </w:t>
      </w:r>
      <w:r w:rsidRPr="00911780">
        <w:rPr>
          <w:rFonts w:ascii="Georgia" w:hAnsi="Georgia" w:cstheme="minorBidi"/>
          <w:i/>
          <w:sz w:val="16"/>
          <w:szCs w:val="16"/>
          <w:lang w:val="it-IT"/>
        </w:rPr>
        <w:t>Diritto Processuale Penale</w:t>
      </w:r>
      <w:r w:rsidRPr="00911780">
        <w:rPr>
          <w:rFonts w:ascii="Georgia" w:hAnsi="Georgia" w:cstheme="minorBidi"/>
          <w:sz w:val="16"/>
          <w:szCs w:val="16"/>
          <w:lang w:val="it-IT"/>
        </w:rPr>
        <w:t xml:space="preserve">, XI ediz., Simone editore, Cap. 33, </w:t>
      </w:r>
      <w:r w:rsidRPr="00911780">
        <w:rPr>
          <w:rFonts w:ascii="Georgia" w:hAnsi="Georgia" w:cstheme="minorBidi"/>
          <w:i/>
          <w:sz w:val="16"/>
          <w:szCs w:val="16"/>
          <w:lang w:val="it-IT"/>
        </w:rPr>
        <w:t>Le intercettazioni</w:t>
      </w:r>
      <w:r w:rsidRPr="00911780">
        <w:rPr>
          <w:rFonts w:ascii="Georgia" w:hAnsi="Georgia" w:cstheme="minorBidi"/>
          <w:sz w:val="16"/>
          <w:szCs w:val="16"/>
          <w:lang w:val="it-IT"/>
        </w:rPr>
        <w:t>.</w:t>
      </w:r>
    </w:p>
  </w:footnote>
  <w:footnote w:id="35">
    <w:p w:rsidR="00E06013" w:rsidRPr="009E26B7" w:rsidRDefault="00E06013" w:rsidP="00810287">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V.Perchinunno (1997), </w:t>
      </w:r>
      <w:r w:rsidRPr="009E26B7">
        <w:rPr>
          <w:rFonts w:ascii="Arial" w:hAnsi="Arial" w:cs="Arial"/>
          <w:i/>
          <w:sz w:val="12"/>
          <w:szCs w:val="12"/>
          <w:lang w:val="it-IT"/>
        </w:rPr>
        <w:t>Manuale di Procedura Penale</w:t>
      </w:r>
      <w:r w:rsidRPr="009E26B7">
        <w:rPr>
          <w:rFonts w:ascii="Arial" w:hAnsi="Arial" w:cs="Arial"/>
          <w:sz w:val="12"/>
          <w:szCs w:val="12"/>
          <w:lang w:val="it-IT"/>
        </w:rPr>
        <w:t xml:space="preserve">, Monduzzi editore, sec. ediz., Vol. I, Cap. XV, </w:t>
      </w:r>
      <w:r w:rsidRPr="009E26B7">
        <w:rPr>
          <w:rFonts w:ascii="Arial" w:hAnsi="Arial" w:cs="Arial"/>
          <w:i/>
          <w:sz w:val="12"/>
          <w:szCs w:val="12"/>
          <w:lang w:val="it-IT"/>
        </w:rPr>
        <w:t>Premessa</w:t>
      </w:r>
      <w:r w:rsidRPr="009E26B7">
        <w:rPr>
          <w:rFonts w:ascii="Arial" w:hAnsi="Arial" w:cs="Arial"/>
          <w:sz w:val="12"/>
          <w:szCs w:val="12"/>
          <w:lang w:val="it-IT"/>
        </w:rPr>
        <w:t>.</w:t>
      </w:r>
    </w:p>
  </w:footnote>
  <w:footnote w:id="36">
    <w:p w:rsidR="00E06013" w:rsidRPr="009E26B7" w:rsidRDefault="00E06013" w:rsidP="00810287">
      <w:pPr>
        <w:pStyle w:val="FootnoteText"/>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Po aty.</w:t>
      </w:r>
    </w:p>
  </w:footnote>
  <w:footnote w:id="37">
    <w:p w:rsidR="00E06013" w:rsidRPr="009E26B7" w:rsidRDefault="00E06013" w:rsidP="00810287">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«Normativa që ka për objekt provën penale ndikohet nga përzgjedhja që mund të veprojë ndërmjet dy sistemeve themelore procesore.  Në sistemin inkuizitor lënda e provës është e rregulluar pak;  në të kundërt në sistemin akuzator prova është objekt i një rregullimi të kujdesshëm dhe depërtues.  Ndryshimi varet nga postulatet mbi të cilët bazohen dy sistemet e kundërt.</w:t>
      </w:r>
    </w:p>
    <w:p w:rsidR="00E06013" w:rsidRPr="009E26B7" w:rsidRDefault="00E06013" w:rsidP="00810287">
      <w:pPr>
        <w:pStyle w:val="NoSpacing"/>
        <w:jc w:val="both"/>
        <w:rPr>
          <w:rFonts w:ascii="Arial" w:hAnsi="Arial" w:cs="Arial"/>
          <w:sz w:val="12"/>
          <w:szCs w:val="12"/>
          <w:lang w:val="it-IT"/>
        </w:rPr>
      </w:pPr>
      <w:r w:rsidRPr="009E26B7">
        <w:rPr>
          <w:rFonts w:ascii="Arial" w:hAnsi="Arial" w:cs="Arial"/>
          <w:sz w:val="12"/>
          <w:szCs w:val="12"/>
          <w:lang w:val="it-IT"/>
        </w:rPr>
        <w:t>Sistemi inkuizitor bazohet mbi parimin e autoritetit, sipas të cilit sa më shumë pushtet ti jepet subjektit hulumtues aq më mirë sqarohet e vërteta.  Tek ai grumbullohen të gjitha funksionet procesore:  ai vepron njëkohësisht si gjykatës, si akuzues dhe si mbrojtës i të pandehurit.  Sa më të gjëra dhe shtrëngues të jenë pushtetet që i atribuohen/jepen, aq më mirë mund të sqarohet e vërteta.</w:t>
      </w:r>
    </w:p>
    <w:p w:rsidR="00E06013" w:rsidRPr="009E26B7" w:rsidRDefault="00E06013" w:rsidP="00810287">
      <w:pPr>
        <w:pStyle w:val="NoSpacing"/>
        <w:jc w:val="both"/>
        <w:rPr>
          <w:rFonts w:ascii="Arial" w:hAnsi="Arial" w:cs="Arial"/>
          <w:sz w:val="12"/>
          <w:szCs w:val="12"/>
          <w:lang w:val="it-IT"/>
        </w:rPr>
      </w:pPr>
      <w:r w:rsidRPr="009E26B7">
        <w:rPr>
          <w:rFonts w:ascii="Arial" w:hAnsi="Arial" w:cs="Arial"/>
          <w:sz w:val="12"/>
          <w:szCs w:val="12"/>
          <w:lang w:val="it-IT"/>
        </w:rPr>
        <w:t>Nga përfitimi i këtij postulati, rrjedh që një subjekti të vetëm i janë dhënë pushtete të plota në kërkimin, marrjen, pranimin dhe vlerësimin e provës;  ky subjekt në histori ka marrë demonizime të ndryshme, nga të cilët më e njohura është ajo e ‘gjykatësit hetues’.  Nuk ka rëndësi nëse është një gjyqtar i vetëm apo një organ kolegjial;  ajo që ka rëndësi është lloji i pushtetit që i është dhënë/atribuar.</w:t>
      </w:r>
    </w:p>
    <w:p w:rsidR="00E06013" w:rsidRPr="009E26B7" w:rsidRDefault="00E06013" w:rsidP="00810287">
      <w:pPr>
        <w:pStyle w:val="NoSpacing"/>
        <w:jc w:val="both"/>
        <w:rPr>
          <w:rFonts w:ascii="Arial" w:hAnsi="Arial" w:cs="Arial"/>
          <w:sz w:val="12"/>
          <w:szCs w:val="12"/>
          <w:lang w:val="it-IT"/>
        </w:rPr>
      </w:pPr>
      <w:r w:rsidRPr="009E26B7">
        <w:rPr>
          <w:rFonts w:ascii="Arial" w:hAnsi="Arial" w:cs="Arial"/>
          <w:sz w:val="12"/>
          <w:szCs w:val="12"/>
          <w:lang w:val="it-IT"/>
        </w:rPr>
        <w:t>Meqenëse në gjykatësin hetues bashkohen të gjitha funksionet që lidhen me procesin, rrjedh që nuk lind nevoja e rregullimit të lëndës mbi provën.  Madje, një rregullim i mundshëm transformohet menjëherë në kufizim të sqarimit të së vërtetës.  Instrumentet e kontrollit, që do të vendoseshin në momentin në të cilin hetuesi ushtron pushtetet e tij, do të tkurrnin efektin.  Kjo do të ishte në kundërshtim me postulatin e sistemit inkuizitor, që imponon maksimumin e pushteteve procesore për të sqaruar sa më mirë të vërtetën.  Në bazë të kësaj filozofie, mund të merret çdo provë me qëllim që ti lejojë hetuesit të sqarojë të vërtetën.</w:t>
      </w:r>
    </w:p>
    <w:p w:rsidR="00E06013" w:rsidRPr="009E26B7" w:rsidRDefault="00E06013" w:rsidP="00810287">
      <w:pPr>
        <w:pStyle w:val="NoSpacing"/>
        <w:jc w:val="both"/>
        <w:rPr>
          <w:rFonts w:ascii="Arial" w:hAnsi="Arial" w:cs="Arial"/>
          <w:sz w:val="12"/>
          <w:szCs w:val="12"/>
          <w:lang w:val="it-IT"/>
        </w:rPr>
      </w:pPr>
      <w:r w:rsidRPr="009E26B7">
        <w:rPr>
          <w:rFonts w:ascii="Arial" w:hAnsi="Arial" w:cs="Arial"/>
          <w:sz w:val="12"/>
          <w:szCs w:val="12"/>
          <w:lang w:val="it-IT"/>
        </w:rPr>
        <w:t>Sistemi akuzator bazohet në një parim të kundërt, ai dialektik.  Mbahet që e vërteta mund të sqarohet më mirë nëse funksionet procesore janë të ndara ndërmjet subjekteve që kanë interesa të kundërta.  Një gjykatësi të paanshëm i përket vetëm të vendosë mbi bazën e provave të kërkuara nga akuza dhe nga mbrojtja.  Veprimtaria përzgjedhëse e gjykatësit ndërmjet rindërtimeve të ndryshme të faktit historik nxitet nga kontradiktoriteti ndërmjet subjekteve shtyrë nga interesa të kundërta.</w:t>
      </w:r>
    </w:p>
    <w:p w:rsidR="00E06013" w:rsidRPr="009E26B7" w:rsidRDefault="00E06013" w:rsidP="00810287">
      <w:pPr>
        <w:pStyle w:val="NoSpacing"/>
        <w:jc w:val="both"/>
        <w:rPr>
          <w:rFonts w:ascii="Arial" w:hAnsi="Arial" w:cs="Arial"/>
          <w:sz w:val="12"/>
          <w:szCs w:val="12"/>
          <w:lang w:val="it-IT"/>
        </w:rPr>
      </w:pPr>
      <w:r w:rsidRPr="009E26B7">
        <w:rPr>
          <w:rFonts w:ascii="Arial" w:hAnsi="Arial" w:cs="Arial"/>
          <w:sz w:val="12"/>
          <w:szCs w:val="12"/>
          <w:lang w:val="it-IT"/>
        </w:rPr>
        <w:t>Pasi pranohet parimi dialektik, rrjedhin disa pasoja në temën e provës.  Pushtetet e kërkimit, marrjes, pranimit dhe vlerësimit të provës nuk mund ti atribuohen një subjekti të vetëm, por duhet të ndahen ndërmjet gjykatësit, akuzës dhe mbrojtjes në mënyrë që të mos abuzojë asnjëri prej tyre.  Në këtë sistem rezulton i pashmangshëm rregullimi i lëndës së provës.</w:t>
      </w:r>
    </w:p>
    <w:p w:rsidR="00E06013" w:rsidRPr="009E26B7" w:rsidRDefault="00E06013" w:rsidP="00810287">
      <w:pPr>
        <w:pStyle w:val="NoSpacing"/>
        <w:jc w:val="both"/>
        <w:rPr>
          <w:rFonts w:ascii="Arial" w:hAnsi="Arial" w:cs="Arial"/>
          <w:sz w:val="12"/>
          <w:szCs w:val="12"/>
          <w:lang w:val="it-IT"/>
        </w:rPr>
      </w:pPr>
      <w:r w:rsidRPr="009E26B7">
        <w:rPr>
          <w:rFonts w:ascii="Arial" w:hAnsi="Arial" w:cs="Arial"/>
          <w:sz w:val="12"/>
          <w:szCs w:val="12"/>
          <w:lang w:val="it-IT"/>
        </w:rPr>
        <w:t xml:space="preserve">Është e domosdoshme që pushtetet e një subjekti të jenë të ballancuar nga ato që i janë atribuar subjekteve të tjera;  duhet që një gjykatës i paanshëm të ketë pushtete që janë të domosdoshëm për të zgjidhur momentet e kundërshtive të pashmangshme ndërmjet dy antagonistëve të procesit penal.  Gjykatësi duhet të mbetet në një situatë psikike absolutisht të paanshme dhe neutrale». -P.Tonini, </w:t>
      </w:r>
      <w:r w:rsidRPr="009E26B7">
        <w:rPr>
          <w:rFonts w:ascii="Arial" w:hAnsi="Arial" w:cs="Arial"/>
          <w:i/>
          <w:sz w:val="12"/>
          <w:szCs w:val="12"/>
          <w:lang w:val="it-IT"/>
        </w:rPr>
        <w:t>Manuale di Procedura Penale</w:t>
      </w:r>
      <w:r w:rsidRPr="009E26B7">
        <w:rPr>
          <w:rFonts w:ascii="Arial" w:hAnsi="Arial" w:cs="Arial"/>
          <w:sz w:val="12"/>
          <w:szCs w:val="12"/>
          <w:lang w:val="it-IT"/>
        </w:rPr>
        <w:t xml:space="preserve">, Tredicesima edizione, Giuffrè Editore – Miano, 2012, Parte seconda, Capitolo III, </w:t>
      </w:r>
      <w:r w:rsidRPr="009E26B7">
        <w:rPr>
          <w:rFonts w:ascii="Arial" w:hAnsi="Arial" w:cs="Arial"/>
          <w:i/>
          <w:sz w:val="12"/>
          <w:szCs w:val="12"/>
          <w:lang w:val="it-IT"/>
        </w:rPr>
        <w:t>Sistema processuale e norme sulla prova.</w:t>
      </w:r>
    </w:p>
  </w:footnote>
  <w:footnote w:id="38">
    <w:p w:rsidR="00E06013" w:rsidRPr="009E26B7" w:rsidRDefault="00E06013" w:rsidP="00810287">
      <w:pPr>
        <w:pStyle w:val="NoSpacing"/>
        <w:jc w:val="both"/>
        <w:rPr>
          <w:rFonts w:ascii="Arial" w:hAnsi="Arial" w:cs="Arial"/>
          <w:i/>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P.Tonini, </w:t>
      </w:r>
      <w:r w:rsidRPr="009E26B7">
        <w:rPr>
          <w:rFonts w:ascii="Arial" w:hAnsi="Arial" w:cs="Arial"/>
          <w:i/>
          <w:sz w:val="12"/>
          <w:szCs w:val="12"/>
          <w:lang w:val="it-IT"/>
        </w:rPr>
        <w:t>Manuale di Procedura Penale</w:t>
      </w:r>
      <w:r w:rsidRPr="009E26B7">
        <w:rPr>
          <w:rFonts w:ascii="Arial" w:hAnsi="Arial" w:cs="Arial"/>
          <w:sz w:val="12"/>
          <w:szCs w:val="12"/>
          <w:lang w:val="it-IT"/>
        </w:rPr>
        <w:t xml:space="preserve">, Tredicesima edizione, Giuffrè Editore – Miano, 2012, Parte seconda. Capitolo III, </w:t>
      </w:r>
      <w:r w:rsidRPr="009E26B7">
        <w:rPr>
          <w:rFonts w:ascii="Arial" w:hAnsi="Arial" w:cs="Arial"/>
          <w:i/>
          <w:sz w:val="12"/>
          <w:szCs w:val="12"/>
          <w:lang w:val="it-IT"/>
        </w:rPr>
        <w:t>Il ragionamento inferenziale: prova e indizio</w:t>
      </w:r>
      <w:r w:rsidRPr="009E26B7">
        <w:rPr>
          <w:rFonts w:ascii="Arial" w:hAnsi="Arial" w:cs="Arial"/>
          <w:sz w:val="12"/>
          <w:szCs w:val="12"/>
          <w:lang w:val="it-IT"/>
        </w:rPr>
        <w:t>.</w:t>
      </w:r>
    </w:p>
  </w:footnote>
  <w:footnote w:id="39">
    <w:p w:rsidR="00E06013" w:rsidRPr="009E26B7" w:rsidRDefault="00E06013" w:rsidP="00810287">
      <w:pPr>
        <w:pStyle w:val="NoSpacing"/>
        <w:jc w:val="both"/>
        <w:rPr>
          <w:rFonts w:ascii="Arial" w:hAnsi="Arial" w:cs="Arial"/>
          <w:sz w:val="12"/>
          <w:szCs w:val="12"/>
          <w:vertAlign w:val="superscript"/>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D.Siracusano, </w:t>
      </w:r>
      <w:r w:rsidRPr="009E26B7">
        <w:rPr>
          <w:rFonts w:ascii="Arial" w:hAnsi="Arial" w:cs="Arial"/>
          <w:i/>
          <w:sz w:val="12"/>
          <w:szCs w:val="12"/>
          <w:lang w:val="it-IT"/>
        </w:rPr>
        <w:t>Diritto Processuale Penale</w:t>
      </w:r>
      <w:r w:rsidRPr="009E26B7">
        <w:rPr>
          <w:rFonts w:ascii="Arial" w:hAnsi="Arial" w:cs="Arial"/>
          <w:sz w:val="12"/>
          <w:szCs w:val="12"/>
          <w:lang w:val="it-IT"/>
        </w:rPr>
        <w:t xml:space="preserve">, nuova ediz. 2004, Giuffrè editore, Vol. primo, Le Prove, Capitolo Primo, </w:t>
      </w:r>
      <w:r w:rsidRPr="009E26B7">
        <w:rPr>
          <w:rFonts w:ascii="Arial" w:hAnsi="Arial" w:cs="Arial"/>
          <w:i/>
          <w:sz w:val="12"/>
          <w:szCs w:val="12"/>
          <w:lang w:val="it-IT"/>
        </w:rPr>
        <w:t>La verifica del tema di prova.  Le richieste di prova</w:t>
      </w:r>
      <w:r w:rsidRPr="009E26B7">
        <w:rPr>
          <w:rFonts w:ascii="Arial" w:hAnsi="Arial" w:cs="Arial"/>
          <w:sz w:val="12"/>
          <w:szCs w:val="12"/>
          <w:lang w:val="it-IT"/>
        </w:rPr>
        <w:t>.</w:t>
      </w:r>
    </w:p>
  </w:footnote>
  <w:footnote w:id="40">
    <w:p w:rsidR="00E06013" w:rsidRPr="009E26B7" w:rsidRDefault="00E06013" w:rsidP="00810287">
      <w:pPr>
        <w:pStyle w:val="NoSpacing"/>
        <w:jc w:val="both"/>
        <w:rPr>
          <w:rFonts w:ascii="Arial" w:hAnsi="Arial" w:cs="Arial"/>
          <w:sz w:val="12"/>
          <w:szCs w:val="12"/>
          <w:vertAlign w:val="superscript"/>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D.Siracusano, </w:t>
      </w:r>
      <w:r w:rsidRPr="009E26B7">
        <w:rPr>
          <w:rFonts w:ascii="Arial" w:hAnsi="Arial" w:cs="Arial"/>
          <w:i/>
          <w:sz w:val="12"/>
          <w:szCs w:val="12"/>
          <w:lang w:val="it-IT"/>
        </w:rPr>
        <w:t>Diritto Processuale Penale</w:t>
      </w:r>
      <w:r w:rsidRPr="009E26B7">
        <w:rPr>
          <w:rFonts w:ascii="Arial" w:hAnsi="Arial" w:cs="Arial"/>
          <w:sz w:val="12"/>
          <w:szCs w:val="12"/>
          <w:lang w:val="it-IT"/>
        </w:rPr>
        <w:t xml:space="preserve">, nuova ediz. 2004, Giuffrè editore, Vol. primo, Le Prove, Capitolo Primo, </w:t>
      </w:r>
      <w:r w:rsidRPr="009E26B7">
        <w:rPr>
          <w:rFonts w:ascii="Arial" w:hAnsi="Arial" w:cs="Arial"/>
          <w:i/>
          <w:sz w:val="12"/>
          <w:szCs w:val="12"/>
          <w:lang w:val="it-IT"/>
        </w:rPr>
        <w:t>La prova diretta e gli indizi</w:t>
      </w:r>
      <w:r w:rsidRPr="009E26B7">
        <w:rPr>
          <w:rFonts w:ascii="Arial" w:hAnsi="Arial" w:cs="Arial"/>
          <w:sz w:val="12"/>
          <w:szCs w:val="12"/>
          <w:lang w:val="it-IT"/>
        </w:rPr>
        <w:t>.</w:t>
      </w:r>
    </w:p>
  </w:footnote>
  <w:footnote w:id="41">
    <w:p w:rsidR="00E06013" w:rsidRPr="009E26B7" w:rsidRDefault="00E06013" w:rsidP="00810287">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bCs/>
          <w:sz w:val="12"/>
          <w:szCs w:val="12"/>
          <w:lang w:val="it-IT"/>
        </w:rPr>
        <w:t xml:space="preserve"> F.del Giudice (2008), </w:t>
      </w:r>
      <w:r w:rsidRPr="009E26B7">
        <w:rPr>
          <w:rFonts w:ascii="Arial" w:hAnsi="Arial" w:cs="Arial"/>
          <w:bCs/>
          <w:i/>
          <w:sz w:val="12"/>
          <w:szCs w:val="12"/>
          <w:lang w:val="it-IT"/>
        </w:rPr>
        <w:t>Dizionario Giuridico</w:t>
      </w:r>
      <w:r w:rsidRPr="009E26B7">
        <w:rPr>
          <w:rFonts w:ascii="Arial" w:hAnsi="Arial" w:cs="Arial"/>
          <w:bCs/>
          <w:sz w:val="12"/>
          <w:szCs w:val="12"/>
          <w:lang w:val="it-IT"/>
        </w:rPr>
        <w:t>, Enciclopedia di base del diritto, VII ediz., Simone editore, Presunzione.</w:t>
      </w:r>
    </w:p>
  </w:footnote>
  <w:footnote w:id="42">
    <w:p w:rsidR="00E06013" w:rsidRPr="009E26B7" w:rsidRDefault="00E06013" w:rsidP="00810287">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M.Mercone (2003), </w:t>
      </w:r>
      <w:r w:rsidRPr="009E26B7">
        <w:rPr>
          <w:rFonts w:ascii="Arial" w:hAnsi="Arial" w:cs="Arial"/>
          <w:i/>
          <w:sz w:val="12"/>
          <w:szCs w:val="12"/>
          <w:lang w:val="it-IT"/>
        </w:rPr>
        <w:t>Diritto Processuale Penale</w:t>
      </w:r>
      <w:r w:rsidRPr="009E26B7">
        <w:rPr>
          <w:rFonts w:ascii="Arial" w:hAnsi="Arial" w:cs="Arial"/>
          <w:sz w:val="12"/>
          <w:szCs w:val="12"/>
          <w:lang w:val="it-IT"/>
        </w:rPr>
        <w:t xml:space="preserve">, XI ediz., Simone editore, Cap. 32, </w:t>
      </w:r>
      <w:r w:rsidRPr="009E26B7">
        <w:rPr>
          <w:rFonts w:ascii="Arial" w:hAnsi="Arial" w:cs="Arial"/>
          <w:i/>
          <w:sz w:val="12"/>
          <w:szCs w:val="12"/>
          <w:lang w:val="it-IT"/>
        </w:rPr>
        <w:t>Indizio, prova e prova indiziaria</w:t>
      </w:r>
      <w:r w:rsidRPr="009E26B7">
        <w:rPr>
          <w:rFonts w:ascii="Arial" w:hAnsi="Arial" w:cs="Arial"/>
          <w:sz w:val="12"/>
          <w:szCs w:val="12"/>
          <w:lang w:val="it-IT"/>
        </w:rPr>
        <w:t>.</w:t>
      </w:r>
    </w:p>
  </w:footnote>
  <w:footnote w:id="43">
    <w:p w:rsidR="00E06013" w:rsidRPr="009E26B7" w:rsidRDefault="00E06013" w:rsidP="00810287">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bCs/>
          <w:sz w:val="12"/>
          <w:szCs w:val="12"/>
          <w:lang w:val="it-IT"/>
        </w:rPr>
        <w:t>F.del Giudice (2008), Dizionario Giuridico, Enciclopedia di base del diritto, VII ediz., Simone editore, Prova.</w:t>
      </w:r>
    </w:p>
  </w:footnote>
  <w:footnote w:id="44">
    <w:p w:rsidR="00E06013" w:rsidRPr="009E26B7" w:rsidRDefault="00E06013" w:rsidP="00810287">
      <w:pPr>
        <w:pStyle w:val="FootnoteText"/>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Po aty</w:t>
      </w:r>
    </w:p>
  </w:footnote>
  <w:footnote w:id="45">
    <w:p w:rsidR="00E06013" w:rsidRPr="009E26B7" w:rsidRDefault="00E06013" w:rsidP="00810287">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M.Mercone (2003), Diritto Processuale Penale, XI ediz., Simone editore, Cap. 12, Tipologia delle funzioni.</w:t>
      </w:r>
    </w:p>
  </w:footnote>
  <w:footnote w:id="46">
    <w:p w:rsidR="00E06013" w:rsidRPr="009E26B7" w:rsidRDefault="00E06013" w:rsidP="00810287">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D.Siracusano, </w:t>
      </w:r>
      <w:r w:rsidRPr="009E26B7">
        <w:rPr>
          <w:rFonts w:ascii="Arial" w:hAnsi="Arial" w:cs="Arial"/>
          <w:i/>
          <w:sz w:val="12"/>
          <w:szCs w:val="12"/>
          <w:lang w:val="it-IT"/>
        </w:rPr>
        <w:t>Diritto Processuale Penale</w:t>
      </w:r>
      <w:r w:rsidRPr="009E26B7">
        <w:rPr>
          <w:rFonts w:ascii="Arial" w:hAnsi="Arial" w:cs="Arial"/>
          <w:sz w:val="12"/>
          <w:szCs w:val="12"/>
          <w:lang w:val="it-IT"/>
        </w:rPr>
        <w:t xml:space="preserve">, nuova ediz. 2004, Giuffrè editore, Vol. primo, Le Prove, Capitolo Primo, </w:t>
      </w:r>
      <w:r w:rsidRPr="009E26B7">
        <w:rPr>
          <w:rFonts w:ascii="Arial" w:hAnsi="Arial" w:cs="Arial"/>
          <w:i/>
          <w:sz w:val="12"/>
          <w:szCs w:val="12"/>
          <w:lang w:val="it-IT"/>
        </w:rPr>
        <w:t>La controprova</w:t>
      </w:r>
      <w:r w:rsidRPr="009E26B7">
        <w:rPr>
          <w:rFonts w:ascii="Arial" w:hAnsi="Arial" w:cs="Arial"/>
          <w:sz w:val="12"/>
          <w:szCs w:val="12"/>
          <w:lang w:val="it-IT"/>
        </w:rPr>
        <w:t>.</w:t>
      </w:r>
    </w:p>
  </w:footnote>
  <w:footnote w:id="47">
    <w:p w:rsidR="00E06013" w:rsidRPr="009E26B7" w:rsidRDefault="00E06013" w:rsidP="00810287">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sq-AL"/>
        </w:rPr>
        <w:t>GjL</w:t>
      </w:r>
      <w:r w:rsidRPr="009E26B7">
        <w:rPr>
          <w:rFonts w:ascii="Arial" w:hAnsi="Arial" w:cs="Arial"/>
          <w:sz w:val="12"/>
          <w:szCs w:val="12"/>
          <w:lang w:val="it-IT"/>
        </w:rPr>
        <w:t>, vendimi n.165, dt.01.07.2009.</w:t>
      </w:r>
    </w:p>
  </w:footnote>
  <w:footnote w:id="48">
    <w:p w:rsidR="00E06013" w:rsidRPr="009E26B7" w:rsidRDefault="00E06013" w:rsidP="00810287">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D.Siracusano, </w:t>
      </w:r>
      <w:r w:rsidRPr="009E26B7">
        <w:rPr>
          <w:rFonts w:ascii="Arial" w:hAnsi="Arial" w:cs="Arial"/>
          <w:i/>
          <w:sz w:val="12"/>
          <w:szCs w:val="12"/>
          <w:lang w:val="it-IT"/>
        </w:rPr>
        <w:t>Diritto Processuale Penale</w:t>
      </w:r>
      <w:r w:rsidRPr="009E26B7">
        <w:rPr>
          <w:rFonts w:ascii="Arial" w:hAnsi="Arial" w:cs="Arial"/>
          <w:sz w:val="12"/>
          <w:szCs w:val="12"/>
          <w:lang w:val="it-IT"/>
        </w:rPr>
        <w:t xml:space="preserve">, nuova ediz. 2004, Giuffrè editore, Vol. primo, Le Prove, Capitolo Primo, </w:t>
      </w:r>
      <w:r w:rsidRPr="009E26B7">
        <w:rPr>
          <w:rFonts w:ascii="Arial" w:hAnsi="Arial" w:cs="Arial"/>
          <w:i/>
          <w:sz w:val="12"/>
          <w:szCs w:val="12"/>
          <w:lang w:val="it-IT"/>
        </w:rPr>
        <w:t>Il rapporto fra tema e mezzi di prova.  La prova decisiva</w:t>
      </w:r>
      <w:r w:rsidRPr="009E26B7">
        <w:rPr>
          <w:rFonts w:ascii="Arial" w:hAnsi="Arial" w:cs="Arial"/>
          <w:sz w:val="12"/>
          <w:szCs w:val="12"/>
          <w:lang w:val="it-IT"/>
        </w:rPr>
        <w:t>.</w:t>
      </w:r>
    </w:p>
  </w:footnote>
  <w:footnote w:id="49">
    <w:p w:rsidR="00E06013" w:rsidRPr="009E26B7" w:rsidRDefault="00E06013" w:rsidP="00810287">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sq-AL"/>
        </w:rPr>
        <w:t>GjL</w:t>
      </w:r>
      <w:r w:rsidRPr="009E26B7">
        <w:rPr>
          <w:rFonts w:ascii="Arial" w:hAnsi="Arial" w:cs="Arial"/>
          <w:sz w:val="12"/>
          <w:szCs w:val="12"/>
          <w:lang w:val="it-IT"/>
        </w:rPr>
        <w:t>, vendimi n.865, dt.21.12.2005.</w:t>
      </w:r>
    </w:p>
  </w:footnote>
  <w:footnote w:id="50">
    <w:p w:rsidR="00E06013" w:rsidRPr="009E26B7" w:rsidRDefault="00E06013" w:rsidP="00810287">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Shih </w:t>
      </w:r>
      <w:r w:rsidRPr="009E26B7">
        <w:rPr>
          <w:rFonts w:ascii="Arial" w:hAnsi="Arial" w:cs="Arial"/>
          <w:sz w:val="12"/>
          <w:szCs w:val="12"/>
          <w:lang w:val="sq-AL"/>
        </w:rPr>
        <w:t>GjL</w:t>
      </w:r>
      <w:r w:rsidRPr="009E26B7">
        <w:rPr>
          <w:rFonts w:ascii="Arial" w:hAnsi="Arial" w:cs="Arial"/>
          <w:sz w:val="12"/>
          <w:szCs w:val="12"/>
          <w:lang w:val="it-IT"/>
        </w:rPr>
        <w:t>, vend.n.865, dt.21.12.2005.</w:t>
      </w:r>
    </w:p>
  </w:footnote>
  <w:footnote w:id="51">
    <w:p w:rsidR="00E06013" w:rsidRPr="009E26B7" w:rsidRDefault="00E06013" w:rsidP="00810287">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V.Perchinunno (1997), Manuale di Procedura Penale, Monduzzi editore, sec. ediz., Vol. I, Cap. XV, L’inutilizzabilità delle prove.</w:t>
      </w:r>
    </w:p>
  </w:footnote>
  <w:footnote w:id="52">
    <w:p w:rsidR="00E06013" w:rsidRPr="009E26B7" w:rsidRDefault="00E06013" w:rsidP="00810287">
      <w:pPr>
        <w:pStyle w:val="NoSpacing"/>
        <w:jc w:val="both"/>
        <w:rPr>
          <w:rFonts w:ascii="Arial" w:hAnsi="Arial" w:cs="Arial"/>
          <w:sz w:val="12"/>
          <w:szCs w:val="12"/>
          <w:vertAlign w:val="superscript"/>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D.Siracusano, Diritto Processuale Penale, nuova ediz. 2004, Giuffrè editore, Vol. primo, Le Prove, Capitolo Primo, </w:t>
      </w:r>
      <w:r w:rsidRPr="009E26B7">
        <w:rPr>
          <w:rFonts w:ascii="Arial" w:hAnsi="Arial" w:cs="Arial"/>
          <w:i/>
          <w:sz w:val="12"/>
          <w:szCs w:val="12"/>
          <w:lang w:val="it-IT"/>
        </w:rPr>
        <w:t>La prova come risultato probatorio</w:t>
      </w:r>
      <w:r w:rsidRPr="009E26B7">
        <w:rPr>
          <w:rFonts w:ascii="Arial" w:hAnsi="Arial" w:cs="Arial"/>
          <w:sz w:val="12"/>
          <w:szCs w:val="12"/>
          <w:lang w:val="it-IT"/>
        </w:rPr>
        <w:t>.</w:t>
      </w:r>
    </w:p>
  </w:footnote>
  <w:footnote w:id="53">
    <w:p w:rsidR="00E06013" w:rsidRPr="009E26B7" w:rsidRDefault="00E06013" w:rsidP="00810287">
      <w:pPr>
        <w:pStyle w:val="NoSpacing"/>
        <w:jc w:val="both"/>
        <w:rPr>
          <w:rFonts w:ascii="Arial" w:hAnsi="Arial" w:cs="Arial"/>
          <w:sz w:val="12"/>
          <w:szCs w:val="12"/>
          <w:vertAlign w:val="superscript"/>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D.Siracusano, </w:t>
      </w:r>
      <w:r w:rsidRPr="009E26B7">
        <w:rPr>
          <w:rFonts w:ascii="Arial" w:hAnsi="Arial" w:cs="Arial"/>
          <w:i/>
          <w:sz w:val="12"/>
          <w:szCs w:val="12"/>
          <w:lang w:val="it-IT"/>
        </w:rPr>
        <w:t>Diritto Processuale Penale</w:t>
      </w:r>
      <w:r w:rsidRPr="009E26B7">
        <w:rPr>
          <w:rFonts w:ascii="Arial" w:hAnsi="Arial" w:cs="Arial"/>
          <w:sz w:val="12"/>
          <w:szCs w:val="12"/>
          <w:lang w:val="it-IT"/>
        </w:rPr>
        <w:t xml:space="preserve">, nuova ediz. 2004, Giuffrè editore, Vol. primo, Le Prove, Capitolo Primo, </w:t>
      </w:r>
      <w:r w:rsidRPr="009E26B7">
        <w:rPr>
          <w:rFonts w:ascii="Arial" w:hAnsi="Arial" w:cs="Arial"/>
          <w:i/>
          <w:sz w:val="12"/>
          <w:szCs w:val="12"/>
          <w:lang w:val="it-IT"/>
        </w:rPr>
        <w:t>Gli epiloghi: il libero convincimento del giudice</w:t>
      </w:r>
      <w:r w:rsidRPr="009E26B7">
        <w:rPr>
          <w:rFonts w:ascii="Arial" w:hAnsi="Arial" w:cs="Arial"/>
          <w:sz w:val="12"/>
          <w:szCs w:val="12"/>
          <w:lang w:val="it-IT"/>
        </w:rPr>
        <w:t>.</w:t>
      </w:r>
    </w:p>
  </w:footnote>
  <w:footnote w:id="54">
    <w:p w:rsidR="00E06013" w:rsidRPr="009E26B7" w:rsidRDefault="00E06013" w:rsidP="00810287">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M.Mercone (2003), </w:t>
      </w:r>
      <w:r w:rsidRPr="009E26B7">
        <w:rPr>
          <w:rFonts w:ascii="Arial" w:hAnsi="Arial" w:cs="Arial"/>
          <w:i/>
          <w:sz w:val="12"/>
          <w:szCs w:val="12"/>
          <w:lang w:val="it-IT"/>
        </w:rPr>
        <w:t>Diritto Processuale Penale</w:t>
      </w:r>
      <w:r w:rsidRPr="009E26B7">
        <w:rPr>
          <w:rFonts w:ascii="Arial" w:hAnsi="Arial" w:cs="Arial"/>
          <w:sz w:val="12"/>
          <w:szCs w:val="12"/>
          <w:lang w:val="it-IT"/>
        </w:rPr>
        <w:t xml:space="preserve">, XI ediz., Simone editore, Cap. 4, i </w:t>
      </w:r>
      <w:r w:rsidRPr="009E26B7">
        <w:rPr>
          <w:rFonts w:ascii="Arial" w:hAnsi="Arial" w:cs="Arial"/>
          <w:i/>
          <w:sz w:val="12"/>
          <w:szCs w:val="12"/>
          <w:lang w:val="it-IT"/>
        </w:rPr>
        <w:t>principi codicistici relativi al giudice</w:t>
      </w:r>
      <w:r w:rsidRPr="009E26B7">
        <w:rPr>
          <w:rFonts w:ascii="Arial" w:hAnsi="Arial" w:cs="Arial"/>
          <w:sz w:val="12"/>
          <w:szCs w:val="12"/>
          <w:lang w:val="it-IT"/>
        </w:rPr>
        <w:t>.</w:t>
      </w:r>
    </w:p>
  </w:footnote>
  <w:footnote w:id="55">
    <w:p w:rsidR="00E06013" w:rsidRPr="009E26B7" w:rsidRDefault="00E06013" w:rsidP="00810287">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«Maksima e eksperiencës është një rregull sjellje që shpreh atë që ndodh në më të shumtën e rasteve (</w:t>
      </w:r>
      <w:r w:rsidRPr="009E26B7">
        <w:rPr>
          <w:rFonts w:ascii="Arial" w:hAnsi="Arial" w:cs="Arial"/>
          <w:i/>
          <w:sz w:val="12"/>
          <w:szCs w:val="12"/>
          <w:lang w:val="it-IT"/>
        </w:rPr>
        <w:t>id quod plerumque accidit</w:t>
      </w:r>
      <w:r w:rsidRPr="009E26B7">
        <w:rPr>
          <w:rFonts w:ascii="Arial" w:hAnsi="Arial" w:cs="Arial"/>
          <w:sz w:val="12"/>
          <w:szCs w:val="12"/>
          <w:lang w:val="it-IT"/>
        </w:rPr>
        <w:t xml:space="preserve">)» -P.Tonini, </w:t>
      </w:r>
      <w:r w:rsidRPr="009E26B7">
        <w:rPr>
          <w:rFonts w:ascii="Arial" w:hAnsi="Arial" w:cs="Arial"/>
          <w:i/>
          <w:sz w:val="12"/>
          <w:szCs w:val="12"/>
          <w:lang w:val="it-IT"/>
        </w:rPr>
        <w:t>Manuale di Procedura Penale</w:t>
      </w:r>
      <w:r w:rsidRPr="009E26B7">
        <w:rPr>
          <w:rFonts w:ascii="Arial" w:hAnsi="Arial" w:cs="Arial"/>
          <w:sz w:val="12"/>
          <w:szCs w:val="12"/>
          <w:lang w:val="it-IT"/>
        </w:rPr>
        <w:t xml:space="preserve">, Tredicesima edizione, Giuffrè Editore – Miano, 2012, Parte seconda. Capitolo III, </w:t>
      </w:r>
      <w:r w:rsidRPr="009E26B7">
        <w:rPr>
          <w:rFonts w:ascii="Arial" w:hAnsi="Arial" w:cs="Arial"/>
          <w:i/>
          <w:sz w:val="12"/>
          <w:szCs w:val="12"/>
          <w:lang w:val="it-IT"/>
        </w:rPr>
        <w:t>Il ragionamento inferenziale: prova e indizio</w:t>
      </w:r>
      <w:r w:rsidRPr="009E26B7">
        <w:rPr>
          <w:rFonts w:ascii="Arial" w:hAnsi="Arial" w:cs="Arial"/>
          <w:sz w:val="12"/>
          <w:szCs w:val="12"/>
          <w:lang w:val="it-IT"/>
        </w:rPr>
        <w:t>.</w:t>
      </w:r>
    </w:p>
  </w:footnote>
  <w:footnote w:id="56">
    <w:p w:rsidR="00E06013" w:rsidRPr="009E26B7" w:rsidRDefault="00E06013" w:rsidP="00810287">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D.Siracusano, </w:t>
      </w:r>
      <w:r w:rsidRPr="009E26B7">
        <w:rPr>
          <w:rFonts w:ascii="Arial" w:hAnsi="Arial" w:cs="Arial"/>
          <w:i/>
          <w:sz w:val="12"/>
          <w:szCs w:val="12"/>
          <w:lang w:val="it-IT"/>
        </w:rPr>
        <w:t>Diritto Processuale Penale</w:t>
      </w:r>
      <w:r w:rsidRPr="009E26B7">
        <w:rPr>
          <w:rFonts w:ascii="Arial" w:hAnsi="Arial" w:cs="Arial"/>
          <w:sz w:val="12"/>
          <w:szCs w:val="12"/>
          <w:lang w:val="it-IT"/>
        </w:rPr>
        <w:t xml:space="preserve">, nuova ediz. 2004, Giuffrè editore, Vol. primo, Le Prove, Capitolo Primo, </w:t>
      </w:r>
      <w:r w:rsidRPr="009E26B7">
        <w:rPr>
          <w:rFonts w:ascii="Arial" w:hAnsi="Arial" w:cs="Arial"/>
          <w:i/>
          <w:sz w:val="12"/>
          <w:szCs w:val="12"/>
          <w:lang w:val="it-IT"/>
        </w:rPr>
        <w:t>Gli epiloghi: il libero convincimento del giudice</w:t>
      </w:r>
      <w:r w:rsidRPr="009E26B7">
        <w:rPr>
          <w:rFonts w:ascii="Arial" w:hAnsi="Arial" w:cs="Arial"/>
          <w:sz w:val="12"/>
          <w:szCs w:val="12"/>
          <w:lang w:val="it-IT"/>
        </w:rPr>
        <w:t>.</w:t>
      </w:r>
    </w:p>
  </w:footnote>
  <w:footnote w:id="57">
    <w:p w:rsidR="00E06013" w:rsidRPr="009E26B7" w:rsidRDefault="00E06013" w:rsidP="00810287">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M.Mercone (2003), </w:t>
      </w:r>
      <w:r w:rsidRPr="009E26B7">
        <w:rPr>
          <w:rFonts w:ascii="Arial" w:hAnsi="Arial" w:cs="Arial"/>
          <w:i/>
          <w:sz w:val="12"/>
          <w:szCs w:val="12"/>
          <w:lang w:val="it-IT"/>
        </w:rPr>
        <w:t>Diritto Processuale Penale</w:t>
      </w:r>
      <w:r w:rsidRPr="009E26B7">
        <w:rPr>
          <w:rFonts w:ascii="Arial" w:hAnsi="Arial" w:cs="Arial"/>
          <w:sz w:val="12"/>
          <w:szCs w:val="12"/>
          <w:lang w:val="it-IT"/>
        </w:rPr>
        <w:t xml:space="preserve">, XI ediz., Simone editore, Cap. 32, </w:t>
      </w:r>
      <w:r w:rsidRPr="009E26B7">
        <w:rPr>
          <w:rFonts w:ascii="Arial" w:hAnsi="Arial" w:cs="Arial"/>
          <w:i/>
          <w:sz w:val="12"/>
          <w:szCs w:val="12"/>
          <w:lang w:val="it-IT"/>
        </w:rPr>
        <w:t>Valutazione della prova e chiamata in correità</w:t>
      </w:r>
      <w:r w:rsidRPr="009E26B7">
        <w:rPr>
          <w:rFonts w:ascii="Arial" w:hAnsi="Arial" w:cs="Arial"/>
          <w:sz w:val="12"/>
          <w:szCs w:val="12"/>
          <w:lang w:val="it-IT"/>
        </w:rPr>
        <w:t>.</w:t>
      </w:r>
    </w:p>
  </w:footnote>
  <w:footnote w:id="58">
    <w:p w:rsidR="00E06013" w:rsidRPr="009E26B7" w:rsidRDefault="00E06013" w:rsidP="00810287">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Po aty.</w:t>
      </w:r>
    </w:p>
  </w:footnote>
  <w:footnote w:id="59">
    <w:p w:rsidR="00E06013" w:rsidRPr="009E26B7" w:rsidRDefault="00E06013" w:rsidP="00810287">
      <w:pPr>
        <w:pStyle w:val="FootnoteText"/>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Po aty.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92A79"/>
    <w:multiLevelType w:val="hybridMultilevel"/>
    <w:tmpl w:val="1EF04C98"/>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25061C8"/>
    <w:multiLevelType w:val="hybridMultilevel"/>
    <w:tmpl w:val="BE8ECF00"/>
    <w:lvl w:ilvl="0" w:tplc="D5DCE136">
      <w:start w:val="1"/>
      <w:numFmt w:val="lowerLetter"/>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8097119"/>
    <w:multiLevelType w:val="hybridMultilevel"/>
    <w:tmpl w:val="254C6044"/>
    <w:lvl w:ilvl="0" w:tplc="55F2BC3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565757"/>
    <w:multiLevelType w:val="hybridMultilevel"/>
    <w:tmpl w:val="8856F1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2865D43"/>
    <w:multiLevelType w:val="hybridMultilevel"/>
    <w:tmpl w:val="7B0AA8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42C1CD6"/>
    <w:multiLevelType w:val="hybridMultilevel"/>
    <w:tmpl w:val="F06E6F5A"/>
    <w:lvl w:ilvl="0" w:tplc="64EE58DA">
      <w:start w:val="1"/>
      <w:numFmt w:val="decimal"/>
      <w:lvlText w:val="%1."/>
      <w:lvlJc w:val="left"/>
      <w:pPr>
        <w:ind w:left="1440" w:hanging="360"/>
      </w:pPr>
      <w:rPr>
        <w:rFonts w:hint="default"/>
        <w:b w:val="0"/>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1443033C"/>
    <w:multiLevelType w:val="hybridMultilevel"/>
    <w:tmpl w:val="47D641E0"/>
    <w:lvl w:ilvl="0" w:tplc="BA781522">
      <w:start w:val="1"/>
      <w:numFmt w:val="lowerLetter"/>
      <w:lvlText w:val="%1)"/>
      <w:lvlJc w:val="left"/>
      <w:pPr>
        <w:ind w:left="720" w:hanging="360"/>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1588351D"/>
    <w:multiLevelType w:val="hybridMultilevel"/>
    <w:tmpl w:val="790A003E"/>
    <w:lvl w:ilvl="0" w:tplc="0CEABFD8">
      <w:start w:val="1"/>
      <w:numFmt w:val="bullet"/>
      <w:lvlText w:val="—"/>
      <w:lvlJc w:val="left"/>
      <w:pPr>
        <w:ind w:left="928" w:hanging="360"/>
      </w:pPr>
      <w:rPr>
        <w:rFonts w:ascii="Calibri" w:eastAsia="Times New Roman" w:hAnsi="Calibri" w:cs="Times New Roman"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8">
    <w:nsid w:val="17E1523B"/>
    <w:multiLevelType w:val="hybridMultilevel"/>
    <w:tmpl w:val="14AC7E82"/>
    <w:lvl w:ilvl="0" w:tplc="CE481CAC">
      <w:start w:val="1"/>
      <w:numFmt w:val="decimal"/>
      <w:lvlText w:val="%1."/>
      <w:lvlJc w:val="left"/>
      <w:pPr>
        <w:ind w:left="720" w:hanging="360"/>
      </w:pPr>
      <w:rPr>
        <w:rFonts w:hint="default"/>
        <w:b/>
        <w:bCs/>
        <w:sz w:val="40"/>
        <w:szCs w:val="4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1C452BC4"/>
    <w:multiLevelType w:val="hybridMultilevel"/>
    <w:tmpl w:val="03367CE8"/>
    <w:lvl w:ilvl="0" w:tplc="2AB8575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1916970"/>
    <w:multiLevelType w:val="hybridMultilevel"/>
    <w:tmpl w:val="9FC241BA"/>
    <w:lvl w:ilvl="0" w:tplc="5CE2DDE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227F196F"/>
    <w:multiLevelType w:val="hybridMultilevel"/>
    <w:tmpl w:val="CCC41090"/>
    <w:lvl w:ilvl="0" w:tplc="391AE4C2">
      <w:start w:val="1"/>
      <w:numFmt w:val="decimal"/>
      <w:lvlText w:val="%1."/>
      <w:lvlJc w:val="left"/>
      <w:pPr>
        <w:ind w:left="1080" w:hanging="360"/>
      </w:pPr>
      <w:rPr>
        <w:rFonts w:hint="default"/>
        <w:b w:val="0"/>
      </w:rPr>
    </w:lvl>
    <w:lvl w:ilvl="1" w:tplc="C5C2528C">
      <w:start w:val="1"/>
      <w:numFmt w:val="lowerLetter"/>
      <w:lvlText w:val="%2)"/>
      <w:lvlJc w:val="left"/>
      <w:pPr>
        <w:ind w:left="1800" w:hanging="360"/>
      </w:pPr>
      <w:rPr>
        <w:rFonts w:hint="default"/>
        <w:b w:val="0"/>
        <w:i w:val="0"/>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25001FC4"/>
    <w:multiLevelType w:val="hybridMultilevel"/>
    <w:tmpl w:val="4C4EBA36"/>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25864E5F"/>
    <w:multiLevelType w:val="hybridMultilevel"/>
    <w:tmpl w:val="E244F124"/>
    <w:lvl w:ilvl="0" w:tplc="3C4ECFEA">
      <w:start w:val="1"/>
      <w:numFmt w:val="lowerLetter"/>
      <w:lvlText w:val="%1)"/>
      <w:lvlJc w:val="left"/>
      <w:pPr>
        <w:ind w:left="720" w:hanging="360"/>
      </w:pPr>
      <w:rPr>
        <w:rFonts w:ascii="Georgia" w:hAnsi="Georgia" w:cstheme="minorBidi" w:hint="default"/>
        <w:b/>
        <w:color w:val="FF000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25EE58FA"/>
    <w:multiLevelType w:val="hybridMultilevel"/>
    <w:tmpl w:val="F6FCD3B6"/>
    <w:lvl w:ilvl="0" w:tplc="698CBD94">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27C02831"/>
    <w:multiLevelType w:val="hybridMultilevel"/>
    <w:tmpl w:val="D36C92EE"/>
    <w:lvl w:ilvl="0" w:tplc="61B4B00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29B41252"/>
    <w:multiLevelType w:val="hybridMultilevel"/>
    <w:tmpl w:val="737E4B8C"/>
    <w:lvl w:ilvl="0" w:tplc="FE2C7A8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18F6F4B"/>
    <w:multiLevelType w:val="hybridMultilevel"/>
    <w:tmpl w:val="09E4BC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1F24562"/>
    <w:multiLevelType w:val="hybridMultilevel"/>
    <w:tmpl w:val="6E368EAE"/>
    <w:lvl w:ilvl="0" w:tplc="27DA36F2">
      <w:start w:val="1"/>
      <w:numFmt w:val="decimal"/>
      <w:lvlText w:val="%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nsid w:val="35925C98"/>
    <w:multiLevelType w:val="hybridMultilevel"/>
    <w:tmpl w:val="88A00D72"/>
    <w:lvl w:ilvl="0" w:tplc="94E247A8">
      <w:start w:val="1"/>
      <w:numFmt w:val="upp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0">
    <w:nsid w:val="364F2FD5"/>
    <w:multiLevelType w:val="hybridMultilevel"/>
    <w:tmpl w:val="EF1EF8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74B65E1"/>
    <w:multiLevelType w:val="hybridMultilevel"/>
    <w:tmpl w:val="46F6A58E"/>
    <w:lvl w:ilvl="0" w:tplc="E7042D82">
      <w:start w:val="1"/>
      <w:numFmt w:val="decimal"/>
      <w:lvlText w:val="%1."/>
      <w:lvlJc w:val="left"/>
      <w:pPr>
        <w:ind w:left="1080" w:hanging="360"/>
      </w:pPr>
      <w:rPr>
        <w:rFonts w:hint="default"/>
        <w:b w:val="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2">
    <w:nsid w:val="3C4E42E5"/>
    <w:multiLevelType w:val="hybridMultilevel"/>
    <w:tmpl w:val="303E320C"/>
    <w:lvl w:ilvl="0" w:tplc="3EBC2AF8">
      <w:start w:val="1"/>
      <w:numFmt w:val="decimal"/>
      <w:lvlText w:val="%1."/>
      <w:lvlJc w:val="left"/>
      <w:pPr>
        <w:ind w:left="1080" w:hanging="360"/>
      </w:pPr>
      <w:rPr>
        <w:rFonts w:hint="default"/>
        <w:b w:val="0"/>
      </w:rPr>
    </w:lvl>
    <w:lvl w:ilvl="1" w:tplc="3DF44E72">
      <w:start w:val="1"/>
      <w:numFmt w:val="lowerLetter"/>
      <w:lvlText w:val="%2)"/>
      <w:lvlJc w:val="left"/>
      <w:pPr>
        <w:ind w:left="1800" w:hanging="360"/>
      </w:pPr>
      <w:rPr>
        <w:rFonts w:hint="default"/>
        <w:b w:val="0"/>
        <w:i w:val="0"/>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3CDD18C7"/>
    <w:multiLevelType w:val="hybridMultilevel"/>
    <w:tmpl w:val="349A75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DB874E4"/>
    <w:multiLevelType w:val="hybridMultilevel"/>
    <w:tmpl w:val="07603564"/>
    <w:lvl w:ilvl="0" w:tplc="45C89ED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3EA512A0"/>
    <w:multiLevelType w:val="hybridMultilevel"/>
    <w:tmpl w:val="6E1450E4"/>
    <w:lvl w:ilvl="0" w:tplc="AF12B23E">
      <w:start w:val="6"/>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nsid w:val="44257E3B"/>
    <w:multiLevelType w:val="hybridMultilevel"/>
    <w:tmpl w:val="CB749D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4455B99"/>
    <w:multiLevelType w:val="hybridMultilevel"/>
    <w:tmpl w:val="861435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5ED4707"/>
    <w:multiLevelType w:val="hybridMultilevel"/>
    <w:tmpl w:val="B6323B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1711D52"/>
    <w:multiLevelType w:val="hybridMultilevel"/>
    <w:tmpl w:val="B046E32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nsid w:val="528C1C0B"/>
    <w:multiLevelType w:val="hybridMultilevel"/>
    <w:tmpl w:val="14F2EFC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nsid w:val="54AF7C76"/>
    <w:multiLevelType w:val="hybridMultilevel"/>
    <w:tmpl w:val="DD721F9E"/>
    <w:lvl w:ilvl="0" w:tplc="F1DE980E">
      <w:start w:val="1"/>
      <w:numFmt w:val="bullet"/>
      <w:lvlText w:val="-"/>
      <w:lvlJc w:val="left"/>
      <w:pPr>
        <w:ind w:left="2160" w:hanging="360"/>
      </w:pPr>
      <w:rPr>
        <w:rFonts w:ascii="Calibri" w:eastAsia="Times New Roman" w:hAnsi="Calibri"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2">
    <w:nsid w:val="55FE3145"/>
    <w:multiLevelType w:val="hybridMultilevel"/>
    <w:tmpl w:val="BE425B28"/>
    <w:lvl w:ilvl="0" w:tplc="9BDE3FCA">
      <w:start w:val="2"/>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nsid w:val="588535BD"/>
    <w:multiLevelType w:val="hybridMultilevel"/>
    <w:tmpl w:val="C09CB8B6"/>
    <w:lvl w:ilvl="0" w:tplc="CDB4F76E">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nsid w:val="5EE258DD"/>
    <w:multiLevelType w:val="hybridMultilevel"/>
    <w:tmpl w:val="DFF2FC44"/>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nsid w:val="6182072C"/>
    <w:multiLevelType w:val="hybridMultilevel"/>
    <w:tmpl w:val="AA40FC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2E10D1D"/>
    <w:multiLevelType w:val="hybridMultilevel"/>
    <w:tmpl w:val="B6823112"/>
    <w:lvl w:ilvl="0" w:tplc="424EF4B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nsid w:val="64380229"/>
    <w:multiLevelType w:val="hybridMultilevel"/>
    <w:tmpl w:val="B560B0E0"/>
    <w:lvl w:ilvl="0" w:tplc="DE5E6DA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nsid w:val="647D5A3A"/>
    <w:multiLevelType w:val="hybridMultilevel"/>
    <w:tmpl w:val="A3BAADD6"/>
    <w:lvl w:ilvl="0" w:tplc="92F2BB0A">
      <w:start w:val="1"/>
      <w:numFmt w:val="decimal"/>
      <w:lvlText w:val="%1."/>
      <w:lvlJc w:val="left"/>
      <w:pPr>
        <w:ind w:left="1080" w:hanging="720"/>
      </w:pPr>
      <w:rPr>
        <w:rFonts w:hint="default"/>
        <w:sz w:val="56"/>
        <w:szCs w:val="56"/>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nsid w:val="66633BC5"/>
    <w:multiLevelType w:val="hybridMultilevel"/>
    <w:tmpl w:val="0CBCFFB8"/>
    <w:lvl w:ilvl="0" w:tplc="C1D6CF00">
      <w:start w:val="1"/>
      <w:numFmt w:val="decimal"/>
      <w:lvlText w:val="%1."/>
      <w:lvlJc w:val="left"/>
      <w:pPr>
        <w:ind w:left="1080" w:hanging="360"/>
      </w:pPr>
      <w:rPr>
        <w:rFonts w:hint="default"/>
        <w:b/>
        <w:sz w:val="40"/>
        <w:szCs w:val="4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nsid w:val="69052363"/>
    <w:multiLevelType w:val="hybridMultilevel"/>
    <w:tmpl w:val="F9A0FB76"/>
    <w:lvl w:ilvl="0" w:tplc="11543D2A">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1">
    <w:nsid w:val="6A260FDA"/>
    <w:multiLevelType w:val="hybridMultilevel"/>
    <w:tmpl w:val="F63280F0"/>
    <w:lvl w:ilvl="0" w:tplc="F502FABC">
      <w:start w:val="1"/>
      <w:numFmt w:val="lowerLetter"/>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6FFC63F5"/>
    <w:multiLevelType w:val="hybridMultilevel"/>
    <w:tmpl w:val="C09CB8B6"/>
    <w:lvl w:ilvl="0" w:tplc="CDB4F76E">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nsid w:val="717613CF"/>
    <w:multiLevelType w:val="hybridMultilevel"/>
    <w:tmpl w:val="8F2047E6"/>
    <w:lvl w:ilvl="0" w:tplc="D4520894">
      <w:start w:val="1"/>
      <w:numFmt w:val="decimal"/>
      <w:lvlText w:val="%1."/>
      <w:lvlJc w:val="left"/>
      <w:pPr>
        <w:ind w:left="5490" w:hanging="360"/>
      </w:pPr>
      <w:rPr>
        <w:rFonts w:hint="default"/>
        <w:b w:val="0"/>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nsid w:val="79FC7B71"/>
    <w:multiLevelType w:val="hybridMultilevel"/>
    <w:tmpl w:val="414EC7EC"/>
    <w:lvl w:ilvl="0" w:tplc="041C0011">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5">
    <w:nsid w:val="7A8E72FE"/>
    <w:multiLevelType w:val="hybridMultilevel"/>
    <w:tmpl w:val="310CEB5E"/>
    <w:lvl w:ilvl="0" w:tplc="097632A8">
      <w:start w:val="1"/>
      <w:numFmt w:val="lowerLetter"/>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7C424A0F"/>
    <w:multiLevelType w:val="hybridMultilevel"/>
    <w:tmpl w:val="3BE674DA"/>
    <w:lvl w:ilvl="0" w:tplc="33A00882">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nsid w:val="7E641815"/>
    <w:multiLevelType w:val="hybridMultilevel"/>
    <w:tmpl w:val="BB960D8C"/>
    <w:lvl w:ilvl="0" w:tplc="2D9617AC">
      <w:start w:val="1"/>
      <w:numFmt w:val="upperLetter"/>
      <w:lvlText w:val="%1."/>
      <w:lvlJc w:val="left"/>
      <w:pPr>
        <w:ind w:left="644" w:hanging="360"/>
      </w:pPr>
      <w:rPr>
        <w:rFonts w:hint="default"/>
        <w:b/>
        <w:bCs/>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num w:numId="1">
    <w:abstractNumId w:val="38"/>
  </w:num>
  <w:num w:numId="2">
    <w:abstractNumId w:val="0"/>
  </w:num>
  <w:num w:numId="3">
    <w:abstractNumId w:val="23"/>
  </w:num>
  <w:num w:numId="4">
    <w:abstractNumId w:val="37"/>
  </w:num>
  <w:num w:numId="5">
    <w:abstractNumId w:val="7"/>
  </w:num>
  <w:num w:numId="6">
    <w:abstractNumId w:val="10"/>
  </w:num>
  <w:num w:numId="7">
    <w:abstractNumId w:val="36"/>
  </w:num>
  <w:num w:numId="8">
    <w:abstractNumId w:val="39"/>
  </w:num>
  <w:num w:numId="9">
    <w:abstractNumId w:val="35"/>
  </w:num>
  <w:num w:numId="10">
    <w:abstractNumId w:val="16"/>
  </w:num>
  <w:num w:numId="11">
    <w:abstractNumId w:val="4"/>
  </w:num>
  <w:num w:numId="12">
    <w:abstractNumId w:val="3"/>
  </w:num>
  <w:num w:numId="13">
    <w:abstractNumId w:val="15"/>
  </w:num>
  <w:num w:numId="14">
    <w:abstractNumId w:val="9"/>
  </w:num>
  <w:num w:numId="15">
    <w:abstractNumId w:val="28"/>
  </w:num>
  <w:num w:numId="16">
    <w:abstractNumId w:val="24"/>
  </w:num>
  <w:num w:numId="17">
    <w:abstractNumId w:val="27"/>
  </w:num>
  <w:num w:numId="18">
    <w:abstractNumId w:val="26"/>
  </w:num>
  <w:num w:numId="19">
    <w:abstractNumId w:val="2"/>
  </w:num>
  <w:num w:numId="20">
    <w:abstractNumId w:val="20"/>
  </w:num>
  <w:num w:numId="21">
    <w:abstractNumId w:val="17"/>
  </w:num>
  <w:num w:numId="22">
    <w:abstractNumId w:val="31"/>
  </w:num>
  <w:num w:numId="23">
    <w:abstractNumId w:val="40"/>
  </w:num>
  <w:num w:numId="24">
    <w:abstractNumId w:val="29"/>
  </w:num>
  <w:num w:numId="25">
    <w:abstractNumId w:val="22"/>
  </w:num>
  <w:num w:numId="26">
    <w:abstractNumId w:val="11"/>
  </w:num>
  <w:num w:numId="27">
    <w:abstractNumId w:val="18"/>
  </w:num>
  <w:num w:numId="28">
    <w:abstractNumId w:val="41"/>
  </w:num>
  <w:num w:numId="29">
    <w:abstractNumId w:val="1"/>
  </w:num>
  <w:num w:numId="30">
    <w:abstractNumId w:val="8"/>
  </w:num>
  <w:num w:numId="31">
    <w:abstractNumId w:val="6"/>
  </w:num>
  <w:num w:numId="32">
    <w:abstractNumId w:val="47"/>
  </w:num>
  <w:num w:numId="33">
    <w:abstractNumId w:val="19"/>
  </w:num>
  <w:num w:numId="34">
    <w:abstractNumId w:val="34"/>
  </w:num>
  <w:num w:numId="35">
    <w:abstractNumId w:val="44"/>
  </w:num>
  <w:num w:numId="36">
    <w:abstractNumId w:val="13"/>
  </w:num>
  <w:num w:numId="37">
    <w:abstractNumId w:val="43"/>
  </w:num>
  <w:num w:numId="38">
    <w:abstractNumId w:val="5"/>
  </w:num>
  <w:num w:numId="39">
    <w:abstractNumId w:val="45"/>
  </w:num>
  <w:num w:numId="40">
    <w:abstractNumId w:val="42"/>
  </w:num>
  <w:num w:numId="41">
    <w:abstractNumId w:val="33"/>
  </w:num>
  <w:num w:numId="42">
    <w:abstractNumId w:val="46"/>
  </w:num>
  <w:num w:numId="43">
    <w:abstractNumId w:val="14"/>
  </w:num>
  <w:num w:numId="44">
    <w:abstractNumId w:val="21"/>
  </w:num>
  <w:num w:numId="45">
    <w:abstractNumId w:val="30"/>
  </w:num>
  <w:num w:numId="46">
    <w:abstractNumId w:val="25"/>
  </w:num>
  <w:num w:numId="47">
    <w:abstractNumId w:val="32"/>
  </w:num>
  <w:num w:numId="48">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08C"/>
    <w:rsid w:val="0000174B"/>
    <w:rsid w:val="00003565"/>
    <w:rsid w:val="0004229B"/>
    <w:rsid w:val="000458EC"/>
    <w:rsid w:val="00054262"/>
    <w:rsid w:val="000579EE"/>
    <w:rsid w:val="000C23BB"/>
    <w:rsid w:val="000C3CEB"/>
    <w:rsid w:val="000D2F39"/>
    <w:rsid w:val="000D702D"/>
    <w:rsid w:val="000E03BE"/>
    <w:rsid w:val="000E0BAA"/>
    <w:rsid w:val="000F164D"/>
    <w:rsid w:val="000F78BB"/>
    <w:rsid w:val="0010208C"/>
    <w:rsid w:val="00104419"/>
    <w:rsid w:val="00150A5A"/>
    <w:rsid w:val="00186E57"/>
    <w:rsid w:val="001A39A7"/>
    <w:rsid w:val="001A6D33"/>
    <w:rsid w:val="001C4A60"/>
    <w:rsid w:val="001D290A"/>
    <w:rsid w:val="001D4C81"/>
    <w:rsid w:val="001D5DB7"/>
    <w:rsid w:val="001E2E3A"/>
    <w:rsid w:val="001E6CA5"/>
    <w:rsid w:val="0021776E"/>
    <w:rsid w:val="00220A32"/>
    <w:rsid w:val="00222C72"/>
    <w:rsid w:val="002324E6"/>
    <w:rsid w:val="00232AEA"/>
    <w:rsid w:val="00240534"/>
    <w:rsid w:val="00242311"/>
    <w:rsid w:val="00245A76"/>
    <w:rsid w:val="00245CC9"/>
    <w:rsid w:val="00251537"/>
    <w:rsid w:val="00253A47"/>
    <w:rsid w:val="0026728B"/>
    <w:rsid w:val="00267622"/>
    <w:rsid w:val="002679BC"/>
    <w:rsid w:val="0027255E"/>
    <w:rsid w:val="002754F7"/>
    <w:rsid w:val="00275B16"/>
    <w:rsid w:val="002806AF"/>
    <w:rsid w:val="002860F5"/>
    <w:rsid w:val="00294311"/>
    <w:rsid w:val="002A08B5"/>
    <w:rsid w:val="002A0BD7"/>
    <w:rsid w:val="002B55A2"/>
    <w:rsid w:val="002D0235"/>
    <w:rsid w:val="002D0634"/>
    <w:rsid w:val="002E7A8E"/>
    <w:rsid w:val="002F2A1B"/>
    <w:rsid w:val="00302E4F"/>
    <w:rsid w:val="00315568"/>
    <w:rsid w:val="00331944"/>
    <w:rsid w:val="00331DB0"/>
    <w:rsid w:val="0034397F"/>
    <w:rsid w:val="0035724B"/>
    <w:rsid w:val="00380AC6"/>
    <w:rsid w:val="00393CB1"/>
    <w:rsid w:val="003A3BEE"/>
    <w:rsid w:val="003A5C8D"/>
    <w:rsid w:val="003C6920"/>
    <w:rsid w:val="003D3B86"/>
    <w:rsid w:val="003E2F8A"/>
    <w:rsid w:val="003E6F44"/>
    <w:rsid w:val="0040184D"/>
    <w:rsid w:val="00402D06"/>
    <w:rsid w:val="00406213"/>
    <w:rsid w:val="004166D4"/>
    <w:rsid w:val="00424A68"/>
    <w:rsid w:val="00424A84"/>
    <w:rsid w:val="00432ACB"/>
    <w:rsid w:val="00440FD1"/>
    <w:rsid w:val="00441B23"/>
    <w:rsid w:val="00442F4A"/>
    <w:rsid w:val="004736C1"/>
    <w:rsid w:val="004743A5"/>
    <w:rsid w:val="00482DC2"/>
    <w:rsid w:val="00484A26"/>
    <w:rsid w:val="00490898"/>
    <w:rsid w:val="004A7663"/>
    <w:rsid w:val="004B320A"/>
    <w:rsid w:val="004C206B"/>
    <w:rsid w:val="004C658D"/>
    <w:rsid w:val="004D0DF0"/>
    <w:rsid w:val="004E3969"/>
    <w:rsid w:val="005069B8"/>
    <w:rsid w:val="0053373E"/>
    <w:rsid w:val="00551438"/>
    <w:rsid w:val="00560365"/>
    <w:rsid w:val="0057243F"/>
    <w:rsid w:val="005744AC"/>
    <w:rsid w:val="005B2761"/>
    <w:rsid w:val="005B4F08"/>
    <w:rsid w:val="005C1EA8"/>
    <w:rsid w:val="00604606"/>
    <w:rsid w:val="006058C3"/>
    <w:rsid w:val="00617AE2"/>
    <w:rsid w:val="006249DF"/>
    <w:rsid w:val="006346B7"/>
    <w:rsid w:val="00637BB0"/>
    <w:rsid w:val="0066637E"/>
    <w:rsid w:val="00671365"/>
    <w:rsid w:val="00680758"/>
    <w:rsid w:val="006871FF"/>
    <w:rsid w:val="006968B5"/>
    <w:rsid w:val="0069728A"/>
    <w:rsid w:val="006A1FD6"/>
    <w:rsid w:val="006A682B"/>
    <w:rsid w:val="006B3418"/>
    <w:rsid w:val="006C02A2"/>
    <w:rsid w:val="006C2B89"/>
    <w:rsid w:val="006D4362"/>
    <w:rsid w:val="006E14FD"/>
    <w:rsid w:val="006F6E90"/>
    <w:rsid w:val="00705978"/>
    <w:rsid w:val="00710C8A"/>
    <w:rsid w:val="0072020A"/>
    <w:rsid w:val="00720B09"/>
    <w:rsid w:val="0072285E"/>
    <w:rsid w:val="00741E82"/>
    <w:rsid w:val="0075218C"/>
    <w:rsid w:val="00763E3A"/>
    <w:rsid w:val="0076504F"/>
    <w:rsid w:val="00767196"/>
    <w:rsid w:val="00767AAE"/>
    <w:rsid w:val="00771600"/>
    <w:rsid w:val="007824BD"/>
    <w:rsid w:val="007A1EE0"/>
    <w:rsid w:val="007B3204"/>
    <w:rsid w:val="007B44F3"/>
    <w:rsid w:val="007C0053"/>
    <w:rsid w:val="007C11B8"/>
    <w:rsid w:val="007C5DB8"/>
    <w:rsid w:val="007D3682"/>
    <w:rsid w:val="007F079F"/>
    <w:rsid w:val="007F6569"/>
    <w:rsid w:val="00807CEE"/>
    <w:rsid w:val="00810287"/>
    <w:rsid w:val="008102BA"/>
    <w:rsid w:val="0082140E"/>
    <w:rsid w:val="008303EA"/>
    <w:rsid w:val="00831794"/>
    <w:rsid w:val="008329C1"/>
    <w:rsid w:val="00836EF7"/>
    <w:rsid w:val="008445C4"/>
    <w:rsid w:val="008464F9"/>
    <w:rsid w:val="0085633B"/>
    <w:rsid w:val="00863B92"/>
    <w:rsid w:val="00893B98"/>
    <w:rsid w:val="008A29FB"/>
    <w:rsid w:val="008A66DB"/>
    <w:rsid w:val="008B6E46"/>
    <w:rsid w:val="008C388A"/>
    <w:rsid w:val="008D4F8F"/>
    <w:rsid w:val="008D569B"/>
    <w:rsid w:val="008F1CDD"/>
    <w:rsid w:val="008F3FFD"/>
    <w:rsid w:val="00911780"/>
    <w:rsid w:val="009230BF"/>
    <w:rsid w:val="00925F83"/>
    <w:rsid w:val="00932586"/>
    <w:rsid w:val="00933A4B"/>
    <w:rsid w:val="00944820"/>
    <w:rsid w:val="009536C7"/>
    <w:rsid w:val="009606EE"/>
    <w:rsid w:val="00966A79"/>
    <w:rsid w:val="00972C65"/>
    <w:rsid w:val="009764E3"/>
    <w:rsid w:val="009831AE"/>
    <w:rsid w:val="009918AC"/>
    <w:rsid w:val="009B732F"/>
    <w:rsid w:val="009C3CB5"/>
    <w:rsid w:val="009C68CB"/>
    <w:rsid w:val="009D1CDC"/>
    <w:rsid w:val="009E67F8"/>
    <w:rsid w:val="00A03256"/>
    <w:rsid w:val="00A077E9"/>
    <w:rsid w:val="00A149B9"/>
    <w:rsid w:val="00A263D2"/>
    <w:rsid w:val="00A2681E"/>
    <w:rsid w:val="00A473C6"/>
    <w:rsid w:val="00A6151F"/>
    <w:rsid w:val="00A75B59"/>
    <w:rsid w:val="00A830D3"/>
    <w:rsid w:val="00A8399F"/>
    <w:rsid w:val="00A850D8"/>
    <w:rsid w:val="00A96F80"/>
    <w:rsid w:val="00AA7298"/>
    <w:rsid w:val="00AB321B"/>
    <w:rsid w:val="00AB661A"/>
    <w:rsid w:val="00AB7752"/>
    <w:rsid w:val="00AD47C9"/>
    <w:rsid w:val="00B02EF1"/>
    <w:rsid w:val="00B05EEF"/>
    <w:rsid w:val="00B24C47"/>
    <w:rsid w:val="00B263A8"/>
    <w:rsid w:val="00B31E84"/>
    <w:rsid w:val="00B37046"/>
    <w:rsid w:val="00B37441"/>
    <w:rsid w:val="00B42757"/>
    <w:rsid w:val="00B462E3"/>
    <w:rsid w:val="00B55A5C"/>
    <w:rsid w:val="00B57351"/>
    <w:rsid w:val="00B621D0"/>
    <w:rsid w:val="00B64F4F"/>
    <w:rsid w:val="00B94260"/>
    <w:rsid w:val="00B94C24"/>
    <w:rsid w:val="00BC0D15"/>
    <w:rsid w:val="00BC3119"/>
    <w:rsid w:val="00BD08ED"/>
    <w:rsid w:val="00BD2BD1"/>
    <w:rsid w:val="00BE105B"/>
    <w:rsid w:val="00BF3273"/>
    <w:rsid w:val="00C001CE"/>
    <w:rsid w:val="00C12E52"/>
    <w:rsid w:val="00C15A13"/>
    <w:rsid w:val="00C17D72"/>
    <w:rsid w:val="00C229C7"/>
    <w:rsid w:val="00C25C3B"/>
    <w:rsid w:val="00C34315"/>
    <w:rsid w:val="00C47AD9"/>
    <w:rsid w:val="00C50E3B"/>
    <w:rsid w:val="00C54AB6"/>
    <w:rsid w:val="00C6180E"/>
    <w:rsid w:val="00C65EC9"/>
    <w:rsid w:val="00C7031C"/>
    <w:rsid w:val="00C71143"/>
    <w:rsid w:val="00C777EC"/>
    <w:rsid w:val="00C9152C"/>
    <w:rsid w:val="00CA2F9C"/>
    <w:rsid w:val="00CA431F"/>
    <w:rsid w:val="00CA7691"/>
    <w:rsid w:val="00CB3880"/>
    <w:rsid w:val="00CB5F70"/>
    <w:rsid w:val="00CC0508"/>
    <w:rsid w:val="00CC050D"/>
    <w:rsid w:val="00CE5E1A"/>
    <w:rsid w:val="00CF61C4"/>
    <w:rsid w:val="00D04162"/>
    <w:rsid w:val="00D1455B"/>
    <w:rsid w:val="00D27E50"/>
    <w:rsid w:val="00D41405"/>
    <w:rsid w:val="00D42BD3"/>
    <w:rsid w:val="00D43A3D"/>
    <w:rsid w:val="00D46F4C"/>
    <w:rsid w:val="00D608BF"/>
    <w:rsid w:val="00D609F6"/>
    <w:rsid w:val="00D730A8"/>
    <w:rsid w:val="00D82869"/>
    <w:rsid w:val="00D92C8E"/>
    <w:rsid w:val="00D9446B"/>
    <w:rsid w:val="00D96D88"/>
    <w:rsid w:val="00DA05E4"/>
    <w:rsid w:val="00DB1DD5"/>
    <w:rsid w:val="00DB2823"/>
    <w:rsid w:val="00DB7D4B"/>
    <w:rsid w:val="00DC2667"/>
    <w:rsid w:val="00DC27CF"/>
    <w:rsid w:val="00DC7B81"/>
    <w:rsid w:val="00DD566B"/>
    <w:rsid w:val="00DD7FB6"/>
    <w:rsid w:val="00DF5529"/>
    <w:rsid w:val="00DF6D7B"/>
    <w:rsid w:val="00DF7B51"/>
    <w:rsid w:val="00E03165"/>
    <w:rsid w:val="00E06013"/>
    <w:rsid w:val="00E107BC"/>
    <w:rsid w:val="00E252DC"/>
    <w:rsid w:val="00E26BA6"/>
    <w:rsid w:val="00E34E96"/>
    <w:rsid w:val="00E415BF"/>
    <w:rsid w:val="00E428A6"/>
    <w:rsid w:val="00E516E3"/>
    <w:rsid w:val="00E51CC3"/>
    <w:rsid w:val="00E527BA"/>
    <w:rsid w:val="00E5280A"/>
    <w:rsid w:val="00E901E1"/>
    <w:rsid w:val="00E91798"/>
    <w:rsid w:val="00EC5ED5"/>
    <w:rsid w:val="00ED1E69"/>
    <w:rsid w:val="00ED3304"/>
    <w:rsid w:val="00ED5777"/>
    <w:rsid w:val="00ED5F8B"/>
    <w:rsid w:val="00ED6E40"/>
    <w:rsid w:val="00ED6EBC"/>
    <w:rsid w:val="00EE10B1"/>
    <w:rsid w:val="00EE6B3A"/>
    <w:rsid w:val="00EF4F52"/>
    <w:rsid w:val="00F05B7F"/>
    <w:rsid w:val="00F05EAD"/>
    <w:rsid w:val="00F072FF"/>
    <w:rsid w:val="00F1208C"/>
    <w:rsid w:val="00F163D4"/>
    <w:rsid w:val="00F42090"/>
    <w:rsid w:val="00F42CC8"/>
    <w:rsid w:val="00F438CF"/>
    <w:rsid w:val="00F528C1"/>
    <w:rsid w:val="00F52C18"/>
    <w:rsid w:val="00F57735"/>
    <w:rsid w:val="00F7283E"/>
    <w:rsid w:val="00F740D3"/>
    <w:rsid w:val="00F8216E"/>
    <w:rsid w:val="00F85CD8"/>
    <w:rsid w:val="00F86A88"/>
    <w:rsid w:val="00FA4002"/>
    <w:rsid w:val="00FA7DCE"/>
    <w:rsid w:val="00FB0ED4"/>
    <w:rsid w:val="00FC36B9"/>
    <w:rsid w:val="00FC3AD3"/>
    <w:rsid w:val="00FC571B"/>
    <w:rsid w:val="00FC5DB5"/>
    <w:rsid w:val="00FD30B6"/>
    <w:rsid w:val="00FE24F5"/>
    <w:rsid w:val="00FF1E9D"/>
  </w:rsids>
  <m:mathPr>
    <m:mathFont m:val="Cambria Math"/>
    <m:brkBin m:val="before"/>
    <m:brkBinSub m:val="--"/>
    <m:smallFrac m:val="0"/>
    <m:dispDef/>
    <m:lMargin m:val="0"/>
    <m:rMargin m:val="0"/>
    <m:defJc m:val="centerGroup"/>
    <m:wrapIndent m:val="1440"/>
    <m:intLim m:val="subSup"/>
    <m:naryLim m:val="undOvr"/>
  </m:mathPr>
  <w:themeFontLang w:val="sq-A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303EA"/>
    <w:pPr>
      <w:keepNext/>
      <w:keepLines/>
      <w:spacing w:before="200" w:after="0" w:line="276" w:lineRule="auto"/>
      <w:outlineLvl w:val="1"/>
    </w:pPr>
    <w:rPr>
      <w:rFonts w:ascii="Cambria" w:eastAsia="Times New Roman" w:hAnsi="Cambria" w:cs="Times New Roman"/>
      <w:b/>
      <w:bCs/>
      <w:color w:val="4F81BD"/>
      <w:sz w:val="26"/>
      <w:szCs w:val="26"/>
      <w:lang w:val="en-GB" w:eastAsia="en-GB" w:bidi="ar-SA"/>
    </w:rPr>
  </w:style>
  <w:style w:type="paragraph" w:styleId="Heading4">
    <w:name w:val="heading 4"/>
    <w:basedOn w:val="Normal"/>
    <w:link w:val="Heading4Char"/>
    <w:uiPriority w:val="9"/>
    <w:qFormat/>
    <w:rsid w:val="008303EA"/>
    <w:pPr>
      <w:spacing w:before="100" w:beforeAutospacing="1" w:after="100" w:afterAutospacing="1" w:line="240" w:lineRule="auto"/>
      <w:outlineLvl w:val="3"/>
    </w:pPr>
    <w:rPr>
      <w:rFonts w:ascii="Times New Roman" w:eastAsia="Times New Roman" w:hAnsi="Times New Roman" w:cs="Times New Roman"/>
      <w:b/>
      <w:bCs/>
      <w:sz w:val="24"/>
      <w:szCs w:val="24"/>
      <w:lang w:val="en-GB"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79EE"/>
    <w:pPr>
      <w:ind w:left="720"/>
      <w:contextualSpacing/>
    </w:pPr>
  </w:style>
  <w:style w:type="character" w:customStyle="1" w:styleId="Heading2Char">
    <w:name w:val="Heading 2 Char"/>
    <w:basedOn w:val="DefaultParagraphFont"/>
    <w:link w:val="Heading2"/>
    <w:uiPriority w:val="9"/>
    <w:semiHidden/>
    <w:rsid w:val="008303EA"/>
    <w:rPr>
      <w:rFonts w:ascii="Cambria" w:eastAsia="Times New Roman" w:hAnsi="Cambria" w:cs="Times New Roman"/>
      <w:b/>
      <w:bCs/>
      <w:color w:val="4F81BD"/>
      <w:sz w:val="26"/>
      <w:szCs w:val="26"/>
      <w:lang w:val="en-GB" w:eastAsia="en-GB" w:bidi="ar-SA"/>
    </w:rPr>
  </w:style>
  <w:style w:type="character" w:customStyle="1" w:styleId="Heading4Char">
    <w:name w:val="Heading 4 Char"/>
    <w:basedOn w:val="DefaultParagraphFont"/>
    <w:link w:val="Heading4"/>
    <w:uiPriority w:val="9"/>
    <w:rsid w:val="008303EA"/>
    <w:rPr>
      <w:rFonts w:ascii="Times New Roman" w:eastAsia="Times New Roman" w:hAnsi="Times New Roman" w:cs="Times New Roman"/>
      <w:b/>
      <w:bCs/>
      <w:sz w:val="24"/>
      <w:szCs w:val="24"/>
      <w:lang w:val="en-GB" w:eastAsia="en-GB" w:bidi="ar-SA"/>
    </w:rPr>
  </w:style>
  <w:style w:type="paragraph" w:styleId="FootnoteText">
    <w:name w:val="footnote text"/>
    <w:basedOn w:val="Normal"/>
    <w:link w:val="FootnoteTextChar"/>
    <w:uiPriority w:val="99"/>
    <w:unhideWhenUsed/>
    <w:rsid w:val="008303EA"/>
    <w:pPr>
      <w:spacing w:after="0" w:line="240" w:lineRule="auto"/>
    </w:pPr>
    <w:rPr>
      <w:rFonts w:ascii="Calibri" w:eastAsia="MS Mincho" w:hAnsi="Calibri" w:cs="Times New Roman"/>
      <w:sz w:val="20"/>
      <w:szCs w:val="20"/>
      <w:lang w:val="en-GB" w:eastAsia="en-GB" w:bidi="ar-SA"/>
    </w:rPr>
  </w:style>
  <w:style w:type="character" w:customStyle="1" w:styleId="FootnoteTextChar">
    <w:name w:val="Footnote Text Char"/>
    <w:basedOn w:val="DefaultParagraphFont"/>
    <w:link w:val="FootnoteText"/>
    <w:uiPriority w:val="99"/>
    <w:rsid w:val="008303EA"/>
    <w:rPr>
      <w:rFonts w:ascii="Calibri" w:eastAsia="MS Mincho" w:hAnsi="Calibri" w:cs="Times New Roman"/>
      <w:sz w:val="20"/>
      <w:szCs w:val="20"/>
      <w:lang w:val="en-GB" w:eastAsia="en-GB" w:bidi="ar-SA"/>
    </w:rPr>
  </w:style>
  <w:style w:type="character" w:styleId="FootnoteReference">
    <w:name w:val="footnote reference"/>
    <w:uiPriority w:val="99"/>
    <w:unhideWhenUsed/>
    <w:rsid w:val="008303EA"/>
    <w:rPr>
      <w:vertAlign w:val="superscript"/>
    </w:rPr>
  </w:style>
  <w:style w:type="paragraph" w:styleId="Footer">
    <w:name w:val="footer"/>
    <w:basedOn w:val="Normal"/>
    <w:link w:val="FooterChar"/>
    <w:uiPriority w:val="99"/>
    <w:unhideWhenUsed/>
    <w:rsid w:val="008303EA"/>
    <w:pPr>
      <w:tabs>
        <w:tab w:val="center" w:pos="4513"/>
        <w:tab w:val="right" w:pos="9026"/>
      </w:tabs>
      <w:spacing w:after="0" w:line="240" w:lineRule="auto"/>
    </w:pPr>
    <w:rPr>
      <w:rFonts w:ascii="Calibri" w:eastAsia="MS Mincho" w:hAnsi="Calibri" w:cs="Times New Roman"/>
      <w:lang w:val="en-GB" w:eastAsia="en-GB" w:bidi="ar-SA"/>
    </w:rPr>
  </w:style>
  <w:style w:type="character" w:customStyle="1" w:styleId="FooterChar">
    <w:name w:val="Footer Char"/>
    <w:basedOn w:val="DefaultParagraphFont"/>
    <w:link w:val="Footer"/>
    <w:uiPriority w:val="99"/>
    <w:rsid w:val="008303EA"/>
    <w:rPr>
      <w:rFonts w:ascii="Calibri" w:eastAsia="MS Mincho" w:hAnsi="Calibri" w:cs="Times New Roman"/>
      <w:lang w:val="en-GB" w:eastAsia="en-GB" w:bidi="ar-SA"/>
    </w:rPr>
  </w:style>
  <w:style w:type="paragraph" w:styleId="NoSpacing">
    <w:name w:val="No Spacing"/>
    <w:uiPriority w:val="1"/>
    <w:qFormat/>
    <w:rsid w:val="008303EA"/>
    <w:pPr>
      <w:spacing w:after="0" w:line="240" w:lineRule="auto"/>
    </w:pPr>
    <w:rPr>
      <w:rFonts w:ascii="Calibri" w:eastAsia="MS Mincho" w:hAnsi="Calibri" w:cs="Times New Roman"/>
      <w:lang w:val="en-GB" w:eastAsia="en-GB" w:bidi="ar-SA"/>
    </w:rPr>
  </w:style>
  <w:style w:type="character" w:styleId="Hyperlink">
    <w:name w:val="Hyperlink"/>
    <w:uiPriority w:val="99"/>
    <w:unhideWhenUsed/>
    <w:rsid w:val="008303EA"/>
    <w:rPr>
      <w:color w:val="0000FF"/>
      <w:u w:val="single"/>
    </w:rPr>
  </w:style>
  <w:style w:type="paragraph" w:styleId="Header">
    <w:name w:val="header"/>
    <w:basedOn w:val="Normal"/>
    <w:link w:val="HeaderChar"/>
    <w:uiPriority w:val="99"/>
    <w:unhideWhenUsed/>
    <w:rsid w:val="008303EA"/>
    <w:pPr>
      <w:tabs>
        <w:tab w:val="center" w:pos="4513"/>
        <w:tab w:val="right" w:pos="9026"/>
      </w:tabs>
      <w:spacing w:after="0" w:line="240" w:lineRule="auto"/>
    </w:pPr>
    <w:rPr>
      <w:rFonts w:ascii="Calibri" w:eastAsia="MS Mincho" w:hAnsi="Calibri" w:cs="Times New Roman"/>
      <w:lang w:val="en-GB" w:eastAsia="en-GB" w:bidi="ar-SA"/>
    </w:rPr>
  </w:style>
  <w:style w:type="character" w:customStyle="1" w:styleId="HeaderChar">
    <w:name w:val="Header Char"/>
    <w:basedOn w:val="DefaultParagraphFont"/>
    <w:link w:val="Header"/>
    <w:uiPriority w:val="99"/>
    <w:rsid w:val="008303EA"/>
    <w:rPr>
      <w:rFonts w:ascii="Calibri" w:eastAsia="MS Mincho" w:hAnsi="Calibri" w:cs="Times New Roman"/>
      <w:lang w:val="en-GB" w:eastAsia="en-GB" w:bidi="ar-SA"/>
    </w:rPr>
  </w:style>
  <w:style w:type="paragraph" w:styleId="NormalWeb">
    <w:name w:val="Normal (Web)"/>
    <w:basedOn w:val="Normal"/>
    <w:uiPriority w:val="99"/>
    <w:unhideWhenUsed/>
    <w:rsid w:val="008303EA"/>
    <w:pPr>
      <w:spacing w:before="100" w:beforeAutospacing="1" w:after="100" w:afterAutospacing="1" w:line="240" w:lineRule="auto"/>
    </w:pPr>
    <w:rPr>
      <w:rFonts w:ascii="Times New Roman" w:eastAsia="Times New Roman" w:hAnsi="Times New Roman" w:cs="Times New Roman"/>
      <w:sz w:val="24"/>
      <w:szCs w:val="24"/>
      <w:lang w:val="en-GB" w:eastAsia="en-GB" w:bidi="ar-SA"/>
    </w:rPr>
  </w:style>
  <w:style w:type="character" w:customStyle="1" w:styleId="mw-headline">
    <w:name w:val="mw-headline"/>
    <w:basedOn w:val="DefaultParagraphFont"/>
    <w:rsid w:val="008303EA"/>
  </w:style>
  <w:style w:type="character" w:customStyle="1" w:styleId="editsection1">
    <w:name w:val="editsection1"/>
    <w:rsid w:val="008303EA"/>
    <w:rPr>
      <w:b w:val="0"/>
      <w:bCs w:val="0"/>
      <w:sz w:val="20"/>
      <w:szCs w:val="20"/>
    </w:rPr>
  </w:style>
  <w:style w:type="character" w:customStyle="1" w:styleId="toctoggle3">
    <w:name w:val="toctoggle3"/>
    <w:rsid w:val="008303EA"/>
    <w:rPr>
      <w:sz w:val="23"/>
      <w:szCs w:val="23"/>
    </w:rPr>
  </w:style>
  <w:style w:type="character" w:customStyle="1" w:styleId="tocnumber">
    <w:name w:val="tocnumber"/>
    <w:basedOn w:val="DefaultParagraphFont"/>
    <w:rsid w:val="008303EA"/>
  </w:style>
  <w:style w:type="character" w:customStyle="1" w:styleId="toctext">
    <w:name w:val="toctext"/>
    <w:basedOn w:val="DefaultParagraphFont"/>
    <w:rsid w:val="008303EA"/>
  </w:style>
  <w:style w:type="character" w:customStyle="1" w:styleId="voceconnessa">
    <w:name w:val="voceconnessa"/>
    <w:basedOn w:val="DefaultParagraphFont"/>
    <w:rsid w:val="008303EA"/>
  </w:style>
  <w:style w:type="character" w:customStyle="1" w:styleId="lemma4">
    <w:name w:val="lemma4"/>
    <w:basedOn w:val="DefaultParagraphFont"/>
    <w:rsid w:val="008303EA"/>
  </w:style>
  <w:style w:type="character" w:customStyle="1" w:styleId="sc-subparagraph2">
    <w:name w:val="sc-subparagraph2"/>
    <w:basedOn w:val="DefaultParagraphFont"/>
    <w:rsid w:val="008303EA"/>
  </w:style>
  <w:style w:type="character" w:customStyle="1" w:styleId="pttestoseguente">
    <w:name w:val="pt_testoseguente"/>
    <w:basedOn w:val="DefaultParagraphFont"/>
    <w:rsid w:val="008303EA"/>
  </w:style>
  <w:style w:type="character" w:styleId="Emphasis">
    <w:name w:val="Emphasis"/>
    <w:uiPriority w:val="20"/>
    <w:qFormat/>
    <w:rsid w:val="008303EA"/>
    <w:rPr>
      <w:i/>
      <w:iCs/>
    </w:rPr>
  </w:style>
  <w:style w:type="character" w:customStyle="1" w:styleId="sc-paragraph2">
    <w:name w:val="sc-paragraph2"/>
    <w:basedOn w:val="DefaultParagraphFont"/>
    <w:rsid w:val="008303EA"/>
  </w:style>
  <w:style w:type="character" w:customStyle="1" w:styleId="shorttext">
    <w:name w:val="short_text"/>
    <w:basedOn w:val="DefaultParagraphFont"/>
    <w:rsid w:val="008303EA"/>
  </w:style>
  <w:style w:type="character" w:customStyle="1" w:styleId="hps">
    <w:name w:val="hps"/>
    <w:basedOn w:val="DefaultParagraphFont"/>
    <w:rsid w:val="008303EA"/>
  </w:style>
  <w:style w:type="character" w:customStyle="1" w:styleId="apple-style-span">
    <w:name w:val="apple-style-span"/>
    <w:basedOn w:val="DefaultParagraphFont"/>
    <w:rsid w:val="008303EA"/>
  </w:style>
  <w:style w:type="character" w:styleId="Strong">
    <w:name w:val="Strong"/>
    <w:uiPriority w:val="22"/>
    <w:qFormat/>
    <w:rsid w:val="008303EA"/>
    <w:rPr>
      <w:b/>
      <w:bCs/>
    </w:rPr>
  </w:style>
  <w:style w:type="character" w:customStyle="1" w:styleId="apple-converted-space">
    <w:name w:val="apple-converted-space"/>
    <w:basedOn w:val="DefaultParagraphFont"/>
    <w:rsid w:val="008303EA"/>
  </w:style>
  <w:style w:type="character" w:customStyle="1" w:styleId="createdate">
    <w:name w:val="createdate"/>
    <w:basedOn w:val="DefaultParagraphFont"/>
    <w:rsid w:val="008303EA"/>
  </w:style>
  <w:style w:type="character" w:customStyle="1" w:styleId="createby">
    <w:name w:val="createby"/>
    <w:basedOn w:val="DefaultParagraphFont"/>
    <w:rsid w:val="008303EA"/>
  </w:style>
  <w:style w:type="paragraph" w:customStyle="1" w:styleId="sdfootnote">
    <w:name w:val="sdfootnote"/>
    <w:basedOn w:val="Normal"/>
    <w:rsid w:val="008303EA"/>
    <w:pPr>
      <w:spacing w:before="100" w:beforeAutospacing="1" w:after="100" w:afterAutospacing="1" w:line="240" w:lineRule="auto"/>
    </w:pPr>
    <w:rPr>
      <w:rFonts w:ascii="Times New Roman" w:eastAsia="Times New Roman" w:hAnsi="Times New Roman" w:cs="Times New Roman"/>
      <w:sz w:val="24"/>
      <w:szCs w:val="24"/>
      <w:lang w:val="en-GB" w:eastAsia="en-GB" w:bidi="ar-SA"/>
    </w:rPr>
  </w:style>
  <w:style w:type="paragraph" w:styleId="BalloonText">
    <w:name w:val="Balloon Text"/>
    <w:basedOn w:val="Normal"/>
    <w:link w:val="BalloonTextChar"/>
    <w:uiPriority w:val="99"/>
    <w:semiHidden/>
    <w:unhideWhenUsed/>
    <w:rsid w:val="008303EA"/>
    <w:pPr>
      <w:spacing w:after="0" w:line="240" w:lineRule="auto"/>
    </w:pPr>
    <w:rPr>
      <w:rFonts w:ascii="Tahoma" w:eastAsia="MS Mincho" w:hAnsi="Tahoma" w:cs="Tahoma"/>
      <w:sz w:val="16"/>
      <w:szCs w:val="16"/>
      <w:lang w:val="en-GB" w:eastAsia="en-GB" w:bidi="ar-SA"/>
    </w:rPr>
  </w:style>
  <w:style w:type="character" w:customStyle="1" w:styleId="BalloonTextChar">
    <w:name w:val="Balloon Text Char"/>
    <w:basedOn w:val="DefaultParagraphFont"/>
    <w:link w:val="BalloonText"/>
    <w:uiPriority w:val="99"/>
    <w:semiHidden/>
    <w:rsid w:val="008303EA"/>
    <w:rPr>
      <w:rFonts w:ascii="Tahoma" w:eastAsia="MS Mincho" w:hAnsi="Tahoma" w:cs="Tahoma"/>
      <w:sz w:val="16"/>
      <w:szCs w:val="16"/>
      <w:lang w:val="en-GB" w:eastAsia="en-GB" w:bidi="ar-SA"/>
    </w:rPr>
  </w:style>
  <w:style w:type="character" w:customStyle="1" w:styleId="f1s20">
    <w:name w:val="f1s20"/>
    <w:basedOn w:val="DefaultParagraphFont"/>
    <w:rsid w:val="008303EA"/>
  </w:style>
  <w:style w:type="character" w:customStyle="1" w:styleId="BodyText1">
    <w:name w:val="Body Text1"/>
    <w:basedOn w:val="DefaultParagraphFont"/>
    <w:rsid w:val="00932586"/>
    <w:rPr>
      <w:rFonts w:ascii="Garamond" w:eastAsia="Garamond" w:hAnsi="Garamond" w:cs="Garamond"/>
      <w:b w:val="0"/>
      <w:bCs w:val="0"/>
      <w:i w:val="0"/>
      <w:iCs w:val="0"/>
      <w:smallCaps w:val="0"/>
      <w:strike w:val="0"/>
      <w:color w:val="000000"/>
      <w:spacing w:val="0"/>
      <w:w w:val="100"/>
      <w:position w:val="0"/>
      <w:sz w:val="21"/>
      <w:szCs w:val="21"/>
      <w:u w:val="none"/>
      <w:lang w:val="sq-AL"/>
    </w:rPr>
  </w:style>
  <w:style w:type="paragraph" w:customStyle="1" w:styleId="Default">
    <w:name w:val="Default"/>
    <w:rsid w:val="00B621D0"/>
    <w:pPr>
      <w:autoSpaceDE w:val="0"/>
      <w:autoSpaceDN w:val="0"/>
      <w:adjustRightInd w:val="0"/>
      <w:spacing w:after="0" w:line="240" w:lineRule="auto"/>
    </w:pPr>
    <w:rPr>
      <w:rFonts w:ascii="Times New Roman" w:hAnsi="Times New Roman" w:cs="Times New Roman"/>
      <w:color w:val="000000"/>
      <w:sz w:val="24"/>
      <w:szCs w:val="24"/>
      <w:lang w:val="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303EA"/>
    <w:pPr>
      <w:keepNext/>
      <w:keepLines/>
      <w:spacing w:before="200" w:after="0" w:line="276" w:lineRule="auto"/>
      <w:outlineLvl w:val="1"/>
    </w:pPr>
    <w:rPr>
      <w:rFonts w:ascii="Cambria" w:eastAsia="Times New Roman" w:hAnsi="Cambria" w:cs="Times New Roman"/>
      <w:b/>
      <w:bCs/>
      <w:color w:val="4F81BD"/>
      <w:sz w:val="26"/>
      <w:szCs w:val="26"/>
      <w:lang w:val="en-GB" w:eastAsia="en-GB" w:bidi="ar-SA"/>
    </w:rPr>
  </w:style>
  <w:style w:type="paragraph" w:styleId="Heading4">
    <w:name w:val="heading 4"/>
    <w:basedOn w:val="Normal"/>
    <w:link w:val="Heading4Char"/>
    <w:uiPriority w:val="9"/>
    <w:qFormat/>
    <w:rsid w:val="008303EA"/>
    <w:pPr>
      <w:spacing w:before="100" w:beforeAutospacing="1" w:after="100" w:afterAutospacing="1" w:line="240" w:lineRule="auto"/>
      <w:outlineLvl w:val="3"/>
    </w:pPr>
    <w:rPr>
      <w:rFonts w:ascii="Times New Roman" w:eastAsia="Times New Roman" w:hAnsi="Times New Roman" w:cs="Times New Roman"/>
      <w:b/>
      <w:bCs/>
      <w:sz w:val="24"/>
      <w:szCs w:val="24"/>
      <w:lang w:val="en-GB"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79EE"/>
    <w:pPr>
      <w:ind w:left="720"/>
      <w:contextualSpacing/>
    </w:pPr>
  </w:style>
  <w:style w:type="character" w:customStyle="1" w:styleId="Heading2Char">
    <w:name w:val="Heading 2 Char"/>
    <w:basedOn w:val="DefaultParagraphFont"/>
    <w:link w:val="Heading2"/>
    <w:uiPriority w:val="9"/>
    <w:semiHidden/>
    <w:rsid w:val="008303EA"/>
    <w:rPr>
      <w:rFonts w:ascii="Cambria" w:eastAsia="Times New Roman" w:hAnsi="Cambria" w:cs="Times New Roman"/>
      <w:b/>
      <w:bCs/>
      <w:color w:val="4F81BD"/>
      <w:sz w:val="26"/>
      <w:szCs w:val="26"/>
      <w:lang w:val="en-GB" w:eastAsia="en-GB" w:bidi="ar-SA"/>
    </w:rPr>
  </w:style>
  <w:style w:type="character" w:customStyle="1" w:styleId="Heading4Char">
    <w:name w:val="Heading 4 Char"/>
    <w:basedOn w:val="DefaultParagraphFont"/>
    <w:link w:val="Heading4"/>
    <w:uiPriority w:val="9"/>
    <w:rsid w:val="008303EA"/>
    <w:rPr>
      <w:rFonts w:ascii="Times New Roman" w:eastAsia="Times New Roman" w:hAnsi="Times New Roman" w:cs="Times New Roman"/>
      <w:b/>
      <w:bCs/>
      <w:sz w:val="24"/>
      <w:szCs w:val="24"/>
      <w:lang w:val="en-GB" w:eastAsia="en-GB" w:bidi="ar-SA"/>
    </w:rPr>
  </w:style>
  <w:style w:type="paragraph" w:styleId="FootnoteText">
    <w:name w:val="footnote text"/>
    <w:basedOn w:val="Normal"/>
    <w:link w:val="FootnoteTextChar"/>
    <w:uiPriority w:val="99"/>
    <w:unhideWhenUsed/>
    <w:rsid w:val="008303EA"/>
    <w:pPr>
      <w:spacing w:after="0" w:line="240" w:lineRule="auto"/>
    </w:pPr>
    <w:rPr>
      <w:rFonts w:ascii="Calibri" w:eastAsia="MS Mincho" w:hAnsi="Calibri" w:cs="Times New Roman"/>
      <w:sz w:val="20"/>
      <w:szCs w:val="20"/>
      <w:lang w:val="en-GB" w:eastAsia="en-GB" w:bidi="ar-SA"/>
    </w:rPr>
  </w:style>
  <w:style w:type="character" w:customStyle="1" w:styleId="FootnoteTextChar">
    <w:name w:val="Footnote Text Char"/>
    <w:basedOn w:val="DefaultParagraphFont"/>
    <w:link w:val="FootnoteText"/>
    <w:uiPriority w:val="99"/>
    <w:rsid w:val="008303EA"/>
    <w:rPr>
      <w:rFonts w:ascii="Calibri" w:eastAsia="MS Mincho" w:hAnsi="Calibri" w:cs="Times New Roman"/>
      <w:sz w:val="20"/>
      <w:szCs w:val="20"/>
      <w:lang w:val="en-GB" w:eastAsia="en-GB" w:bidi="ar-SA"/>
    </w:rPr>
  </w:style>
  <w:style w:type="character" w:styleId="FootnoteReference">
    <w:name w:val="footnote reference"/>
    <w:uiPriority w:val="99"/>
    <w:unhideWhenUsed/>
    <w:rsid w:val="008303EA"/>
    <w:rPr>
      <w:vertAlign w:val="superscript"/>
    </w:rPr>
  </w:style>
  <w:style w:type="paragraph" w:styleId="Footer">
    <w:name w:val="footer"/>
    <w:basedOn w:val="Normal"/>
    <w:link w:val="FooterChar"/>
    <w:uiPriority w:val="99"/>
    <w:unhideWhenUsed/>
    <w:rsid w:val="008303EA"/>
    <w:pPr>
      <w:tabs>
        <w:tab w:val="center" w:pos="4513"/>
        <w:tab w:val="right" w:pos="9026"/>
      </w:tabs>
      <w:spacing w:after="0" w:line="240" w:lineRule="auto"/>
    </w:pPr>
    <w:rPr>
      <w:rFonts w:ascii="Calibri" w:eastAsia="MS Mincho" w:hAnsi="Calibri" w:cs="Times New Roman"/>
      <w:lang w:val="en-GB" w:eastAsia="en-GB" w:bidi="ar-SA"/>
    </w:rPr>
  </w:style>
  <w:style w:type="character" w:customStyle="1" w:styleId="FooterChar">
    <w:name w:val="Footer Char"/>
    <w:basedOn w:val="DefaultParagraphFont"/>
    <w:link w:val="Footer"/>
    <w:uiPriority w:val="99"/>
    <w:rsid w:val="008303EA"/>
    <w:rPr>
      <w:rFonts w:ascii="Calibri" w:eastAsia="MS Mincho" w:hAnsi="Calibri" w:cs="Times New Roman"/>
      <w:lang w:val="en-GB" w:eastAsia="en-GB" w:bidi="ar-SA"/>
    </w:rPr>
  </w:style>
  <w:style w:type="paragraph" w:styleId="NoSpacing">
    <w:name w:val="No Spacing"/>
    <w:uiPriority w:val="1"/>
    <w:qFormat/>
    <w:rsid w:val="008303EA"/>
    <w:pPr>
      <w:spacing w:after="0" w:line="240" w:lineRule="auto"/>
    </w:pPr>
    <w:rPr>
      <w:rFonts w:ascii="Calibri" w:eastAsia="MS Mincho" w:hAnsi="Calibri" w:cs="Times New Roman"/>
      <w:lang w:val="en-GB" w:eastAsia="en-GB" w:bidi="ar-SA"/>
    </w:rPr>
  </w:style>
  <w:style w:type="character" w:styleId="Hyperlink">
    <w:name w:val="Hyperlink"/>
    <w:uiPriority w:val="99"/>
    <w:unhideWhenUsed/>
    <w:rsid w:val="008303EA"/>
    <w:rPr>
      <w:color w:val="0000FF"/>
      <w:u w:val="single"/>
    </w:rPr>
  </w:style>
  <w:style w:type="paragraph" w:styleId="Header">
    <w:name w:val="header"/>
    <w:basedOn w:val="Normal"/>
    <w:link w:val="HeaderChar"/>
    <w:uiPriority w:val="99"/>
    <w:unhideWhenUsed/>
    <w:rsid w:val="008303EA"/>
    <w:pPr>
      <w:tabs>
        <w:tab w:val="center" w:pos="4513"/>
        <w:tab w:val="right" w:pos="9026"/>
      </w:tabs>
      <w:spacing w:after="0" w:line="240" w:lineRule="auto"/>
    </w:pPr>
    <w:rPr>
      <w:rFonts w:ascii="Calibri" w:eastAsia="MS Mincho" w:hAnsi="Calibri" w:cs="Times New Roman"/>
      <w:lang w:val="en-GB" w:eastAsia="en-GB" w:bidi="ar-SA"/>
    </w:rPr>
  </w:style>
  <w:style w:type="character" w:customStyle="1" w:styleId="HeaderChar">
    <w:name w:val="Header Char"/>
    <w:basedOn w:val="DefaultParagraphFont"/>
    <w:link w:val="Header"/>
    <w:uiPriority w:val="99"/>
    <w:rsid w:val="008303EA"/>
    <w:rPr>
      <w:rFonts w:ascii="Calibri" w:eastAsia="MS Mincho" w:hAnsi="Calibri" w:cs="Times New Roman"/>
      <w:lang w:val="en-GB" w:eastAsia="en-GB" w:bidi="ar-SA"/>
    </w:rPr>
  </w:style>
  <w:style w:type="paragraph" w:styleId="NormalWeb">
    <w:name w:val="Normal (Web)"/>
    <w:basedOn w:val="Normal"/>
    <w:uiPriority w:val="99"/>
    <w:unhideWhenUsed/>
    <w:rsid w:val="008303EA"/>
    <w:pPr>
      <w:spacing w:before="100" w:beforeAutospacing="1" w:after="100" w:afterAutospacing="1" w:line="240" w:lineRule="auto"/>
    </w:pPr>
    <w:rPr>
      <w:rFonts w:ascii="Times New Roman" w:eastAsia="Times New Roman" w:hAnsi="Times New Roman" w:cs="Times New Roman"/>
      <w:sz w:val="24"/>
      <w:szCs w:val="24"/>
      <w:lang w:val="en-GB" w:eastAsia="en-GB" w:bidi="ar-SA"/>
    </w:rPr>
  </w:style>
  <w:style w:type="character" w:customStyle="1" w:styleId="mw-headline">
    <w:name w:val="mw-headline"/>
    <w:basedOn w:val="DefaultParagraphFont"/>
    <w:rsid w:val="008303EA"/>
  </w:style>
  <w:style w:type="character" w:customStyle="1" w:styleId="editsection1">
    <w:name w:val="editsection1"/>
    <w:rsid w:val="008303EA"/>
    <w:rPr>
      <w:b w:val="0"/>
      <w:bCs w:val="0"/>
      <w:sz w:val="20"/>
      <w:szCs w:val="20"/>
    </w:rPr>
  </w:style>
  <w:style w:type="character" w:customStyle="1" w:styleId="toctoggle3">
    <w:name w:val="toctoggle3"/>
    <w:rsid w:val="008303EA"/>
    <w:rPr>
      <w:sz w:val="23"/>
      <w:szCs w:val="23"/>
    </w:rPr>
  </w:style>
  <w:style w:type="character" w:customStyle="1" w:styleId="tocnumber">
    <w:name w:val="tocnumber"/>
    <w:basedOn w:val="DefaultParagraphFont"/>
    <w:rsid w:val="008303EA"/>
  </w:style>
  <w:style w:type="character" w:customStyle="1" w:styleId="toctext">
    <w:name w:val="toctext"/>
    <w:basedOn w:val="DefaultParagraphFont"/>
    <w:rsid w:val="008303EA"/>
  </w:style>
  <w:style w:type="character" w:customStyle="1" w:styleId="voceconnessa">
    <w:name w:val="voceconnessa"/>
    <w:basedOn w:val="DefaultParagraphFont"/>
    <w:rsid w:val="008303EA"/>
  </w:style>
  <w:style w:type="character" w:customStyle="1" w:styleId="lemma4">
    <w:name w:val="lemma4"/>
    <w:basedOn w:val="DefaultParagraphFont"/>
    <w:rsid w:val="008303EA"/>
  </w:style>
  <w:style w:type="character" w:customStyle="1" w:styleId="sc-subparagraph2">
    <w:name w:val="sc-subparagraph2"/>
    <w:basedOn w:val="DefaultParagraphFont"/>
    <w:rsid w:val="008303EA"/>
  </w:style>
  <w:style w:type="character" w:customStyle="1" w:styleId="pttestoseguente">
    <w:name w:val="pt_testoseguente"/>
    <w:basedOn w:val="DefaultParagraphFont"/>
    <w:rsid w:val="008303EA"/>
  </w:style>
  <w:style w:type="character" w:styleId="Emphasis">
    <w:name w:val="Emphasis"/>
    <w:uiPriority w:val="20"/>
    <w:qFormat/>
    <w:rsid w:val="008303EA"/>
    <w:rPr>
      <w:i/>
      <w:iCs/>
    </w:rPr>
  </w:style>
  <w:style w:type="character" w:customStyle="1" w:styleId="sc-paragraph2">
    <w:name w:val="sc-paragraph2"/>
    <w:basedOn w:val="DefaultParagraphFont"/>
    <w:rsid w:val="008303EA"/>
  </w:style>
  <w:style w:type="character" w:customStyle="1" w:styleId="shorttext">
    <w:name w:val="short_text"/>
    <w:basedOn w:val="DefaultParagraphFont"/>
    <w:rsid w:val="008303EA"/>
  </w:style>
  <w:style w:type="character" w:customStyle="1" w:styleId="hps">
    <w:name w:val="hps"/>
    <w:basedOn w:val="DefaultParagraphFont"/>
    <w:rsid w:val="008303EA"/>
  </w:style>
  <w:style w:type="character" w:customStyle="1" w:styleId="apple-style-span">
    <w:name w:val="apple-style-span"/>
    <w:basedOn w:val="DefaultParagraphFont"/>
    <w:rsid w:val="008303EA"/>
  </w:style>
  <w:style w:type="character" w:styleId="Strong">
    <w:name w:val="Strong"/>
    <w:uiPriority w:val="22"/>
    <w:qFormat/>
    <w:rsid w:val="008303EA"/>
    <w:rPr>
      <w:b/>
      <w:bCs/>
    </w:rPr>
  </w:style>
  <w:style w:type="character" w:customStyle="1" w:styleId="apple-converted-space">
    <w:name w:val="apple-converted-space"/>
    <w:basedOn w:val="DefaultParagraphFont"/>
    <w:rsid w:val="008303EA"/>
  </w:style>
  <w:style w:type="character" w:customStyle="1" w:styleId="createdate">
    <w:name w:val="createdate"/>
    <w:basedOn w:val="DefaultParagraphFont"/>
    <w:rsid w:val="008303EA"/>
  </w:style>
  <w:style w:type="character" w:customStyle="1" w:styleId="createby">
    <w:name w:val="createby"/>
    <w:basedOn w:val="DefaultParagraphFont"/>
    <w:rsid w:val="008303EA"/>
  </w:style>
  <w:style w:type="paragraph" w:customStyle="1" w:styleId="sdfootnote">
    <w:name w:val="sdfootnote"/>
    <w:basedOn w:val="Normal"/>
    <w:rsid w:val="008303EA"/>
    <w:pPr>
      <w:spacing w:before="100" w:beforeAutospacing="1" w:after="100" w:afterAutospacing="1" w:line="240" w:lineRule="auto"/>
    </w:pPr>
    <w:rPr>
      <w:rFonts w:ascii="Times New Roman" w:eastAsia="Times New Roman" w:hAnsi="Times New Roman" w:cs="Times New Roman"/>
      <w:sz w:val="24"/>
      <w:szCs w:val="24"/>
      <w:lang w:val="en-GB" w:eastAsia="en-GB" w:bidi="ar-SA"/>
    </w:rPr>
  </w:style>
  <w:style w:type="paragraph" w:styleId="BalloonText">
    <w:name w:val="Balloon Text"/>
    <w:basedOn w:val="Normal"/>
    <w:link w:val="BalloonTextChar"/>
    <w:uiPriority w:val="99"/>
    <w:semiHidden/>
    <w:unhideWhenUsed/>
    <w:rsid w:val="008303EA"/>
    <w:pPr>
      <w:spacing w:after="0" w:line="240" w:lineRule="auto"/>
    </w:pPr>
    <w:rPr>
      <w:rFonts w:ascii="Tahoma" w:eastAsia="MS Mincho" w:hAnsi="Tahoma" w:cs="Tahoma"/>
      <w:sz w:val="16"/>
      <w:szCs w:val="16"/>
      <w:lang w:val="en-GB" w:eastAsia="en-GB" w:bidi="ar-SA"/>
    </w:rPr>
  </w:style>
  <w:style w:type="character" w:customStyle="1" w:styleId="BalloonTextChar">
    <w:name w:val="Balloon Text Char"/>
    <w:basedOn w:val="DefaultParagraphFont"/>
    <w:link w:val="BalloonText"/>
    <w:uiPriority w:val="99"/>
    <w:semiHidden/>
    <w:rsid w:val="008303EA"/>
    <w:rPr>
      <w:rFonts w:ascii="Tahoma" w:eastAsia="MS Mincho" w:hAnsi="Tahoma" w:cs="Tahoma"/>
      <w:sz w:val="16"/>
      <w:szCs w:val="16"/>
      <w:lang w:val="en-GB" w:eastAsia="en-GB" w:bidi="ar-SA"/>
    </w:rPr>
  </w:style>
  <w:style w:type="character" w:customStyle="1" w:styleId="f1s20">
    <w:name w:val="f1s20"/>
    <w:basedOn w:val="DefaultParagraphFont"/>
    <w:rsid w:val="008303EA"/>
  </w:style>
  <w:style w:type="character" w:customStyle="1" w:styleId="BodyText1">
    <w:name w:val="Body Text1"/>
    <w:basedOn w:val="DefaultParagraphFont"/>
    <w:rsid w:val="00932586"/>
    <w:rPr>
      <w:rFonts w:ascii="Garamond" w:eastAsia="Garamond" w:hAnsi="Garamond" w:cs="Garamond"/>
      <w:b w:val="0"/>
      <w:bCs w:val="0"/>
      <w:i w:val="0"/>
      <w:iCs w:val="0"/>
      <w:smallCaps w:val="0"/>
      <w:strike w:val="0"/>
      <w:color w:val="000000"/>
      <w:spacing w:val="0"/>
      <w:w w:val="100"/>
      <w:position w:val="0"/>
      <w:sz w:val="21"/>
      <w:szCs w:val="21"/>
      <w:u w:val="none"/>
      <w:lang w:val="sq-AL"/>
    </w:rPr>
  </w:style>
  <w:style w:type="paragraph" w:customStyle="1" w:styleId="Default">
    <w:name w:val="Default"/>
    <w:rsid w:val="00B621D0"/>
    <w:pPr>
      <w:autoSpaceDE w:val="0"/>
      <w:autoSpaceDN w:val="0"/>
      <w:adjustRightInd w:val="0"/>
      <w:spacing w:after="0" w:line="240" w:lineRule="auto"/>
    </w:pPr>
    <w:rPr>
      <w:rFonts w:ascii="Times New Roman" w:hAnsi="Times New Roman" w:cs="Times New Roman"/>
      <w:color w:val="000000"/>
      <w:sz w:val="24"/>
      <w:szCs w:val="24"/>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oe.int/en/web/conventions/full-list?module=signatures-by-treaty&amp;treatynum=141" TargetMode="External"/><Relationship Id="rId13" Type="http://schemas.openxmlformats.org/officeDocument/2006/relationships/hyperlink" Target="http://www.transparency.org/whatwedo/publication/international_principles_for_whis" TargetMode="External"/><Relationship Id="rId3" Type="http://schemas.openxmlformats.org/officeDocument/2006/relationships/hyperlink" Target="https://www.coe.int/en/web/conventions/full-list?module=treaty-detail&amp;treatynum=191" TargetMode="External"/><Relationship Id="rId7" Type="http://schemas.openxmlformats.org/officeDocument/2006/relationships/hyperlink" Target="https://www.coe.int/en/web/conventions/full-list?module=signatures-by-treaty&amp;treatynum=198" TargetMode="External"/><Relationship Id="rId12" Type="http://schemas.openxmlformats.org/officeDocument/2006/relationships/hyperlink" Target="https://eur-lex.europa.eu/legal-content/en/TXT/?uri=CELEX%3A32019L1937" TargetMode="External"/><Relationship Id="rId2" Type="http://schemas.openxmlformats.org/officeDocument/2006/relationships/hyperlink" Target="https://www.europewatchdog.info/en/partial-agreements/corruption/" TargetMode="External"/><Relationship Id="rId1" Type="http://schemas.openxmlformats.org/officeDocument/2006/relationships/hyperlink" Target="https://www.unodc.org/unodc/en/corruption/country-profile/countryprofile.html" TargetMode="External"/><Relationship Id="rId6" Type="http://schemas.openxmlformats.org/officeDocument/2006/relationships/hyperlink" Target="https://www.europewatchdog.info/en/partial-agreements/corruption/" TargetMode="External"/><Relationship Id="rId11" Type="http://schemas.openxmlformats.org/officeDocument/2006/relationships/hyperlink" Target="https://search.coe.int/cm/Pages/result_details.aspx?ObjectId=09000016805c5ea5" TargetMode="External"/><Relationship Id="rId5" Type="http://schemas.openxmlformats.org/officeDocument/2006/relationships/hyperlink" Target="https://www.coe.int/en/web/impact-convention-human-rights/civil-law-convention-on-corruption" TargetMode="External"/><Relationship Id="rId10" Type="http://schemas.openxmlformats.org/officeDocument/2006/relationships/hyperlink" Target="https://www.phillipsandcohen.com/false-claims-act-history/" TargetMode="External"/><Relationship Id="rId4" Type="http://schemas.openxmlformats.org/officeDocument/2006/relationships/hyperlink" Target="https://www.coe.int/en/web/conventions/full-list?module=treaty-detail&amp;treatynum=173" TargetMode="External"/><Relationship Id="rId9" Type="http://schemas.openxmlformats.org/officeDocument/2006/relationships/hyperlink" Target="https://www.europewatchdog.info/en/instruments/expert-bodies/moneyval/" TargetMode="External"/><Relationship Id="rId14" Type="http://schemas.openxmlformats.org/officeDocument/2006/relationships/hyperlink" Target="https://rai-see.org/what-we-do/whistleblowing2/whistleblowing-platform/wb-libr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50</Pages>
  <Words>57942</Words>
  <Characters>330273</Characters>
  <Application>Microsoft Office Word</Application>
  <DocSecurity>0</DocSecurity>
  <Lines>2752</Lines>
  <Paragraphs>774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2023-03-01T19:28:00Z</cp:lastPrinted>
  <dcterms:created xsi:type="dcterms:W3CDTF">2023-03-03T12:01:00Z</dcterms:created>
  <dcterms:modified xsi:type="dcterms:W3CDTF">2023-03-03T12:01:00Z</dcterms:modified>
</cp:coreProperties>
</file>