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C4F" w:rsidRPr="00F85F05" w:rsidRDefault="00F85F05" w:rsidP="00F85F05">
      <w:pPr>
        <w:spacing w:after="0"/>
        <w:jc w:val="both"/>
        <w:rPr>
          <w:rFonts w:ascii="Times New Roman" w:hAnsi="Times New Roman" w:cs="Times New Roman"/>
          <w:b/>
          <w:i/>
          <w:sz w:val="24"/>
          <w:szCs w:val="24"/>
          <w:u w:val="single"/>
          <w:lang w:val="sq-AL"/>
        </w:rPr>
      </w:pPr>
      <w:bookmarkStart w:id="0" w:name="_GoBack"/>
      <w:bookmarkEnd w:id="0"/>
      <w:r w:rsidRPr="00F85F05">
        <w:rPr>
          <w:rFonts w:ascii="Times New Roman" w:hAnsi="Times New Roman" w:cs="Times New Roman"/>
          <w:b/>
          <w:i/>
          <w:sz w:val="24"/>
          <w:szCs w:val="24"/>
          <w:u w:val="single"/>
          <w:lang w:val="sq-AL"/>
        </w:rPr>
        <w:t>1-</w:t>
      </w:r>
      <w:r w:rsidR="005F7C4F" w:rsidRPr="00F85F05">
        <w:rPr>
          <w:rFonts w:ascii="Times New Roman" w:hAnsi="Times New Roman" w:cs="Times New Roman"/>
          <w:b/>
          <w:i/>
          <w:sz w:val="24"/>
          <w:szCs w:val="24"/>
          <w:u w:val="single"/>
          <w:lang w:val="sq-AL"/>
        </w:rPr>
        <w:t>Lindja e pergjegjesise penale tek personat juridike</w:t>
      </w:r>
      <w:r w:rsidRPr="00F85F05">
        <w:rPr>
          <w:rFonts w:ascii="Times New Roman" w:hAnsi="Times New Roman" w:cs="Times New Roman"/>
          <w:b/>
          <w:i/>
          <w:sz w:val="24"/>
          <w:szCs w:val="24"/>
          <w:u w:val="single"/>
          <w:lang w:val="sq-AL"/>
        </w:rPr>
        <w:t>.</w:t>
      </w:r>
    </w:p>
    <w:p w:rsidR="005F7C4F" w:rsidRPr="00F85F05" w:rsidRDefault="005F7C4F" w:rsidP="00F85F05">
      <w:pPr>
        <w:spacing w:after="0"/>
        <w:jc w:val="both"/>
        <w:rPr>
          <w:rFonts w:ascii="Times New Roman" w:hAnsi="Times New Roman" w:cs="Times New Roman"/>
          <w:sz w:val="24"/>
          <w:szCs w:val="24"/>
          <w:lang w:val="sq-AL"/>
        </w:rPr>
      </w:pP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-Personat juridikë privatë janë shoqëritë, shoqatat, fondacionet dhe entet e tjera me karakter privat, që e fitojnë personalitetin juridik në mënyrën e caktuar nga ligji.</w:t>
      </w: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Personi juridik karakterizohet nga uniteti organizativ, pavarësi pasurore, përgjegjësi të pavarur pasurore dhe merr pjesë në qarkullimin civil në emër të vet. Për këtë arsye, perosni juridik ka emrin e tij të plotë dhe të shkurtuar. Emri është firma e personit juridik dhe duhet të shprehë qëllimin e kësaj veprimtarie.</w:t>
      </w:r>
    </w:p>
    <w:p w:rsidR="005F7C4F" w:rsidRPr="00F85F05" w:rsidRDefault="005F7C4F" w:rsidP="00F85F05">
      <w:pPr>
        <w:spacing w:after="0"/>
        <w:jc w:val="both"/>
        <w:rPr>
          <w:rFonts w:ascii="Times New Roman" w:hAnsi="Times New Roman" w:cs="Times New Roman"/>
          <w:sz w:val="24"/>
          <w:szCs w:val="24"/>
          <w:lang w:val="sq-AL"/>
        </w:rPr>
      </w:pP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 xml:space="preserve">-Nga studimi i jurisprudencës, vëhet se kanë qenë gjykatat angleze ato që konfirmuan të parat përgejgjësinë penale të perosnave juridikë. Në çeshtjen Birmingham &amp; Gloucester Railëay Co –  në vitin 1842, gjykata angleze, dënoi me gjobë kompaninë  hekurudhore Birmingham dhe Gloucester, e cila u kallzua për shkak të problemeve që i solli publikut. Kjo kompani dështoi për të ndërtuar një rrugë të përshtatshme dhe ura kalimi, përgjatë kësaj rruge, për të lehtësuar ndërprerjet që shkaktonte aktiviteti i saj i ndërtimit. </w:t>
      </w:r>
    </w:p>
    <w:p w:rsidR="005F7C4F" w:rsidRPr="00F85F05" w:rsidRDefault="005F7C4F" w:rsidP="00F85F05">
      <w:pPr>
        <w:spacing w:after="0"/>
        <w:jc w:val="both"/>
        <w:rPr>
          <w:rFonts w:ascii="Times New Roman" w:hAnsi="Times New Roman" w:cs="Times New Roman"/>
          <w:sz w:val="24"/>
          <w:szCs w:val="24"/>
          <w:lang w:val="sq-AL"/>
        </w:rPr>
      </w:pP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-Në nivel ndërkombëtar për herë të parë koncepti i përgjegjësisë penale për personat juridikë është diskutuar në Bukuresht, në vitin 1920, në Kongresin e II-të të së Drejtës Penale.</w:t>
      </w: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 xml:space="preserve">Në vijim kjo përgjegjësi penale, u parashtrua në Kongresin e VII-të të Kombeve të Bashkuara në Parandalimin e Krimeve dhe Trajtimin e Autorëve, në 1985, Milano. </w:t>
      </w:r>
    </w:p>
    <w:p w:rsidR="005F7C4F" w:rsidRPr="00F85F05" w:rsidRDefault="005F7C4F" w:rsidP="00F85F05">
      <w:pPr>
        <w:spacing w:after="0"/>
        <w:jc w:val="both"/>
        <w:rPr>
          <w:rFonts w:ascii="Times New Roman" w:hAnsi="Times New Roman" w:cs="Times New Roman"/>
          <w:b/>
          <w:sz w:val="24"/>
          <w:szCs w:val="24"/>
          <w:lang w:val="sq-AL"/>
        </w:rPr>
      </w:pP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b/>
          <w:sz w:val="24"/>
          <w:szCs w:val="24"/>
          <w:lang w:val="sq-AL"/>
        </w:rPr>
        <w:t>Kongresi I VII-të I Kombeve të Bashkuara në Parandalimin e Krimeve dhe Trajtimin e Autorëve, në 1985, Milano</w:t>
      </w:r>
      <w:r w:rsidRPr="00F85F05">
        <w:rPr>
          <w:rFonts w:ascii="Times New Roman" w:hAnsi="Times New Roman" w:cs="Times New Roman"/>
          <w:sz w:val="24"/>
          <w:szCs w:val="24"/>
          <w:lang w:val="sq-AL"/>
        </w:rPr>
        <w:t xml:space="preserve">, arriti në përfundimin se përgjegjësia penale nuk duhet t’i takojë vetëm personave fizikë që kanë kryer veprën në interes të institucionit, shoqërisë ose sipërmarrjes por edhe këtyre të fundit. </w:t>
      </w: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b/>
          <w:sz w:val="24"/>
          <w:szCs w:val="24"/>
          <w:lang w:val="sq-AL"/>
        </w:rPr>
        <w:t>Rekomandimi 18 i vitit 1988, i Komitetit të Ministrave të Këshillit të Evropës</w:t>
      </w:r>
      <w:r w:rsidRPr="00F85F05">
        <w:rPr>
          <w:rFonts w:ascii="Times New Roman" w:hAnsi="Times New Roman" w:cs="Times New Roman"/>
          <w:sz w:val="24"/>
          <w:szCs w:val="24"/>
          <w:lang w:val="sq-AL"/>
        </w:rPr>
        <w:t xml:space="preserve"> “</w:t>
      </w:r>
      <w:r w:rsidRPr="00F85F05">
        <w:rPr>
          <w:rFonts w:ascii="Times New Roman" w:hAnsi="Times New Roman" w:cs="Times New Roman"/>
          <w:i/>
          <w:iCs/>
          <w:sz w:val="24"/>
          <w:szCs w:val="24"/>
          <w:lang w:val="sq-AL"/>
        </w:rPr>
        <w:t>Përgjegjësia e sipërmarrjeve që kanë personalitet juridik për shkeljet e kryera gjatë ushtrimit të aktivitetit të tyre</w:t>
      </w:r>
      <w:r w:rsidRPr="00F85F05">
        <w:rPr>
          <w:rFonts w:ascii="Times New Roman" w:hAnsi="Times New Roman" w:cs="Times New Roman"/>
          <w:sz w:val="24"/>
          <w:szCs w:val="24"/>
          <w:lang w:val="sq-AL"/>
        </w:rPr>
        <w:t xml:space="preserve">”: aplikimi i përgjegjësisë penale, sanksionet, shkallën e fajit, pasojat, nevojën për të parandaluar shkelje të mëtejshme. </w:t>
      </w:r>
    </w:p>
    <w:p w:rsidR="005F7C4F" w:rsidRPr="00F85F05" w:rsidRDefault="005F7C4F" w:rsidP="00F85F05">
      <w:pPr>
        <w:spacing w:after="0"/>
        <w:jc w:val="both"/>
        <w:rPr>
          <w:rFonts w:ascii="Times New Roman" w:hAnsi="Times New Roman" w:cs="Times New Roman"/>
          <w:b/>
          <w:sz w:val="24"/>
          <w:szCs w:val="24"/>
          <w:lang w:val="sq-AL"/>
        </w:rPr>
      </w:pPr>
      <w:r w:rsidRPr="00F85F05">
        <w:rPr>
          <w:rFonts w:ascii="Times New Roman" w:hAnsi="Times New Roman" w:cs="Times New Roman"/>
          <w:b/>
          <w:sz w:val="24"/>
          <w:szCs w:val="24"/>
          <w:lang w:val="sq-AL"/>
        </w:rPr>
        <w:t>Konferenca për reformën në të Drejtën Penale – 1994;</w:t>
      </w:r>
    </w:p>
    <w:p w:rsidR="005F7C4F" w:rsidRPr="00F85F05" w:rsidRDefault="005F7C4F" w:rsidP="00F85F05">
      <w:pPr>
        <w:spacing w:after="0"/>
        <w:jc w:val="both"/>
        <w:rPr>
          <w:rFonts w:ascii="Times New Roman" w:hAnsi="Times New Roman" w:cs="Times New Roman"/>
          <w:b/>
          <w:sz w:val="24"/>
          <w:szCs w:val="24"/>
          <w:lang w:val="sq-AL"/>
        </w:rPr>
      </w:pPr>
      <w:r w:rsidRPr="00F85F05">
        <w:rPr>
          <w:rFonts w:ascii="Times New Roman" w:hAnsi="Times New Roman" w:cs="Times New Roman"/>
          <w:b/>
          <w:sz w:val="24"/>
          <w:szCs w:val="24"/>
          <w:lang w:val="sq-AL"/>
        </w:rPr>
        <w:t>Takimi Ndërkombëtar i Ekspertëve në përdorimin e sanksioneve penale në Mbrojtjen e Mjedisit;</w:t>
      </w:r>
    </w:p>
    <w:p w:rsidR="005F7C4F" w:rsidRPr="00F85F05" w:rsidRDefault="005F7C4F" w:rsidP="00F85F05">
      <w:pPr>
        <w:spacing w:after="0"/>
        <w:jc w:val="both"/>
        <w:rPr>
          <w:rFonts w:ascii="Times New Roman" w:hAnsi="Times New Roman" w:cs="Times New Roman"/>
          <w:b/>
          <w:sz w:val="24"/>
          <w:szCs w:val="24"/>
          <w:lang w:val="sq-AL"/>
        </w:rPr>
      </w:pPr>
      <w:r w:rsidRPr="00F85F05">
        <w:rPr>
          <w:rFonts w:ascii="Times New Roman" w:hAnsi="Times New Roman" w:cs="Times New Roman"/>
          <w:b/>
          <w:sz w:val="24"/>
          <w:szCs w:val="24"/>
          <w:lang w:val="sq-AL"/>
        </w:rPr>
        <w:t>Konventa “</w:t>
      </w:r>
      <w:r w:rsidRPr="00F85F05">
        <w:rPr>
          <w:rFonts w:ascii="Times New Roman" w:hAnsi="Times New Roman" w:cs="Times New Roman"/>
          <w:b/>
          <w:i/>
          <w:iCs/>
          <w:sz w:val="24"/>
          <w:szCs w:val="24"/>
          <w:lang w:val="sq-AL"/>
        </w:rPr>
        <w:t>Për pastrimin e parave, kërkimin, konfiskimin e të ardhurave nga veprat penale</w:t>
      </w:r>
      <w:r w:rsidRPr="00F85F05">
        <w:rPr>
          <w:rFonts w:ascii="Times New Roman" w:hAnsi="Times New Roman" w:cs="Times New Roman"/>
          <w:b/>
          <w:sz w:val="24"/>
          <w:szCs w:val="24"/>
          <w:lang w:val="sq-AL"/>
        </w:rPr>
        <w:t>” – Këshilli I Evropës, 2005;</w:t>
      </w:r>
    </w:p>
    <w:p w:rsidR="005F7C4F" w:rsidRPr="00F85F05" w:rsidRDefault="005F7C4F" w:rsidP="00F85F05">
      <w:pPr>
        <w:spacing w:after="0"/>
        <w:jc w:val="both"/>
        <w:rPr>
          <w:rFonts w:ascii="Times New Roman" w:hAnsi="Times New Roman" w:cs="Times New Roman"/>
          <w:b/>
          <w:sz w:val="24"/>
          <w:szCs w:val="24"/>
          <w:lang w:val="sq-AL"/>
        </w:rPr>
      </w:pPr>
      <w:r w:rsidRPr="00F85F05">
        <w:rPr>
          <w:rFonts w:ascii="Times New Roman" w:hAnsi="Times New Roman" w:cs="Times New Roman"/>
          <w:b/>
          <w:sz w:val="24"/>
          <w:szCs w:val="24"/>
          <w:lang w:val="sq-AL"/>
        </w:rPr>
        <w:t>Konvent</w:t>
      </w:r>
      <w:r w:rsidRPr="00F85F05">
        <w:rPr>
          <w:rFonts w:ascii="Times New Roman" w:hAnsi="Times New Roman" w:cs="Times New Roman"/>
          <w:b/>
          <w:sz w:val="24"/>
          <w:szCs w:val="24"/>
        </w:rPr>
        <w:t>a</w:t>
      </w:r>
      <w:r w:rsidRPr="00F85F05">
        <w:rPr>
          <w:rFonts w:ascii="Times New Roman" w:hAnsi="Times New Roman" w:cs="Times New Roman"/>
          <w:b/>
          <w:sz w:val="24"/>
          <w:szCs w:val="24"/>
          <w:lang w:val="sq-AL"/>
        </w:rPr>
        <w:t xml:space="preserve"> </w:t>
      </w:r>
      <w:r w:rsidRPr="00F85F05">
        <w:rPr>
          <w:rFonts w:ascii="Times New Roman" w:hAnsi="Times New Roman" w:cs="Times New Roman"/>
          <w:b/>
          <w:sz w:val="24"/>
          <w:szCs w:val="24"/>
        </w:rPr>
        <w:t xml:space="preserve">e </w:t>
      </w:r>
      <w:r w:rsidRPr="00F85F05">
        <w:rPr>
          <w:rFonts w:ascii="Times New Roman" w:hAnsi="Times New Roman" w:cs="Times New Roman"/>
          <w:b/>
          <w:sz w:val="24"/>
          <w:szCs w:val="24"/>
          <w:lang w:val="sq-AL"/>
        </w:rPr>
        <w:t xml:space="preserve">Këshillit të Europës </w:t>
      </w:r>
      <w:r w:rsidRPr="00F85F05">
        <w:rPr>
          <w:rFonts w:ascii="Times New Roman" w:hAnsi="Times New Roman" w:cs="Times New Roman"/>
          <w:b/>
          <w:i/>
          <w:sz w:val="24"/>
          <w:szCs w:val="24"/>
          <w:lang w:val="sq-AL"/>
        </w:rPr>
        <w:t>Për pastrimin, kërkimin, kapjen</w:t>
      </w:r>
      <w:r w:rsidRPr="00F85F05">
        <w:rPr>
          <w:rFonts w:ascii="Times New Roman" w:hAnsi="Times New Roman" w:cs="Times New Roman"/>
          <w:b/>
          <w:i/>
          <w:sz w:val="24"/>
          <w:szCs w:val="24"/>
        </w:rPr>
        <w:t xml:space="preserve">, </w:t>
      </w:r>
      <w:r w:rsidRPr="00F85F05">
        <w:rPr>
          <w:rFonts w:ascii="Times New Roman" w:hAnsi="Times New Roman" w:cs="Times New Roman"/>
          <w:b/>
          <w:i/>
          <w:sz w:val="24"/>
          <w:szCs w:val="24"/>
          <w:lang w:val="sq-AL"/>
        </w:rPr>
        <w:t xml:space="preserve">konfiskimin e produkteve të krimit dhe për financimin e terrorizmit, </w:t>
      </w:r>
      <w:r w:rsidRPr="00F85F05">
        <w:rPr>
          <w:rFonts w:ascii="Times New Roman" w:hAnsi="Times New Roman" w:cs="Times New Roman"/>
          <w:b/>
          <w:sz w:val="24"/>
          <w:szCs w:val="24"/>
          <w:lang w:val="sq-AL"/>
        </w:rPr>
        <w:t>parashikon:</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 Çdo Palë do të miratojë masa legjislative dhe masa të tjera sipas nevojës, për të siguruar që </w:t>
      </w:r>
      <w:r w:rsidRPr="00F85F05">
        <w:rPr>
          <w:rFonts w:ascii="Times New Roman" w:hAnsi="Times New Roman" w:cs="Times New Roman"/>
          <w:b/>
          <w:bCs/>
          <w:sz w:val="24"/>
          <w:szCs w:val="24"/>
          <w:lang w:val="sq-AL"/>
        </w:rPr>
        <w:t>një person juridik mund të konsiderohet përgjegjës</w:t>
      </w:r>
      <w:r w:rsidRPr="00F85F05">
        <w:rPr>
          <w:rFonts w:ascii="Times New Roman" w:hAnsi="Times New Roman" w:cs="Times New Roman"/>
          <w:sz w:val="24"/>
          <w:szCs w:val="24"/>
          <w:lang w:val="sq-AL"/>
        </w:rPr>
        <w:t xml:space="preserve"> </w:t>
      </w:r>
      <w:r w:rsidRPr="00F85F05">
        <w:rPr>
          <w:rFonts w:ascii="Times New Roman" w:hAnsi="Times New Roman" w:cs="Times New Roman"/>
          <w:b/>
          <w:bCs/>
          <w:sz w:val="24"/>
          <w:szCs w:val="24"/>
          <w:lang w:val="sq-AL"/>
        </w:rPr>
        <w:t>për veprën penale të pastrimit të parave</w:t>
      </w:r>
      <w:r w:rsidRPr="00F85F05">
        <w:rPr>
          <w:rFonts w:ascii="Times New Roman" w:hAnsi="Times New Roman" w:cs="Times New Roman"/>
          <w:sz w:val="24"/>
          <w:szCs w:val="24"/>
          <w:lang w:val="sq-AL"/>
        </w:rPr>
        <w:t xml:space="preserve"> të përcaktuar sipas kësaj Konvente...</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rPr>
        <w:t xml:space="preserve"> </w:t>
      </w:r>
      <w:r w:rsidRPr="00F85F05">
        <w:rPr>
          <w:rFonts w:ascii="Times New Roman" w:hAnsi="Times New Roman" w:cs="Times New Roman"/>
          <w:sz w:val="24"/>
          <w:szCs w:val="24"/>
          <w:lang w:val="sq-AL"/>
        </w:rPr>
        <w:t xml:space="preserve">4. Çdo Palë do të sigurojë që personat juridikë që përgjigjen në përputhje me këtë do të jenë objekt i </w:t>
      </w:r>
      <w:r w:rsidRPr="00F85F05">
        <w:rPr>
          <w:rFonts w:ascii="Times New Roman" w:hAnsi="Times New Roman" w:cs="Times New Roman"/>
          <w:b/>
          <w:bCs/>
          <w:sz w:val="24"/>
          <w:szCs w:val="24"/>
          <w:lang w:val="sq-AL"/>
        </w:rPr>
        <w:t>sanksioneve</w:t>
      </w:r>
      <w:r w:rsidRPr="00F85F05">
        <w:rPr>
          <w:rFonts w:ascii="Times New Roman" w:hAnsi="Times New Roman" w:cs="Times New Roman"/>
          <w:sz w:val="24"/>
          <w:szCs w:val="24"/>
          <w:lang w:val="sq-AL"/>
        </w:rPr>
        <w:t xml:space="preserve"> ligjore efektive, proporcionale, penale ose jopenale, duke përfshirë dhe sanksionet financiare, me qëllim dhënien fund të veprimtarisë antiligjore. </w:t>
      </w:r>
    </w:p>
    <w:p w:rsidR="00536AC3" w:rsidRDefault="00536AC3" w:rsidP="00F85F05">
      <w:pPr>
        <w:spacing w:after="0"/>
        <w:jc w:val="both"/>
        <w:rPr>
          <w:rFonts w:ascii="Times New Roman" w:hAnsi="Times New Roman" w:cs="Times New Roman"/>
          <w:b/>
          <w:sz w:val="24"/>
          <w:szCs w:val="24"/>
          <w:lang w:val="sq-AL"/>
        </w:rPr>
      </w:pPr>
    </w:p>
    <w:p w:rsidR="005F7C4F" w:rsidRPr="00F85F05" w:rsidRDefault="005F7C4F" w:rsidP="00F85F05">
      <w:pPr>
        <w:spacing w:after="0"/>
        <w:jc w:val="both"/>
        <w:rPr>
          <w:rFonts w:ascii="Times New Roman" w:hAnsi="Times New Roman" w:cs="Times New Roman"/>
          <w:b/>
          <w:sz w:val="24"/>
          <w:szCs w:val="24"/>
          <w:lang w:val="sq-AL"/>
        </w:rPr>
      </w:pPr>
      <w:r w:rsidRPr="00F85F05">
        <w:rPr>
          <w:rFonts w:ascii="Times New Roman" w:hAnsi="Times New Roman" w:cs="Times New Roman"/>
          <w:b/>
          <w:sz w:val="24"/>
          <w:szCs w:val="24"/>
          <w:lang w:val="sq-AL"/>
        </w:rPr>
        <w:lastRenderedPageBreak/>
        <w:t>Konventa e Kombeve të Bashkuara Kundër Krimit të Organizuar Ndërkombëtar dhe dy protokollet e saj shtesë, në n. 10 parashikon:</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1. Secili Shtet Palë duhet të adaptojë masat e nevojshme,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 për </w:t>
      </w:r>
      <w:r w:rsidRPr="00F85F05">
        <w:rPr>
          <w:rFonts w:ascii="Times New Roman" w:hAnsi="Times New Roman" w:cs="Times New Roman"/>
          <w:bCs/>
          <w:sz w:val="24"/>
          <w:szCs w:val="24"/>
          <w:lang w:val="sq-AL"/>
        </w:rPr>
        <w:t>të përcaktuar përgjegjësinë e personave juridikë që marrin pjesë në krime serioze</w:t>
      </w:r>
      <w:r w:rsidRPr="00F85F05">
        <w:rPr>
          <w:rFonts w:ascii="Times New Roman" w:hAnsi="Times New Roman" w:cs="Times New Roman"/>
          <w:sz w:val="24"/>
          <w:szCs w:val="24"/>
          <w:lang w:val="sq-AL"/>
        </w:rPr>
        <w:t xml:space="preserve"> ...</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w:t>
      </w:r>
      <w:r w:rsidRPr="00F85F05">
        <w:rPr>
          <w:rFonts w:ascii="Times New Roman" w:hAnsi="Times New Roman" w:cs="Times New Roman"/>
          <w:bCs/>
          <w:sz w:val="24"/>
          <w:szCs w:val="24"/>
          <w:lang w:val="sq-AL"/>
        </w:rPr>
        <w:t xml:space="preserve"> 2. </w:t>
      </w:r>
      <w:r w:rsidRPr="00F85F05">
        <w:rPr>
          <w:rFonts w:ascii="Times New Roman" w:hAnsi="Times New Roman" w:cs="Times New Roman"/>
          <w:bCs/>
          <w:sz w:val="24"/>
          <w:szCs w:val="24"/>
        </w:rPr>
        <w:t>…</w:t>
      </w:r>
      <w:r w:rsidRPr="00F85F05">
        <w:rPr>
          <w:rFonts w:ascii="Times New Roman" w:hAnsi="Times New Roman" w:cs="Times New Roman"/>
          <w:bCs/>
          <w:sz w:val="24"/>
          <w:szCs w:val="24"/>
          <w:lang w:val="sq-AL"/>
        </w:rPr>
        <w:t>përgjegjësia e personave juridikë mund të jetë penale, civile ose administrative</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bCs/>
          <w:sz w:val="24"/>
          <w:szCs w:val="24"/>
          <w:lang w:val="sq-AL"/>
        </w:rPr>
        <w:t xml:space="preserve">3. </w:t>
      </w:r>
      <w:r w:rsidRPr="00F85F05">
        <w:rPr>
          <w:rFonts w:ascii="Times New Roman" w:hAnsi="Times New Roman" w:cs="Times New Roman"/>
          <w:bCs/>
          <w:sz w:val="24"/>
          <w:szCs w:val="24"/>
        </w:rPr>
        <w:t>…</w:t>
      </w:r>
      <w:r w:rsidRPr="00F85F05">
        <w:rPr>
          <w:rFonts w:ascii="Times New Roman" w:hAnsi="Times New Roman" w:cs="Times New Roman"/>
          <w:bCs/>
          <w:sz w:val="24"/>
          <w:szCs w:val="24"/>
          <w:lang w:val="sq-AL"/>
        </w:rPr>
        <w:t>nuk duhet të cenojë përgjegjësinë penale të personave fizikë që kanë kryer veprat penale</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bCs/>
          <w:sz w:val="24"/>
          <w:szCs w:val="24"/>
          <w:lang w:val="sq-AL"/>
        </w:rPr>
        <w:t xml:space="preserve">4. Secili Shtet </w:t>
      </w:r>
      <w:r w:rsidRPr="00F85F05">
        <w:rPr>
          <w:rFonts w:ascii="Times New Roman" w:hAnsi="Times New Roman" w:cs="Times New Roman"/>
          <w:bCs/>
          <w:sz w:val="24"/>
          <w:szCs w:val="24"/>
        </w:rPr>
        <w:t>…</w:t>
      </w:r>
      <w:r w:rsidRPr="00F85F05">
        <w:rPr>
          <w:rFonts w:ascii="Times New Roman" w:hAnsi="Times New Roman" w:cs="Times New Roman"/>
          <w:bCs/>
          <w:sz w:val="24"/>
          <w:szCs w:val="24"/>
          <w:lang w:val="sq-AL"/>
        </w:rPr>
        <w:t xml:space="preserve">të sigurojë, </w:t>
      </w:r>
      <w:r w:rsidRPr="00F85F05">
        <w:rPr>
          <w:rFonts w:ascii="Times New Roman" w:hAnsi="Times New Roman" w:cs="Times New Roman"/>
          <w:bCs/>
          <w:sz w:val="24"/>
          <w:szCs w:val="24"/>
        </w:rPr>
        <w:t>…</w:t>
      </w:r>
      <w:r w:rsidRPr="00F85F05">
        <w:rPr>
          <w:rFonts w:ascii="Times New Roman" w:hAnsi="Times New Roman" w:cs="Times New Roman"/>
          <w:bCs/>
          <w:sz w:val="24"/>
          <w:szCs w:val="24"/>
          <w:lang w:val="sq-AL"/>
        </w:rPr>
        <w:t xml:space="preserve"> që personat juridikë që konsiderohen përgjegjës </w:t>
      </w:r>
      <w:r w:rsidRPr="00F85F05">
        <w:rPr>
          <w:rFonts w:ascii="Times New Roman" w:hAnsi="Times New Roman" w:cs="Times New Roman"/>
          <w:bCs/>
          <w:sz w:val="24"/>
          <w:szCs w:val="24"/>
        </w:rPr>
        <w:t>…</w:t>
      </w:r>
      <w:r w:rsidRPr="00F85F05">
        <w:rPr>
          <w:rFonts w:ascii="Times New Roman" w:hAnsi="Times New Roman" w:cs="Times New Roman"/>
          <w:bCs/>
          <w:sz w:val="24"/>
          <w:szCs w:val="24"/>
          <w:lang w:val="sq-AL"/>
        </w:rPr>
        <w:t>t'i nënshtrohen sanksioneve efektive, proporcionale, bindëse penale ose jopenale, përfshirë sanksionet financiare</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36AC3" w:rsidRDefault="00536AC3" w:rsidP="00F85F05">
      <w:pPr>
        <w:spacing w:after="0"/>
        <w:jc w:val="both"/>
        <w:rPr>
          <w:rFonts w:ascii="Times New Roman" w:hAnsi="Times New Roman" w:cs="Times New Roman"/>
          <w:b/>
          <w:sz w:val="24"/>
          <w:szCs w:val="24"/>
          <w:lang w:val="sq-AL"/>
        </w:rPr>
      </w:pPr>
    </w:p>
    <w:p w:rsidR="005F7C4F" w:rsidRPr="00F85F05" w:rsidRDefault="005F7C4F" w:rsidP="00F85F05">
      <w:pPr>
        <w:spacing w:after="0"/>
        <w:jc w:val="both"/>
        <w:rPr>
          <w:rFonts w:ascii="Times New Roman" w:hAnsi="Times New Roman" w:cs="Times New Roman"/>
          <w:b/>
          <w:sz w:val="24"/>
          <w:szCs w:val="24"/>
          <w:lang w:val="sq-AL"/>
        </w:rPr>
      </w:pPr>
      <w:r w:rsidRPr="00F85F05">
        <w:rPr>
          <w:rFonts w:ascii="Times New Roman" w:hAnsi="Times New Roman" w:cs="Times New Roman"/>
          <w:b/>
          <w:sz w:val="24"/>
          <w:szCs w:val="24"/>
          <w:lang w:val="sq-AL"/>
        </w:rPr>
        <w:t>Konventa e Kombeve të Bashkuara kundër Korrupsionit, parashikon:</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 Secili shtet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aprovon masat e nevojshme,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 për të parashikuar </w:t>
      </w:r>
      <w:r w:rsidRPr="00F85F05">
        <w:rPr>
          <w:rFonts w:ascii="Times New Roman" w:hAnsi="Times New Roman" w:cs="Times New Roman"/>
          <w:b/>
          <w:bCs/>
          <w:sz w:val="24"/>
          <w:szCs w:val="24"/>
          <w:lang w:val="sq-AL"/>
        </w:rPr>
        <w:t>përgjegjësinë e personave juridikë</w:t>
      </w:r>
      <w:r w:rsidRPr="00F85F05">
        <w:rPr>
          <w:rFonts w:ascii="Times New Roman" w:hAnsi="Times New Roman" w:cs="Times New Roman"/>
          <w:sz w:val="24"/>
          <w:szCs w:val="24"/>
          <w:lang w:val="sq-AL"/>
        </w:rPr>
        <w:t xml:space="preserve"> për pjesëmarrjen në veprat penale</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2.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përgjegjësia e personave juridikë mund të jetë </w:t>
      </w:r>
      <w:r w:rsidRPr="00F85F05">
        <w:rPr>
          <w:rFonts w:ascii="Times New Roman" w:hAnsi="Times New Roman" w:cs="Times New Roman"/>
          <w:b/>
          <w:bCs/>
          <w:sz w:val="24"/>
          <w:szCs w:val="24"/>
          <w:lang w:val="sq-AL"/>
        </w:rPr>
        <w:t>penale</w:t>
      </w:r>
      <w:r w:rsidRPr="00F85F05">
        <w:rPr>
          <w:rFonts w:ascii="Times New Roman" w:hAnsi="Times New Roman" w:cs="Times New Roman"/>
          <w:sz w:val="24"/>
          <w:szCs w:val="24"/>
          <w:lang w:val="sq-AL"/>
        </w:rPr>
        <w:t>, civile ose administrative.</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3. Kjo përgjegjësi </w:t>
      </w:r>
      <w:r w:rsidRPr="00F85F05">
        <w:rPr>
          <w:rFonts w:ascii="Times New Roman" w:hAnsi="Times New Roman" w:cs="Times New Roman"/>
          <w:b/>
          <w:bCs/>
          <w:sz w:val="24"/>
          <w:szCs w:val="24"/>
          <w:lang w:val="sq-AL"/>
        </w:rPr>
        <w:t>nuk cenon përgjegjësinë penale të personave fizike</w:t>
      </w:r>
      <w:r w:rsidRPr="00F85F05">
        <w:rPr>
          <w:rFonts w:ascii="Times New Roman" w:hAnsi="Times New Roman" w:cs="Times New Roman"/>
          <w:sz w:val="24"/>
          <w:szCs w:val="24"/>
          <w:lang w:val="sq-AL"/>
        </w:rPr>
        <w:t xml:space="preserve"> që kanë kryer këto vepra penale.</w:t>
      </w:r>
      <w:r w:rsidRPr="00F85F05">
        <w:rPr>
          <w:rFonts w:ascii="Times New Roman" w:hAnsi="Times New Roman" w:cs="Times New Roman"/>
          <w:sz w:val="24"/>
          <w:szCs w:val="24"/>
        </w:rPr>
        <w:t xml:space="preserve"> </w:t>
      </w:r>
    </w:p>
    <w:p w:rsidR="005F7C4F"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4. Secili shtet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siguron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që </w:t>
      </w:r>
      <w:r w:rsidRPr="00F85F05">
        <w:rPr>
          <w:rFonts w:ascii="Times New Roman" w:hAnsi="Times New Roman" w:cs="Times New Roman"/>
          <w:b/>
          <w:bCs/>
          <w:sz w:val="24"/>
          <w:szCs w:val="24"/>
          <w:lang w:val="sq-AL"/>
        </w:rPr>
        <w:t>personat juridikë</w:t>
      </w:r>
      <w:r w:rsidRPr="00F85F05">
        <w:rPr>
          <w:rFonts w:ascii="Times New Roman" w:hAnsi="Times New Roman" w:cs="Times New Roman"/>
          <w:sz w:val="24"/>
          <w:szCs w:val="24"/>
          <w:lang w:val="sq-AL"/>
        </w:rPr>
        <w:t xml:space="preserve">, </w:t>
      </w:r>
      <w:r w:rsidRPr="00F85F05">
        <w:rPr>
          <w:rFonts w:ascii="Times New Roman" w:hAnsi="Times New Roman" w:cs="Times New Roman"/>
          <w:sz w:val="24"/>
          <w:szCs w:val="24"/>
        </w:rPr>
        <w:t>…</w:t>
      </w:r>
      <w:r w:rsidRPr="00F85F05">
        <w:rPr>
          <w:rFonts w:ascii="Times New Roman" w:hAnsi="Times New Roman" w:cs="Times New Roman"/>
          <w:b/>
          <w:bCs/>
          <w:sz w:val="24"/>
          <w:szCs w:val="24"/>
          <w:lang w:val="sq-AL"/>
        </w:rPr>
        <w:t>t’u nënshtrohen sanksioneve të efektshme, proporcionale e penguese, penale ose jopenale, duke përfshirë sanksionet penale</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36AC3" w:rsidRPr="00F85F05" w:rsidRDefault="00536AC3" w:rsidP="00F85F05">
      <w:pPr>
        <w:spacing w:after="0"/>
        <w:jc w:val="both"/>
        <w:rPr>
          <w:rFonts w:ascii="Times New Roman" w:hAnsi="Times New Roman" w:cs="Times New Roman"/>
          <w:sz w:val="24"/>
          <w:szCs w:val="24"/>
        </w:rPr>
      </w:pP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sz w:val="24"/>
          <w:szCs w:val="24"/>
          <w:lang w:val="en-GB"/>
        </w:rPr>
      </w:pPr>
      <w:r>
        <w:rPr>
          <w:rFonts w:ascii="Times New Roman" w:eastAsia="MyriadPro-Regular" w:hAnsi="Times New Roman" w:cs="Times New Roman"/>
          <w:sz w:val="24"/>
          <w:szCs w:val="24"/>
          <w:lang w:val="en-GB"/>
        </w:rPr>
        <w:t>-</w:t>
      </w:r>
      <w:r w:rsidRPr="00536AC3">
        <w:rPr>
          <w:rFonts w:ascii="Times New Roman" w:eastAsia="MyriadPro-Regular" w:hAnsi="Times New Roman" w:cs="Times New Roman"/>
          <w:b/>
          <w:sz w:val="24"/>
          <w:szCs w:val="24"/>
          <w:lang w:val="en-GB"/>
        </w:rPr>
        <w:t>Konventa e vitit 1999 e Keshillit te Evropes per te Drejten Penale mbi Korrupsionin e</w:t>
      </w:r>
      <w:r w:rsidRPr="00536AC3">
        <w:rPr>
          <w:rFonts w:ascii="Times New Roman" w:eastAsia="MyriadPro-Regular" w:hAnsi="Times New Roman" w:cs="Times New Roman"/>
          <w:sz w:val="24"/>
          <w:szCs w:val="24"/>
          <w:lang w:val="en-GB"/>
        </w:rPr>
        <w:t xml:space="preserve"> percakton pergjegjesine</w:t>
      </w:r>
      <w:r>
        <w:rPr>
          <w:rFonts w:ascii="Times New Roman" w:eastAsia="MyriadPro-Regular" w:hAnsi="Times New Roman" w:cs="Times New Roman"/>
          <w:sz w:val="24"/>
          <w:szCs w:val="24"/>
          <w:lang w:val="en-GB"/>
        </w:rPr>
        <w:t xml:space="preserve"> </w:t>
      </w:r>
      <w:r w:rsidRPr="00536AC3">
        <w:rPr>
          <w:rFonts w:ascii="Times New Roman" w:eastAsia="MyriadPro-Regular" w:hAnsi="Times New Roman" w:cs="Times New Roman"/>
          <w:sz w:val="24"/>
          <w:szCs w:val="24"/>
          <w:lang w:val="en-GB"/>
        </w:rPr>
        <w:t>e personave juridike ne nenin 18 dhe fillimisht ndjek parimin e “alter ego” ne piken e saj 1:</w:t>
      </w: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i/>
          <w:sz w:val="24"/>
          <w:szCs w:val="24"/>
          <w:lang w:val="en-GB"/>
        </w:rPr>
      </w:pPr>
      <w:r w:rsidRPr="00536AC3">
        <w:rPr>
          <w:rFonts w:ascii="Times New Roman" w:eastAsia="MyriadPro-Regular" w:hAnsi="Times New Roman" w:cs="Times New Roman"/>
          <w:i/>
          <w:sz w:val="24"/>
          <w:szCs w:val="24"/>
          <w:lang w:val="en-GB"/>
        </w:rPr>
        <w:t>“1 Secila pale duhet te miratoje masa te tilla legjislative dhe masa te tjera qe mund te jene te nevojshme per t’u siguruar qe personat juridike te mund te mbahen pergjegjes per veprat penale [...], te kryera per perfitimin e tyre nga cdo person fizik qe ka vepruar individualisht ose si pjese e nje organi te personit juridik, qe ka nje pozite drejtuese brendaperbrenda personit juridik, bazuar tek:</w:t>
      </w: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i/>
          <w:sz w:val="24"/>
          <w:szCs w:val="24"/>
          <w:lang w:val="en-GB"/>
        </w:rPr>
      </w:pPr>
      <w:r w:rsidRPr="00536AC3">
        <w:rPr>
          <w:rFonts w:ascii="Times New Roman" w:eastAsia="MyriadPro-Regular" w:hAnsi="Times New Roman" w:cs="Times New Roman"/>
          <w:i/>
          <w:sz w:val="24"/>
          <w:szCs w:val="24"/>
          <w:lang w:val="en-GB"/>
        </w:rPr>
        <w:t>– fuqia e perfaqesimit te personit juridik; ose</w:t>
      </w: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i/>
          <w:sz w:val="24"/>
          <w:szCs w:val="24"/>
          <w:lang w:val="en-GB"/>
        </w:rPr>
      </w:pPr>
      <w:r w:rsidRPr="00536AC3">
        <w:rPr>
          <w:rFonts w:ascii="Times New Roman" w:eastAsia="MyriadPro-Regular" w:hAnsi="Times New Roman" w:cs="Times New Roman"/>
          <w:i/>
          <w:sz w:val="24"/>
          <w:szCs w:val="24"/>
          <w:lang w:val="en-GB"/>
        </w:rPr>
        <w:t>– autoriteti per te marre vendime ne emer te personit juridik; ose</w:t>
      </w: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i/>
          <w:sz w:val="24"/>
          <w:szCs w:val="24"/>
          <w:lang w:val="en-GB"/>
        </w:rPr>
      </w:pPr>
      <w:r w:rsidRPr="00536AC3">
        <w:rPr>
          <w:rFonts w:ascii="Times New Roman" w:eastAsia="MyriadPro-Regular" w:hAnsi="Times New Roman" w:cs="Times New Roman"/>
          <w:i/>
          <w:sz w:val="24"/>
          <w:szCs w:val="24"/>
          <w:lang w:val="en-GB"/>
        </w:rPr>
        <w:t>– autoriteti per te ushtruar kontroll brenda personit juridik;</w:t>
      </w: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i/>
          <w:sz w:val="24"/>
          <w:szCs w:val="24"/>
          <w:lang w:val="en-GB"/>
        </w:rPr>
      </w:pPr>
      <w:r w:rsidRPr="00536AC3">
        <w:rPr>
          <w:rFonts w:ascii="Times New Roman" w:eastAsia="MyriadPro-Regular" w:hAnsi="Times New Roman" w:cs="Times New Roman"/>
          <w:i/>
          <w:sz w:val="24"/>
          <w:szCs w:val="24"/>
          <w:lang w:val="en-GB"/>
        </w:rPr>
        <w:t>si dhe tek perfshirja e nje personi te tille fizik si bashkepunetor ose nxites ne veprat e lartpermendura penale”.</w:t>
      </w:r>
    </w:p>
    <w:p w:rsidR="00536AC3" w:rsidRPr="00536AC3" w:rsidRDefault="00536AC3" w:rsidP="00536AC3">
      <w:pPr>
        <w:autoSpaceDE w:val="0"/>
        <w:autoSpaceDN w:val="0"/>
        <w:adjustRightInd w:val="0"/>
        <w:spacing w:after="0" w:line="240" w:lineRule="auto"/>
        <w:jc w:val="both"/>
        <w:rPr>
          <w:rFonts w:ascii="Times New Roman" w:eastAsia="MyriadPro-Regular" w:hAnsi="Times New Roman" w:cs="Times New Roman"/>
          <w:sz w:val="24"/>
          <w:szCs w:val="24"/>
          <w:lang w:val="en-GB"/>
        </w:rPr>
      </w:pPr>
      <w:r w:rsidRPr="00536AC3">
        <w:rPr>
          <w:rFonts w:ascii="Times New Roman" w:eastAsia="MyriadPro-Regular" w:hAnsi="Times New Roman" w:cs="Times New Roman"/>
          <w:sz w:val="24"/>
          <w:szCs w:val="24"/>
          <w:lang w:val="en-GB"/>
        </w:rPr>
        <w:t>Megjithate, paragrafi 2 i Konventes arrin ne nje standard me objektiv (ose tek “mosparandalimi”), duke</w:t>
      </w:r>
      <w:r>
        <w:rPr>
          <w:rFonts w:ascii="Times New Roman" w:eastAsia="MyriadPro-Regular" w:hAnsi="Times New Roman" w:cs="Times New Roman"/>
          <w:sz w:val="24"/>
          <w:szCs w:val="24"/>
          <w:lang w:val="en-GB"/>
        </w:rPr>
        <w:t xml:space="preserve"> </w:t>
      </w:r>
      <w:r w:rsidRPr="00536AC3">
        <w:rPr>
          <w:rFonts w:ascii="Times New Roman" w:eastAsia="MyriadPro-Regular" w:hAnsi="Times New Roman" w:cs="Times New Roman"/>
          <w:sz w:val="24"/>
          <w:szCs w:val="24"/>
          <w:lang w:val="en-GB"/>
        </w:rPr>
        <w:t>parashikuar mungesen e mbikeqyrjes ose kontrollit si shkak per pergjegjesine:</w:t>
      </w:r>
    </w:p>
    <w:p w:rsidR="005F7C4F" w:rsidRPr="00536AC3" w:rsidRDefault="00536AC3" w:rsidP="00536AC3">
      <w:pPr>
        <w:autoSpaceDE w:val="0"/>
        <w:autoSpaceDN w:val="0"/>
        <w:adjustRightInd w:val="0"/>
        <w:spacing w:after="0" w:line="240" w:lineRule="auto"/>
        <w:jc w:val="both"/>
        <w:rPr>
          <w:rFonts w:ascii="Times New Roman" w:hAnsi="Times New Roman" w:cs="Times New Roman"/>
          <w:i/>
          <w:sz w:val="24"/>
          <w:szCs w:val="24"/>
          <w:lang w:val="sq-AL"/>
        </w:rPr>
      </w:pPr>
      <w:r w:rsidRPr="00536AC3">
        <w:rPr>
          <w:rFonts w:ascii="Times New Roman" w:eastAsia="MyriadPro-Regular" w:hAnsi="Times New Roman" w:cs="Times New Roman"/>
          <w:i/>
          <w:sz w:val="24"/>
          <w:szCs w:val="24"/>
          <w:lang w:val="en-GB"/>
        </w:rPr>
        <w:t>“2 Pervec rasteve te parashikuara ne piken 1, secila Pale duhet te marre masat e nevojshme per t’u siguruar qe nje person juridik te mund te mbahet pergjegjes kur mungesa e mbikeqyrjes ose kontrollit nga nje person fizik i permendur ne paragrafin 1 te kete bere te mundur kryerjen e veprave penale te permendura ne piken 1 ne te mire te atij personi juridik nga nje person fizik nen autoritetin e tij</w:t>
      </w:r>
    </w:p>
    <w:p w:rsidR="005F7C4F" w:rsidRPr="00F85F05" w:rsidRDefault="005F7C4F" w:rsidP="00F85F05">
      <w:pPr>
        <w:spacing w:after="0"/>
        <w:jc w:val="both"/>
        <w:rPr>
          <w:rFonts w:ascii="Times New Roman" w:hAnsi="Times New Roman" w:cs="Times New Roman"/>
          <w:sz w:val="24"/>
          <w:szCs w:val="24"/>
          <w:lang w:val="sq-AL"/>
        </w:rPr>
      </w:pPr>
    </w:p>
    <w:p w:rsidR="005F7C4F" w:rsidRPr="00F85F05" w:rsidRDefault="00F85F05" w:rsidP="00F85F05">
      <w:pPr>
        <w:spacing w:after="0"/>
        <w:jc w:val="both"/>
        <w:rPr>
          <w:rFonts w:ascii="Times New Roman" w:hAnsi="Times New Roman" w:cs="Times New Roman"/>
          <w:b/>
          <w:i/>
          <w:sz w:val="24"/>
          <w:szCs w:val="24"/>
          <w:u w:val="single"/>
          <w:lang w:val="sq-AL"/>
        </w:rPr>
      </w:pPr>
      <w:r w:rsidRPr="00F85F05">
        <w:rPr>
          <w:rFonts w:ascii="Times New Roman" w:hAnsi="Times New Roman" w:cs="Times New Roman"/>
          <w:b/>
          <w:i/>
          <w:sz w:val="24"/>
          <w:szCs w:val="24"/>
          <w:lang w:val="sq-AL"/>
        </w:rPr>
        <w:t>2-</w:t>
      </w:r>
      <w:r w:rsidR="005F7C4F" w:rsidRPr="00F85F05">
        <w:rPr>
          <w:rFonts w:ascii="Times New Roman" w:hAnsi="Times New Roman" w:cs="Times New Roman"/>
          <w:b/>
          <w:i/>
          <w:sz w:val="24"/>
          <w:szCs w:val="24"/>
          <w:u w:val="single"/>
          <w:lang w:val="sq-AL"/>
        </w:rPr>
        <w:t xml:space="preserve">Përgjegjësia penale e personit juridik në Shqipëri. </w:t>
      </w:r>
    </w:p>
    <w:p w:rsidR="00F85F05" w:rsidRPr="00F85F05" w:rsidRDefault="00F85F05" w:rsidP="00F85F05">
      <w:pPr>
        <w:spacing w:after="0"/>
        <w:jc w:val="both"/>
        <w:rPr>
          <w:rFonts w:ascii="Times New Roman" w:hAnsi="Times New Roman" w:cs="Times New Roman"/>
          <w:b/>
          <w:i/>
          <w:sz w:val="24"/>
          <w:szCs w:val="24"/>
          <w:lang w:val="sq-AL"/>
        </w:rPr>
      </w:pPr>
    </w:p>
    <w:p w:rsidR="005F7C4F" w:rsidRPr="00F85F05" w:rsidRDefault="005F7C4F" w:rsidP="00F85F05">
      <w:pPr>
        <w:numPr>
          <w:ilvl w:val="0"/>
          <w:numId w:val="1"/>
        </w:numPr>
        <w:spacing w:after="0"/>
        <w:jc w:val="both"/>
        <w:rPr>
          <w:rFonts w:ascii="Times New Roman" w:hAnsi="Times New Roman" w:cs="Times New Roman"/>
          <w:sz w:val="24"/>
          <w:szCs w:val="24"/>
        </w:rPr>
      </w:pPr>
      <w:r w:rsidRPr="00F85F05">
        <w:rPr>
          <w:rFonts w:ascii="Times New Roman" w:hAnsi="Times New Roman" w:cs="Times New Roman"/>
          <w:sz w:val="24"/>
          <w:szCs w:val="24"/>
        </w:rPr>
        <w:t xml:space="preserve">N. 45 i K.Penal i R. Shqiperise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pt-BR"/>
        </w:rPr>
        <w:lastRenderedPageBreak/>
        <w:tab/>
        <w:t xml:space="preserve">Personat juridikë, me përjashtim të institucioneve shtetërore, përgjigjen penalisht për vepra penale, të kryera </w:t>
      </w:r>
      <w:r w:rsidRPr="00F85F05">
        <w:rPr>
          <w:rFonts w:ascii="Times New Roman" w:hAnsi="Times New Roman" w:cs="Times New Roman"/>
          <w:b/>
          <w:bCs/>
          <w:sz w:val="24"/>
          <w:szCs w:val="24"/>
          <w:lang w:val="pt-BR"/>
        </w:rPr>
        <w:t>në emër ose në dobi të tyre</w:t>
      </w:r>
      <w:r w:rsidRPr="00F85F05">
        <w:rPr>
          <w:rFonts w:ascii="Times New Roman" w:hAnsi="Times New Roman" w:cs="Times New Roman"/>
          <w:sz w:val="24"/>
          <w:szCs w:val="24"/>
          <w:lang w:val="pt-BR"/>
        </w:rPr>
        <w:t xml:space="preserve"> nga </w:t>
      </w:r>
      <w:r w:rsidRPr="00F85F05">
        <w:rPr>
          <w:rFonts w:ascii="Times New Roman" w:hAnsi="Times New Roman" w:cs="Times New Roman"/>
          <w:b/>
          <w:bCs/>
          <w:sz w:val="24"/>
          <w:szCs w:val="24"/>
          <w:lang w:val="pt-BR"/>
        </w:rPr>
        <w:t>organet</w:t>
      </w:r>
      <w:r w:rsidRPr="00F85F05">
        <w:rPr>
          <w:rFonts w:ascii="Times New Roman" w:hAnsi="Times New Roman" w:cs="Times New Roman"/>
          <w:sz w:val="24"/>
          <w:szCs w:val="24"/>
          <w:lang w:val="pt-BR"/>
        </w:rPr>
        <w:t xml:space="preserve"> dhe </w:t>
      </w:r>
      <w:r w:rsidRPr="00F85F05">
        <w:rPr>
          <w:rFonts w:ascii="Times New Roman" w:hAnsi="Times New Roman" w:cs="Times New Roman"/>
          <w:b/>
          <w:bCs/>
          <w:sz w:val="24"/>
          <w:szCs w:val="24"/>
          <w:lang w:val="pt-BR"/>
        </w:rPr>
        <w:t>përfaqësuesit</w:t>
      </w:r>
      <w:r w:rsidRPr="00F85F05">
        <w:rPr>
          <w:rFonts w:ascii="Times New Roman" w:hAnsi="Times New Roman" w:cs="Times New Roman"/>
          <w:sz w:val="24"/>
          <w:szCs w:val="24"/>
          <w:lang w:val="pt-BR"/>
        </w:rPr>
        <w:t xml:space="preserve"> e tyre.</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b/>
          <w:bCs/>
          <w:sz w:val="24"/>
          <w:szCs w:val="24"/>
          <w:lang w:val="pt-BR"/>
        </w:rPr>
        <w:tab/>
        <w:t xml:space="preserve">Njësitë e qeverisjes vendore </w:t>
      </w:r>
      <w:r w:rsidRPr="00F85F05">
        <w:rPr>
          <w:rFonts w:ascii="Times New Roman" w:hAnsi="Times New Roman" w:cs="Times New Roman"/>
          <w:sz w:val="24"/>
          <w:szCs w:val="24"/>
          <w:lang w:val="pt-BR"/>
        </w:rPr>
        <w:t xml:space="preserve">përgjigjen penalisht vetëm për veprime të kryera </w:t>
      </w:r>
      <w:r w:rsidRPr="00F85F05">
        <w:rPr>
          <w:rFonts w:ascii="Times New Roman" w:hAnsi="Times New Roman" w:cs="Times New Roman"/>
          <w:b/>
          <w:bCs/>
          <w:sz w:val="24"/>
          <w:szCs w:val="24"/>
          <w:lang w:val="pt-BR"/>
        </w:rPr>
        <w:t>gjatë ushtrimit të veprimtarisë së tyre</w:t>
      </w:r>
      <w:r w:rsidRPr="00F85F05">
        <w:rPr>
          <w:rFonts w:ascii="Times New Roman" w:hAnsi="Times New Roman" w:cs="Times New Roman"/>
          <w:sz w:val="24"/>
          <w:szCs w:val="24"/>
          <w:lang w:val="pt-BR"/>
        </w:rPr>
        <w:t xml:space="preserve">, të cilat mund të ushtrohen nëpërmjet </w:t>
      </w:r>
      <w:r w:rsidRPr="00F85F05">
        <w:rPr>
          <w:rFonts w:ascii="Times New Roman" w:hAnsi="Times New Roman" w:cs="Times New Roman"/>
          <w:b/>
          <w:bCs/>
          <w:sz w:val="24"/>
          <w:szCs w:val="24"/>
          <w:lang w:val="pt-BR"/>
        </w:rPr>
        <w:t>delegimit</w:t>
      </w:r>
      <w:r w:rsidRPr="00F85F05">
        <w:rPr>
          <w:rFonts w:ascii="Times New Roman" w:hAnsi="Times New Roman" w:cs="Times New Roman"/>
          <w:sz w:val="24"/>
          <w:szCs w:val="24"/>
          <w:lang w:val="pt-BR"/>
        </w:rPr>
        <w:t xml:space="preserve"> </w:t>
      </w:r>
      <w:r w:rsidRPr="00F85F05">
        <w:rPr>
          <w:rFonts w:ascii="Times New Roman" w:hAnsi="Times New Roman" w:cs="Times New Roman"/>
          <w:b/>
          <w:bCs/>
          <w:sz w:val="24"/>
          <w:szCs w:val="24"/>
          <w:lang w:val="pt-BR"/>
        </w:rPr>
        <w:t>të shërbimeve publike</w:t>
      </w:r>
      <w:r w:rsidRPr="00F85F05">
        <w:rPr>
          <w:rFonts w:ascii="Times New Roman" w:hAnsi="Times New Roman" w:cs="Times New Roman"/>
          <w:sz w:val="24"/>
          <w:szCs w:val="24"/>
          <w:lang w:val="pt-BR"/>
        </w:rPr>
        <w:t>.</w:t>
      </w:r>
      <w:r w:rsidRPr="00F85F05">
        <w:rPr>
          <w:rFonts w:ascii="Times New Roman" w:hAnsi="Times New Roman" w:cs="Times New Roman"/>
          <w:sz w:val="24"/>
          <w:szCs w:val="24"/>
        </w:rPr>
        <w:t xml:space="preserve"> </w:t>
      </w:r>
    </w:p>
    <w:p w:rsidR="005F7C4F" w:rsidRPr="00F85F05" w:rsidRDefault="005F7C4F" w:rsidP="00F85F05">
      <w:pPr>
        <w:numPr>
          <w:ilvl w:val="0"/>
          <w:numId w:val="2"/>
        </w:numPr>
        <w:spacing w:after="0"/>
        <w:jc w:val="both"/>
        <w:rPr>
          <w:rFonts w:ascii="Times New Roman" w:hAnsi="Times New Roman" w:cs="Times New Roman"/>
          <w:sz w:val="24"/>
          <w:szCs w:val="24"/>
        </w:rPr>
      </w:pPr>
      <w:r w:rsidRPr="00F85F05">
        <w:rPr>
          <w:rFonts w:ascii="Times New Roman" w:hAnsi="Times New Roman" w:cs="Times New Roman"/>
          <w:sz w:val="24"/>
          <w:szCs w:val="24"/>
          <w:lang w:val="pt-BR"/>
        </w:rPr>
        <w:t xml:space="preserve">Përgjegjësia penale e personave juridikë </w:t>
      </w:r>
      <w:r w:rsidRPr="00F85F05">
        <w:rPr>
          <w:rFonts w:ascii="Times New Roman" w:hAnsi="Times New Roman" w:cs="Times New Roman"/>
          <w:b/>
          <w:bCs/>
          <w:sz w:val="24"/>
          <w:szCs w:val="24"/>
          <w:lang w:val="pt-BR"/>
        </w:rPr>
        <w:t>nuk përjashton atë të personave fizikë</w:t>
      </w:r>
      <w:r w:rsidRPr="00F85F05">
        <w:rPr>
          <w:rFonts w:ascii="Times New Roman" w:hAnsi="Times New Roman" w:cs="Times New Roman"/>
          <w:sz w:val="24"/>
          <w:szCs w:val="24"/>
          <w:lang w:val="pt-BR"/>
        </w:rPr>
        <w:t>, të cilët kanë kryer ose janë bashkëpunëtorë në kryerjen e të njëjtave vepra penale.</w:t>
      </w:r>
      <w:r w:rsidRPr="00F85F05">
        <w:rPr>
          <w:rFonts w:ascii="Times New Roman" w:hAnsi="Times New Roman" w:cs="Times New Roman"/>
          <w:sz w:val="24"/>
          <w:szCs w:val="24"/>
        </w:rPr>
        <w:t xml:space="preserve"> </w:t>
      </w:r>
    </w:p>
    <w:p w:rsidR="005F7C4F" w:rsidRPr="00F85F05" w:rsidRDefault="005F7C4F" w:rsidP="00F85F05">
      <w:pPr>
        <w:numPr>
          <w:ilvl w:val="0"/>
          <w:numId w:val="2"/>
        </w:numPr>
        <w:spacing w:after="0"/>
        <w:jc w:val="both"/>
        <w:rPr>
          <w:rFonts w:ascii="Times New Roman" w:hAnsi="Times New Roman" w:cs="Times New Roman"/>
          <w:sz w:val="24"/>
          <w:szCs w:val="24"/>
        </w:rPr>
      </w:pPr>
      <w:r w:rsidRPr="00F85F05">
        <w:rPr>
          <w:rFonts w:ascii="Times New Roman" w:hAnsi="Times New Roman" w:cs="Times New Roman"/>
          <w:b/>
          <w:bCs/>
          <w:sz w:val="24"/>
          <w:szCs w:val="24"/>
          <w:lang w:val="pt-BR"/>
        </w:rPr>
        <w:t xml:space="preserve">Veprat penale </w:t>
      </w:r>
      <w:r w:rsidRPr="00F85F05">
        <w:rPr>
          <w:rFonts w:ascii="Times New Roman" w:hAnsi="Times New Roman" w:cs="Times New Roman"/>
          <w:sz w:val="24"/>
          <w:szCs w:val="24"/>
          <w:lang w:val="pt-BR"/>
        </w:rPr>
        <w:t xml:space="preserve">dhe </w:t>
      </w:r>
      <w:r w:rsidRPr="00F85F05">
        <w:rPr>
          <w:rFonts w:ascii="Times New Roman" w:hAnsi="Times New Roman" w:cs="Times New Roman"/>
          <w:b/>
          <w:bCs/>
          <w:sz w:val="24"/>
          <w:szCs w:val="24"/>
          <w:lang w:val="pt-BR"/>
        </w:rPr>
        <w:t xml:space="preserve">masat ndëshkuese </w:t>
      </w:r>
      <w:r w:rsidRPr="00F85F05">
        <w:rPr>
          <w:rFonts w:ascii="Times New Roman" w:hAnsi="Times New Roman" w:cs="Times New Roman"/>
          <w:sz w:val="24"/>
          <w:szCs w:val="24"/>
          <w:lang w:val="pt-BR"/>
        </w:rPr>
        <w:t xml:space="preserve">përkatëse, që zbatohen ndaj personave juridikë, si dhe </w:t>
      </w:r>
      <w:r w:rsidRPr="00F85F05">
        <w:rPr>
          <w:rFonts w:ascii="Times New Roman" w:hAnsi="Times New Roman" w:cs="Times New Roman"/>
          <w:b/>
          <w:bCs/>
          <w:sz w:val="24"/>
          <w:szCs w:val="24"/>
          <w:lang w:val="pt-BR"/>
        </w:rPr>
        <w:t>procedura</w:t>
      </w:r>
      <w:r w:rsidRPr="00F85F05">
        <w:rPr>
          <w:rFonts w:ascii="Times New Roman" w:hAnsi="Times New Roman" w:cs="Times New Roman"/>
          <w:sz w:val="24"/>
          <w:szCs w:val="24"/>
          <w:lang w:val="pt-BR"/>
        </w:rPr>
        <w:t xml:space="preserve"> për </w:t>
      </w:r>
      <w:r w:rsidRPr="00F85F05">
        <w:rPr>
          <w:rFonts w:ascii="Times New Roman" w:hAnsi="Times New Roman" w:cs="Times New Roman"/>
          <w:b/>
          <w:bCs/>
          <w:sz w:val="24"/>
          <w:szCs w:val="24"/>
          <w:lang w:val="pt-BR"/>
        </w:rPr>
        <w:t>vendosjen</w:t>
      </w:r>
      <w:r w:rsidRPr="00F85F05">
        <w:rPr>
          <w:rFonts w:ascii="Times New Roman" w:hAnsi="Times New Roman" w:cs="Times New Roman"/>
          <w:sz w:val="24"/>
          <w:szCs w:val="24"/>
          <w:lang w:val="pt-BR"/>
        </w:rPr>
        <w:t xml:space="preserve"> dhe </w:t>
      </w:r>
      <w:r w:rsidRPr="00F85F05">
        <w:rPr>
          <w:rFonts w:ascii="Times New Roman" w:hAnsi="Times New Roman" w:cs="Times New Roman"/>
          <w:b/>
          <w:bCs/>
          <w:sz w:val="24"/>
          <w:szCs w:val="24"/>
          <w:lang w:val="pt-BR"/>
        </w:rPr>
        <w:t>ekzekutimin</w:t>
      </w:r>
      <w:r w:rsidRPr="00F85F05">
        <w:rPr>
          <w:rFonts w:ascii="Times New Roman" w:hAnsi="Times New Roman" w:cs="Times New Roman"/>
          <w:sz w:val="24"/>
          <w:szCs w:val="24"/>
          <w:lang w:val="pt-BR"/>
        </w:rPr>
        <w:t xml:space="preserve"> e tyre rregullohen me </w:t>
      </w:r>
      <w:r w:rsidRPr="00F85F05">
        <w:rPr>
          <w:rFonts w:ascii="Times New Roman" w:hAnsi="Times New Roman" w:cs="Times New Roman"/>
          <w:b/>
          <w:bCs/>
          <w:sz w:val="24"/>
          <w:szCs w:val="24"/>
          <w:lang w:val="pt-BR"/>
        </w:rPr>
        <w:t>ligj të veçantë</w:t>
      </w:r>
      <w:r w:rsidRPr="00F85F05">
        <w:rPr>
          <w:rFonts w:ascii="Times New Roman" w:hAnsi="Times New Roman" w:cs="Times New Roman"/>
          <w:b/>
          <w:bCs/>
          <w:sz w:val="24"/>
          <w:szCs w:val="24"/>
        </w:rPr>
        <w:t xml:space="preserve"> </w:t>
      </w: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Ligji Nr. 9754, datë 14.6.2007</w:t>
      </w:r>
    </w:p>
    <w:p w:rsidR="005F7C4F" w:rsidRPr="00F85F05" w:rsidRDefault="005F7C4F" w:rsidP="00F85F05">
      <w:pPr>
        <w:numPr>
          <w:ilvl w:val="0"/>
          <w:numId w:val="3"/>
        </w:num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Ligji “</w:t>
      </w:r>
      <w:r w:rsidRPr="00F85F05">
        <w:rPr>
          <w:rFonts w:ascii="Times New Roman" w:hAnsi="Times New Roman" w:cs="Times New Roman"/>
          <w:i/>
          <w:iCs/>
          <w:sz w:val="24"/>
          <w:szCs w:val="24"/>
          <w:lang w:val="sq-AL"/>
        </w:rPr>
        <w:t>Për përgjegjësinë penale të personave juridikë</w:t>
      </w:r>
      <w:r w:rsidRPr="00F85F05">
        <w:rPr>
          <w:rFonts w:ascii="Times New Roman" w:hAnsi="Times New Roman" w:cs="Times New Roman"/>
          <w:sz w:val="24"/>
          <w:szCs w:val="24"/>
          <w:lang w:val="sq-AL"/>
        </w:rPr>
        <w:t xml:space="preserve">” </w:t>
      </w:r>
      <w:r w:rsidRPr="00F85F05">
        <w:rPr>
          <w:rFonts w:ascii="Times New Roman" w:hAnsi="Times New Roman" w:cs="Times New Roman"/>
          <w:sz w:val="24"/>
          <w:szCs w:val="24"/>
        </w:rPr>
        <w:t>sanksionoi r</w:t>
      </w:r>
      <w:r w:rsidRPr="00F85F05">
        <w:rPr>
          <w:rFonts w:ascii="Times New Roman" w:hAnsi="Times New Roman" w:cs="Times New Roman"/>
          <w:sz w:val="24"/>
          <w:szCs w:val="24"/>
          <w:lang w:val="sq-AL"/>
        </w:rPr>
        <w:t>regulla</w:t>
      </w:r>
      <w:r w:rsidRPr="00F85F05">
        <w:rPr>
          <w:rFonts w:ascii="Times New Roman" w:hAnsi="Times New Roman" w:cs="Times New Roman"/>
          <w:sz w:val="24"/>
          <w:szCs w:val="24"/>
        </w:rPr>
        <w:t>t</w:t>
      </w:r>
      <w:r w:rsidRPr="00F85F05">
        <w:rPr>
          <w:rFonts w:ascii="Times New Roman" w:hAnsi="Times New Roman" w:cs="Times New Roman"/>
          <w:sz w:val="24"/>
          <w:szCs w:val="24"/>
          <w:lang w:val="sq-AL"/>
        </w:rPr>
        <w:t xml:space="preserve"> për</w:t>
      </w:r>
      <w:r w:rsidRPr="00F85F05">
        <w:rPr>
          <w:rFonts w:ascii="Times New Roman" w:hAnsi="Times New Roman" w:cs="Times New Roman"/>
          <w:sz w:val="24"/>
          <w:szCs w:val="24"/>
        </w:rPr>
        <w:t>:</w:t>
      </w:r>
    </w:p>
    <w:p w:rsidR="005F7C4F" w:rsidRPr="00F85F05" w:rsidRDefault="005F7C4F" w:rsidP="00F85F05">
      <w:pPr>
        <w:numPr>
          <w:ilvl w:val="0"/>
          <w:numId w:val="3"/>
        </w:numPr>
        <w:spacing w:after="0"/>
        <w:jc w:val="both"/>
        <w:rPr>
          <w:rFonts w:ascii="Times New Roman" w:hAnsi="Times New Roman" w:cs="Times New Roman"/>
          <w:sz w:val="24"/>
          <w:szCs w:val="24"/>
        </w:rPr>
      </w:pPr>
      <w:r w:rsidRPr="00F85F05">
        <w:rPr>
          <w:rFonts w:ascii="Times New Roman" w:hAnsi="Times New Roman" w:cs="Times New Roman"/>
          <w:b/>
          <w:bCs/>
          <w:sz w:val="24"/>
          <w:szCs w:val="24"/>
          <w:lang w:val="sq-AL"/>
        </w:rPr>
        <w:t>përgjegjësinë</w:t>
      </w:r>
      <w:r w:rsidRPr="00F85F05">
        <w:rPr>
          <w:rFonts w:ascii="Times New Roman" w:hAnsi="Times New Roman" w:cs="Times New Roman"/>
          <w:sz w:val="24"/>
          <w:szCs w:val="24"/>
          <w:lang w:val="sq-AL"/>
        </w:rPr>
        <w:t xml:space="preserve">, </w:t>
      </w:r>
    </w:p>
    <w:p w:rsidR="005F7C4F" w:rsidRPr="00F85F05" w:rsidRDefault="005F7C4F" w:rsidP="00F85F05">
      <w:pPr>
        <w:numPr>
          <w:ilvl w:val="0"/>
          <w:numId w:val="3"/>
        </w:numPr>
        <w:spacing w:after="0"/>
        <w:jc w:val="both"/>
        <w:rPr>
          <w:rFonts w:ascii="Times New Roman" w:hAnsi="Times New Roman" w:cs="Times New Roman"/>
          <w:sz w:val="24"/>
          <w:szCs w:val="24"/>
        </w:rPr>
      </w:pPr>
      <w:r w:rsidRPr="00F85F05">
        <w:rPr>
          <w:rFonts w:ascii="Times New Roman" w:hAnsi="Times New Roman" w:cs="Times New Roman"/>
          <w:b/>
          <w:bCs/>
          <w:sz w:val="24"/>
          <w:szCs w:val="24"/>
          <w:lang w:val="sq-AL"/>
        </w:rPr>
        <w:t xml:space="preserve">proçedimin penal </w:t>
      </w:r>
    </w:p>
    <w:p w:rsidR="005F7C4F" w:rsidRPr="00F85F05" w:rsidRDefault="005F7C4F" w:rsidP="00F85F05">
      <w:pPr>
        <w:numPr>
          <w:ilvl w:val="0"/>
          <w:numId w:val="3"/>
        </w:numPr>
        <w:spacing w:after="0"/>
        <w:jc w:val="both"/>
        <w:rPr>
          <w:rFonts w:ascii="Times New Roman" w:hAnsi="Times New Roman" w:cs="Times New Roman"/>
          <w:sz w:val="24"/>
          <w:szCs w:val="24"/>
        </w:rPr>
      </w:pPr>
      <w:r w:rsidRPr="00F85F05">
        <w:rPr>
          <w:rFonts w:ascii="Times New Roman" w:hAnsi="Times New Roman" w:cs="Times New Roman"/>
          <w:b/>
          <w:bCs/>
          <w:sz w:val="24"/>
          <w:szCs w:val="24"/>
          <w:lang w:val="sq-AL"/>
        </w:rPr>
        <w:t xml:space="preserve">llojet e masave ndëshkuese </w:t>
      </w:r>
      <w:r w:rsidRPr="00F85F05">
        <w:rPr>
          <w:rFonts w:ascii="Times New Roman" w:hAnsi="Times New Roman" w:cs="Times New Roman"/>
          <w:sz w:val="24"/>
          <w:szCs w:val="24"/>
          <w:lang w:val="sq-AL"/>
        </w:rPr>
        <w:t>që merren ndaj personave juridikë për kryerjen e veprës penale (n. 1).</w:t>
      </w:r>
      <w:r w:rsidRPr="00F85F05">
        <w:rPr>
          <w:rFonts w:ascii="Times New Roman" w:hAnsi="Times New Roman" w:cs="Times New Roman"/>
          <w:sz w:val="24"/>
          <w:szCs w:val="24"/>
        </w:rPr>
        <w:t xml:space="preserve"> </w:t>
      </w:r>
    </w:p>
    <w:p w:rsidR="001D3687" w:rsidRPr="00F85F05" w:rsidRDefault="001D3687" w:rsidP="00F85F05">
      <w:pPr>
        <w:jc w:val="both"/>
        <w:rPr>
          <w:rFonts w:ascii="Times New Roman" w:hAnsi="Times New Roman" w:cs="Times New Roman"/>
          <w:sz w:val="24"/>
          <w:szCs w:val="24"/>
        </w:rPr>
      </w:pPr>
    </w:p>
    <w:p w:rsidR="005F7C4F" w:rsidRPr="00F85F05" w:rsidRDefault="00F85F05" w:rsidP="00F85F05">
      <w:pPr>
        <w:spacing w:after="0"/>
        <w:jc w:val="both"/>
        <w:rPr>
          <w:rFonts w:ascii="Times New Roman" w:hAnsi="Times New Roman" w:cs="Times New Roman"/>
          <w:b/>
          <w:i/>
          <w:sz w:val="24"/>
          <w:szCs w:val="24"/>
          <w:u w:val="single"/>
          <w:lang w:val="sq-AL"/>
        </w:rPr>
      </w:pPr>
      <w:r w:rsidRPr="00F85F05">
        <w:rPr>
          <w:rFonts w:ascii="Times New Roman" w:hAnsi="Times New Roman" w:cs="Times New Roman"/>
          <w:b/>
          <w:i/>
          <w:sz w:val="24"/>
          <w:szCs w:val="24"/>
          <w:u w:val="single"/>
          <w:lang w:val="sq-AL"/>
        </w:rPr>
        <w:t>3-</w:t>
      </w:r>
      <w:r w:rsidR="005F7C4F" w:rsidRPr="00F85F05">
        <w:rPr>
          <w:rFonts w:ascii="Times New Roman" w:hAnsi="Times New Roman" w:cs="Times New Roman"/>
          <w:b/>
          <w:i/>
          <w:sz w:val="24"/>
          <w:szCs w:val="24"/>
          <w:u w:val="single"/>
          <w:lang w:val="sq-AL"/>
        </w:rPr>
        <w:t>Subjekti aktiv që kryen veprën penale</w:t>
      </w:r>
    </w:p>
    <w:p w:rsidR="00F85F05" w:rsidRPr="00F85F05" w:rsidRDefault="00F85F05" w:rsidP="00F85F05">
      <w:pPr>
        <w:spacing w:after="0"/>
        <w:jc w:val="both"/>
        <w:rPr>
          <w:rFonts w:ascii="Times New Roman" w:hAnsi="Times New Roman" w:cs="Times New Roman"/>
          <w:b/>
          <w:i/>
          <w:sz w:val="24"/>
          <w:szCs w:val="24"/>
          <w:lang w:val="sq-AL"/>
        </w:rPr>
      </w:pPr>
    </w:p>
    <w:p w:rsidR="005F7C4F" w:rsidRPr="00F85F05" w:rsidRDefault="005F7C4F" w:rsidP="00F85F05">
      <w:pPr>
        <w:numPr>
          <w:ilvl w:val="0"/>
          <w:numId w:val="4"/>
        </w:numPr>
        <w:spacing w:after="0"/>
        <w:jc w:val="both"/>
        <w:rPr>
          <w:rFonts w:ascii="Times New Roman" w:hAnsi="Times New Roman" w:cs="Times New Roman"/>
          <w:sz w:val="24"/>
          <w:szCs w:val="24"/>
        </w:rPr>
      </w:pPr>
      <w:r w:rsidRPr="00F85F05">
        <w:rPr>
          <w:rFonts w:ascii="Times New Roman" w:hAnsi="Times New Roman" w:cs="Times New Roman"/>
          <w:sz w:val="24"/>
          <w:szCs w:val="24"/>
        </w:rPr>
        <w:t>N. 45 i K.Penal percakton:</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rPr>
        <w:tab/>
        <w:t>P</w:t>
      </w:r>
      <w:r w:rsidRPr="00F85F05">
        <w:rPr>
          <w:rFonts w:ascii="Times New Roman" w:hAnsi="Times New Roman" w:cs="Times New Roman"/>
          <w:sz w:val="24"/>
          <w:szCs w:val="24"/>
          <w:lang w:val="sq-AL"/>
        </w:rPr>
        <w:t xml:space="preserve">ersonat juridikë përgjigjen për vepra penale të kryera </w:t>
      </w:r>
      <w:r w:rsidRPr="00F85F05">
        <w:rPr>
          <w:rFonts w:ascii="Times New Roman" w:hAnsi="Times New Roman" w:cs="Times New Roman"/>
          <w:b/>
          <w:bCs/>
          <w:i/>
          <w:iCs/>
          <w:sz w:val="24"/>
          <w:szCs w:val="24"/>
          <w:lang w:val="sq-AL"/>
        </w:rPr>
        <w:t xml:space="preserve">në emër ose në dobi të tyre, nga </w:t>
      </w:r>
      <w:r w:rsidRPr="00F85F05">
        <w:rPr>
          <w:rFonts w:ascii="Times New Roman" w:hAnsi="Times New Roman" w:cs="Times New Roman"/>
          <w:b/>
          <w:bCs/>
          <w:i/>
          <w:iCs/>
          <w:sz w:val="24"/>
          <w:szCs w:val="24"/>
          <w:u w:val="single"/>
          <w:lang w:val="sq-AL"/>
        </w:rPr>
        <w:t>organet</w:t>
      </w:r>
      <w:r w:rsidRPr="00F85F05">
        <w:rPr>
          <w:rFonts w:ascii="Times New Roman" w:hAnsi="Times New Roman" w:cs="Times New Roman"/>
          <w:b/>
          <w:bCs/>
          <w:i/>
          <w:iCs/>
          <w:sz w:val="24"/>
          <w:szCs w:val="24"/>
          <w:lang w:val="sq-AL"/>
        </w:rPr>
        <w:t xml:space="preserve"> dhe </w:t>
      </w:r>
      <w:r w:rsidRPr="00F85F05">
        <w:rPr>
          <w:rFonts w:ascii="Times New Roman" w:hAnsi="Times New Roman" w:cs="Times New Roman"/>
          <w:b/>
          <w:bCs/>
          <w:i/>
          <w:iCs/>
          <w:sz w:val="24"/>
          <w:szCs w:val="24"/>
          <w:u w:val="single"/>
          <w:lang w:val="sq-AL"/>
        </w:rPr>
        <w:t>përfaqësuesit</w:t>
      </w:r>
      <w:r w:rsidRPr="00F85F05">
        <w:rPr>
          <w:rFonts w:ascii="Times New Roman" w:hAnsi="Times New Roman" w:cs="Times New Roman"/>
          <w:b/>
          <w:bCs/>
          <w:i/>
          <w:iCs/>
          <w:sz w:val="24"/>
          <w:szCs w:val="24"/>
          <w:lang w:val="sq-AL"/>
        </w:rPr>
        <w:t xml:space="preserve"> e tyre</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lang w:val="sq-AL"/>
        </w:rPr>
      </w:pP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Ligji Nr. 9754, datë 14.6.2007 </w:t>
      </w:r>
      <w:r w:rsidRPr="00F85F05">
        <w:rPr>
          <w:rFonts w:ascii="Times New Roman" w:hAnsi="Times New Roman" w:cs="Times New Roman"/>
          <w:sz w:val="24"/>
          <w:szCs w:val="24"/>
        </w:rPr>
        <w:t>ka percaktuar</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i/>
          <w:iCs/>
          <w:sz w:val="24"/>
          <w:szCs w:val="24"/>
        </w:rPr>
        <w:t xml:space="preserve"> </w:t>
      </w:r>
      <w:r w:rsidRPr="00F85F05">
        <w:rPr>
          <w:rFonts w:ascii="Times New Roman" w:hAnsi="Times New Roman" w:cs="Times New Roman"/>
          <w:i/>
          <w:iCs/>
          <w:sz w:val="24"/>
          <w:szCs w:val="24"/>
          <w:lang w:val="sq-AL"/>
        </w:rPr>
        <w:t>a)</w:t>
      </w:r>
      <w:r w:rsidRPr="00F85F05">
        <w:rPr>
          <w:rFonts w:ascii="Times New Roman" w:hAnsi="Times New Roman" w:cs="Times New Roman"/>
          <w:b/>
          <w:bCs/>
          <w:i/>
          <w:iCs/>
          <w:sz w:val="24"/>
          <w:szCs w:val="24"/>
          <w:lang w:val="sq-AL"/>
        </w:rPr>
        <w:t xml:space="preserve"> në emër ose në dobi të tij</w:t>
      </w:r>
      <w:r w:rsidRPr="00F85F05">
        <w:rPr>
          <w:rFonts w:ascii="Times New Roman" w:hAnsi="Times New Roman" w:cs="Times New Roman"/>
          <w:i/>
          <w:iCs/>
          <w:sz w:val="24"/>
          <w:szCs w:val="24"/>
          <w:lang w:val="sq-AL"/>
        </w:rPr>
        <w:t xml:space="preserve">, </w:t>
      </w:r>
      <w:r w:rsidRPr="00F85F05">
        <w:rPr>
          <w:rFonts w:ascii="Times New Roman" w:hAnsi="Times New Roman" w:cs="Times New Roman"/>
          <w:b/>
          <w:bCs/>
          <w:i/>
          <w:iCs/>
          <w:sz w:val="24"/>
          <w:szCs w:val="24"/>
          <w:lang w:val="sq-AL"/>
        </w:rPr>
        <w:t xml:space="preserve">nga </w:t>
      </w:r>
      <w:r w:rsidRPr="00F85F05">
        <w:rPr>
          <w:rFonts w:ascii="Times New Roman" w:hAnsi="Times New Roman" w:cs="Times New Roman"/>
          <w:b/>
          <w:bCs/>
          <w:i/>
          <w:iCs/>
          <w:sz w:val="24"/>
          <w:szCs w:val="24"/>
          <w:u w:val="single"/>
          <w:lang w:val="sq-AL"/>
        </w:rPr>
        <w:t>organet</w:t>
      </w:r>
      <w:r w:rsidRPr="00F85F05">
        <w:rPr>
          <w:rFonts w:ascii="Times New Roman" w:hAnsi="Times New Roman" w:cs="Times New Roman"/>
          <w:b/>
          <w:bCs/>
          <w:i/>
          <w:iCs/>
          <w:sz w:val="24"/>
          <w:szCs w:val="24"/>
          <w:lang w:val="sq-AL"/>
        </w:rPr>
        <w:t xml:space="preserve"> dhe </w:t>
      </w:r>
      <w:r w:rsidRPr="00F85F05">
        <w:rPr>
          <w:rFonts w:ascii="Times New Roman" w:hAnsi="Times New Roman" w:cs="Times New Roman"/>
          <w:b/>
          <w:bCs/>
          <w:i/>
          <w:iCs/>
          <w:sz w:val="24"/>
          <w:szCs w:val="24"/>
          <w:u w:val="single"/>
          <w:lang w:val="sq-AL"/>
        </w:rPr>
        <w:t>përfaqësuesit</w:t>
      </w:r>
      <w:r w:rsidRPr="00F85F05">
        <w:rPr>
          <w:rFonts w:ascii="Times New Roman" w:hAnsi="Times New Roman" w:cs="Times New Roman"/>
          <w:i/>
          <w:iCs/>
          <w:sz w:val="24"/>
          <w:szCs w:val="24"/>
          <w:lang w:val="sq-AL"/>
        </w:rPr>
        <w:t xml:space="preserve"> e tij;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i/>
          <w:iCs/>
          <w:sz w:val="24"/>
          <w:szCs w:val="24"/>
        </w:rPr>
        <w:t xml:space="preserve">N. 4 - </w:t>
      </w:r>
      <w:r w:rsidRPr="00F85F05">
        <w:rPr>
          <w:rFonts w:ascii="Times New Roman" w:hAnsi="Times New Roman" w:cs="Times New Roman"/>
          <w:sz w:val="24"/>
          <w:szCs w:val="24"/>
          <w:lang w:val="sq-AL"/>
        </w:rPr>
        <w:t xml:space="preserve"> </w:t>
      </w:r>
      <w:r w:rsidRPr="00F85F05">
        <w:rPr>
          <w:rFonts w:ascii="Times New Roman" w:hAnsi="Times New Roman" w:cs="Times New Roman"/>
          <w:sz w:val="24"/>
          <w:szCs w:val="24"/>
        </w:rPr>
        <w:t>…</w:t>
      </w:r>
      <w:r w:rsidRPr="00F85F05">
        <w:rPr>
          <w:rFonts w:ascii="Times New Roman" w:hAnsi="Times New Roman" w:cs="Times New Roman"/>
          <w:sz w:val="24"/>
          <w:szCs w:val="24"/>
          <w:lang w:val="sq-AL"/>
        </w:rPr>
        <w:t xml:space="preserve"> </w:t>
      </w:r>
      <w:r w:rsidRPr="00F85F05">
        <w:rPr>
          <w:rFonts w:ascii="Times New Roman" w:hAnsi="Times New Roman" w:cs="Times New Roman"/>
          <w:b/>
          <w:bCs/>
          <w:sz w:val="24"/>
          <w:szCs w:val="24"/>
          <w:lang w:val="sq-AL"/>
        </w:rPr>
        <w:t>organ dhe përfaqësues</w:t>
      </w:r>
      <w:r w:rsidRPr="00F85F05">
        <w:rPr>
          <w:rFonts w:ascii="Times New Roman" w:hAnsi="Times New Roman" w:cs="Times New Roman"/>
          <w:sz w:val="24"/>
          <w:szCs w:val="24"/>
          <w:lang w:val="sq-AL"/>
        </w:rPr>
        <w:t xml:space="preserve"> i personit juridik, që vepron </w:t>
      </w:r>
      <w:r w:rsidRPr="00F85F05">
        <w:rPr>
          <w:rFonts w:ascii="Times New Roman" w:hAnsi="Times New Roman" w:cs="Times New Roman"/>
          <w:b/>
          <w:bCs/>
          <w:sz w:val="24"/>
          <w:szCs w:val="24"/>
          <w:lang w:val="sq-AL"/>
        </w:rPr>
        <w:t xml:space="preserve">në emër ose në dobi </w:t>
      </w:r>
      <w:r w:rsidRPr="00F85F05">
        <w:rPr>
          <w:rFonts w:ascii="Times New Roman" w:hAnsi="Times New Roman" w:cs="Times New Roman"/>
          <w:sz w:val="24"/>
          <w:szCs w:val="24"/>
          <w:lang w:val="sq-AL"/>
        </w:rPr>
        <w:t xml:space="preserve">të </w:t>
      </w:r>
      <w:r w:rsidRPr="00F85F05">
        <w:rPr>
          <w:rFonts w:ascii="Times New Roman" w:hAnsi="Times New Roman" w:cs="Times New Roman"/>
          <w:sz w:val="24"/>
          <w:szCs w:val="24"/>
        </w:rPr>
        <w:t>tij</w:t>
      </w:r>
      <w:r w:rsidRPr="00F85F05">
        <w:rPr>
          <w:rFonts w:ascii="Times New Roman" w:hAnsi="Times New Roman" w:cs="Times New Roman"/>
          <w:sz w:val="24"/>
          <w:szCs w:val="24"/>
          <w:lang w:val="sq-AL"/>
        </w:rPr>
        <w:t xml:space="preserve">, është </w:t>
      </w:r>
      <w:r w:rsidRPr="00F85F05">
        <w:rPr>
          <w:rFonts w:ascii="Times New Roman" w:hAnsi="Times New Roman" w:cs="Times New Roman"/>
          <w:b/>
          <w:bCs/>
          <w:sz w:val="24"/>
          <w:szCs w:val="24"/>
          <w:lang w:val="sq-AL"/>
        </w:rPr>
        <w:t>çdo person fizik</w:t>
      </w:r>
      <w:r w:rsidRPr="00F85F05">
        <w:rPr>
          <w:rFonts w:ascii="Times New Roman" w:hAnsi="Times New Roman" w:cs="Times New Roman"/>
          <w:sz w:val="24"/>
          <w:szCs w:val="24"/>
          <w:lang w:val="sq-AL"/>
        </w:rPr>
        <w:t xml:space="preserve">, i cili, sipas </w:t>
      </w:r>
      <w:r w:rsidRPr="00F85F05">
        <w:rPr>
          <w:rFonts w:ascii="Times New Roman" w:hAnsi="Times New Roman" w:cs="Times New Roman"/>
          <w:b/>
          <w:bCs/>
          <w:sz w:val="24"/>
          <w:szCs w:val="24"/>
          <w:lang w:val="sq-AL"/>
        </w:rPr>
        <w:t>ligjit</w:t>
      </w:r>
      <w:r w:rsidRPr="00F85F05">
        <w:rPr>
          <w:rFonts w:ascii="Times New Roman" w:hAnsi="Times New Roman" w:cs="Times New Roman"/>
          <w:sz w:val="24"/>
          <w:szCs w:val="24"/>
          <w:lang w:val="sq-AL"/>
        </w:rPr>
        <w:t xml:space="preserve"> ose </w:t>
      </w:r>
      <w:r w:rsidRPr="00F85F05">
        <w:rPr>
          <w:rFonts w:ascii="Times New Roman" w:hAnsi="Times New Roman" w:cs="Times New Roman"/>
          <w:b/>
          <w:bCs/>
          <w:sz w:val="24"/>
          <w:szCs w:val="24"/>
          <w:lang w:val="sq-AL"/>
        </w:rPr>
        <w:t>akteve</w:t>
      </w:r>
      <w:r w:rsidRPr="00F85F05">
        <w:rPr>
          <w:rFonts w:ascii="Times New Roman" w:hAnsi="Times New Roman" w:cs="Times New Roman"/>
          <w:sz w:val="24"/>
          <w:szCs w:val="24"/>
          <w:lang w:val="sq-AL"/>
        </w:rPr>
        <w:t xml:space="preserve"> të personit juridik, është ngarkuar </w:t>
      </w:r>
      <w:r w:rsidRPr="00F85F05">
        <w:rPr>
          <w:rFonts w:ascii="Times New Roman" w:hAnsi="Times New Roman" w:cs="Times New Roman"/>
          <w:b/>
          <w:bCs/>
          <w:sz w:val="24"/>
          <w:szCs w:val="24"/>
          <w:lang w:val="sq-AL"/>
        </w:rPr>
        <w:t>për përfaqësimin, drejtimin, administrimin ose kontrollin</w:t>
      </w:r>
      <w:r w:rsidRPr="00F85F05">
        <w:rPr>
          <w:rFonts w:ascii="Times New Roman" w:hAnsi="Times New Roman" w:cs="Times New Roman"/>
          <w:sz w:val="24"/>
          <w:szCs w:val="24"/>
          <w:lang w:val="sq-AL"/>
        </w:rPr>
        <w:t xml:space="preserve"> e fushës së veprimtarisë së personit juridik dhe të strukturave të tij.”</w:t>
      </w:r>
      <w:r w:rsidRPr="00F85F05">
        <w:rPr>
          <w:rFonts w:ascii="Times New Roman" w:hAnsi="Times New Roman" w:cs="Times New Roman"/>
          <w:sz w:val="24"/>
          <w:szCs w:val="24"/>
        </w:rPr>
        <w:t xml:space="preserve"> </w:t>
      </w:r>
    </w:p>
    <w:p w:rsidR="005F7C4F" w:rsidRPr="00F85F05" w:rsidRDefault="005F7C4F" w:rsidP="00F85F05">
      <w:pPr>
        <w:numPr>
          <w:ilvl w:val="0"/>
          <w:numId w:val="5"/>
        </w:numPr>
        <w:spacing w:after="0"/>
        <w:jc w:val="both"/>
        <w:rPr>
          <w:rFonts w:ascii="Times New Roman" w:hAnsi="Times New Roman" w:cs="Times New Roman"/>
          <w:sz w:val="24"/>
          <w:szCs w:val="24"/>
        </w:rPr>
      </w:pPr>
      <w:r w:rsidRPr="00F85F05">
        <w:rPr>
          <w:rFonts w:ascii="Times New Roman" w:hAnsi="Times New Roman" w:cs="Times New Roman"/>
          <w:i/>
          <w:iCs/>
          <w:sz w:val="24"/>
          <w:szCs w:val="24"/>
          <w:lang w:val="sq-AL"/>
        </w:rPr>
        <w:t xml:space="preserve"> b) </w:t>
      </w:r>
      <w:r w:rsidRPr="00F85F05">
        <w:rPr>
          <w:rFonts w:ascii="Times New Roman" w:hAnsi="Times New Roman" w:cs="Times New Roman"/>
          <w:b/>
          <w:bCs/>
          <w:i/>
          <w:iCs/>
          <w:sz w:val="24"/>
          <w:szCs w:val="24"/>
          <w:lang w:val="sq-AL"/>
        </w:rPr>
        <w:t xml:space="preserve">në emër ose në dobi të tij, nga </w:t>
      </w:r>
      <w:r w:rsidRPr="00F85F05">
        <w:rPr>
          <w:rFonts w:ascii="Times New Roman" w:hAnsi="Times New Roman" w:cs="Times New Roman"/>
          <w:b/>
          <w:bCs/>
          <w:i/>
          <w:iCs/>
          <w:sz w:val="24"/>
          <w:szCs w:val="24"/>
          <w:u w:val="single"/>
          <w:lang w:val="sq-AL"/>
        </w:rPr>
        <w:t>një person, që është nën autoritetin e personit që përfaqëson, drejton dhe administron personin juridik</w:t>
      </w:r>
      <w:r w:rsidRPr="00F85F05">
        <w:rPr>
          <w:rFonts w:ascii="Times New Roman" w:hAnsi="Times New Roman" w:cs="Times New Roman"/>
          <w:i/>
          <w:iCs/>
          <w:sz w:val="24"/>
          <w:szCs w:val="24"/>
          <w:lang w:val="sq-AL"/>
        </w:rPr>
        <w:t>;</w:t>
      </w:r>
      <w:r w:rsidRPr="00F85F05">
        <w:rPr>
          <w:rFonts w:ascii="Times New Roman" w:hAnsi="Times New Roman" w:cs="Times New Roman"/>
          <w:sz w:val="24"/>
          <w:szCs w:val="24"/>
        </w:rPr>
        <w:t xml:space="preserve"> </w:t>
      </w:r>
    </w:p>
    <w:p w:rsidR="005F7C4F" w:rsidRPr="00F85F05" w:rsidRDefault="005F7C4F" w:rsidP="00F85F05">
      <w:pPr>
        <w:numPr>
          <w:ilvl w:val="0"/>
          <w:numId w:val="5"/>
        </w:numPr>
        <w:spacing w:after="0"/>
        <w:jc w:val="both"/>
        <w:rPr>
          <w:rFonts w:ascii="Times New Roman" w:hAnsi="Times New Roman" w:cs="Times New Roman"/>
          <w:sz w:val="24"/>
          <w:szCs w:val="24"/>
        </w:rPr>
      </w:pPr>
      <w:r w:rsidRPr="00F85F05">
        <w:rPr>
          <w:rFonts w:ascii="Times New Roman" w:hAnsi="Times New Roman" w:cs="Times New Roman"/>
          <w:i/>
          <w:iCs/>
          <w:sz w:val="24"/>
          <w:szCs w:val="24"/>
          <w:lang w:val="sq-AL"/>
        </w:rPr>
        <w:t xml:space="preserve">  c) </w:t>
      </w:r>
      <w:r w:rsidRPr="00F85F05">
        <w:rPr>
          <w:rFonts w:ascii="Times New Roman" w:hAnsi="Times New Roman" w:cs="Times New Roman"/>
          <w:b/>
          <w:bCs/>
          <w:i/>
          <w:iCs/>
          <w:sz w:val="24"/>
          <w:szCs w:val="24"/>
          <w:lang w:val="sq-AL"/>
        </w:rPr>
        <w:t xml:space="preserve">në emër ose në dobi të tij, </w:t>
      </w:r>
      <w:r w:rsidRPr="00F85F05">
        <w:rPr>
          <w:rFonts w:ascii="Times New Roman" w:hAnsi="Times New Roman" w:cs="Times New Roman"/>
          <w:b/>
          <w:bCs/>
          <w:i/>
          <w:iCs/>
          <w:sz w:val="24"/>
          <w:szCs w:val="24"/>
          <w:u w:val="single"/>
          <w:lang w:val="sq-AL"/>
        </w:rPr>
        <w:t>për shkak të mungesës së kontrollit apo të mbikëqyrjes nga personi që drejton, përfaqëson dhe administron personin juridik</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5F7C4F" w:rsidRPr="00F85F05" w:rsidRDefault="005F7C4F" w:rsidP="00F85F05">
      <w:pPr>
        <w:spacing w:after="0"/>
        <w:ind w:left="720"/>
        <w:jc w:val="both"/>
        <w:rPr>
          <w:rFonts w:ascii="Times New Roman" w:hAnsi="Times New Roman" w:cs="Times New Roman"/>
          <w:i/>
          <w:iCs/>
          <w:sz w:val="24"/>
          <w:szCs w:val="24"/>
          <w:lang w:val="sq-AL"/>
        </w:rPr>
      </w:pPr>
    </w:p>
    <w:p w:rsidR="005F7C4F" w:rsidRPr="00F85F05" w:rsidRDefault="005F7C4F" w:rsidP="00F85F05">
      <w:pPr>
        <w:numPr>
          <w:ilvl w:val="0"/>
          <w:numId w:val="7"/>
        </w:numPr>
        <w:spacing w:after="0"/>
        <w:jc w:val="both"/>
        <w:rPr>
          <w:rFonts w:ascii="Times New Roman" w:hAnsi="Times New Roman" w:cs="Times New Roman"/>
          <w:sz w:val="24"/>
          <w:szCs w:val="24"/>
        </w:rPr>
      </w:pPr>
      <w:r w:rsidRPr="00F85F05">
        <w:rPr>
          <w:rFonts w:ascii="Times New Roman" w:hAnsi="Times New Roman" w:cs="Times New Roman"/>
          <w:sz w:val="24"/>
          <w:szCs w:val="24"/>
        </w:rPr>
        <w:t xml:space="preserve">Në mënyrë që vepra penale të konsiderohet se është kryer në emër të shoqërisë, është e nevojshme që ajo të jetë kryer nga ata individë të cilët kanë një pushtet të deleguar mbi fushën e veçantë të veprimtarisë tregtare të saj me të cilën lidhet vepra penale e mundshme. </w:t>
      </w:r>
    </w:p>
    <w:p w:rsidR="005F7C4F" w:rsidRPr="00F85F05" w:rsidRDefault="005F7C4F" w:rsidP="00F85F05">
      <w:pPr>
        <w:numPr>
          <w:ilvl w:val="0"/>
          <w:numId w:val="7"/>
        </w:numPr>
        <w:spacing w:after="0"/>
        <w:jc w:val="both"/>
        <w:rPr>
          <w:rFonts w:ascii="Times New Roman" w:hAnsi="Times New Roman" w:cs="Times New Roman"/>
          <w:sz w:val="24"/>
          <w:szCs w:val="24"/>
        </w:rPr>
      </w:pPr>
      <w:r w:rsidRPr="00F85F05">
        <w:rPr>
          <w:rFonts w:ascii="Times New Roman" w:hAnsi="Times New Roman" w:cs="Times New Roman"/>
          <w:sz w:val="24"/>
          <w:szCs w:val="24"/>
        </w:rPr>
        <w:t xml:space="preserve">Elementi thelbësor në këtë rast është autoriteti i personit që kryen veprën penale për të vepruar në emër të shoqërisë. Një autoritet i tillë fitohet nëpërmjet kontratës së punës që subjekti lidh me shoqërinë, ose nëpërmjet  parashikimeve të posaçme në statutin e shoqërisë. Në mënyrë që vepra penale të konsiderohet e kryer në emër të shoqërisë, punonjësi i saj (i cili mund të jetë përfaqësuesi, administratori, anëtari i këshillit të </w:t>
      </w:r>
      <w:r w:rsidRPr="00F85F05">
        <w:rPr>
          <w:rFonts w:ascii="Times New Roman" w:hAnsi="Times New Roman" w:cs="Times New Roman"/>
          <w:sz w:val="24"/>
          <w:szCs w:val="24"/>
        </w:rPr>
        <w:lastRenderedPageBreak/>
        <w:t>administrimit, i këshillit mbikqyrës etj) duhet të ketë vepruar brenda kompetencave që i takojnë në bazë të detyrës së tij në shoqëri</w:t>
      </w:r>
      <w:r w:rsidR="00046AB7" w:rsidRPr="00F85F05">
        <w:rPr>
          <w:rFonts w:ascii="Times New Roman" w:hAnsi="Times New Roman" w:cs="Times New Roman"/>
          <w:sz w:val="24"/>
          <w:szCs w:val="24"/>
        </w:rPr>
        <w:t xml:space="preserve">. Pra </w:t>
      </w:r>
      <w:r w:rsidR="00046AB7" w:rsidRPr="00F85F05">
        <w:rPr>
          <w:rFonts w:ascii="Times New Roman" w:hAnsi="Times New Roman" w:cs="Times New Roman"/>
          <w:color w:val="000000"/>
          <w:sz w:val="24"/>
          <w:szCs w:val="24"/>
        </w:rPr>
        <w:t>rrethi i subjekteve që kryejnë vepra penale për personin juridik, janë vetë punonjësit e personit juridik, të niveleve drejtuese ose të nivelit ekzekutues, të cilët kanë nënshkruar një kontratë, e cila mund të jetë kontratë pune ose edhe përfaqësimi me personin juridik, për kryerjen e disa veprimtarive të caktuara.</w:t>
      </w:r>
    </w:p>
    <w:p w:rsidR="00046AB7" w:rsidRPr="00F85F05" w:rsidRDefault="00046AB7" w:rsidP="00F85F05">
      <w:pPr>
        <w:spacing w:after="0"/>
        <w:ind w:left="360"/>
        <w:jc w:val="both"/>
        <w:rPr>
          <w:rFonts w:ascii="Times New Roman" w:hAnsi="Times New Roman" w:cs="Times New Roman"/>
          <w:sz w:val="24"/>
          <w:szCs w:val="24"/>
        </w:rPr>
      </w:pPr>
    </w:p>
    <w:p w:rsidR="005F7C4F" w:rsidRPr="00F85F05" w:rsidRDefault="005F7C4F" w:rsidP="00F85F05">
      <w:pPr>
        <w:spacing w:after="0"/>
        <w:jc w:val="both"/>
        <w:rPr>
          <w:rFonts w:ascii="Times New Roman" w:hAnsi="Times New Roman" w:cs="Times New Roman"/>
          <w:b/>
          <w:i/>
          <w:sz w:val="24"/>
          <w:szCs w:val="24"/>
          <w:lang w:val="sq-AL"/>
        </w:rPr>
      </w:pPr>
      <w:r w:rsidRPr="00F85F05">
        <w:rPr>
          <w:rFonts w:ascii="Times New Roman" w:hAnsi="Times New Roman" w:cs="Times New Roman"/>
          <w:b/>
          <w:i/>
          <w:sz w:val="24"/>
          <w:szCs w:val="24"/>
          <w:lang w:val="sq-AL"/>
        </w:rPr>
        <w:t>Cilat janë dobitë e personit juridik?</w:t>
      </w:r>
    </w:p>
    <w:p w:rsidR="00046AB7" w:rsidRPr="00F85F05" w:rsidRDefault="00046AB7" w:rsidP="00F85F05">
      <w:pPr>
        <w:pStyle w:val="ListParagraph"/>
        <w:numPr>
          <w:ilvl w:val="0"/>
          <w:numId w:val="8"/>
        </w:numPr>
        <w:autoSpaceDE w:val="0"/>
        <w:autoSpaceDN w:val="0"/>
        <w:adjustRightInd w:val="0"/>
        <w:jc w:val="both"/>
        <w:rPr>
          <w:rFonts w:ascii="Times New Roman" w:hAnsi="Times New Roman" w:cs="Times New Roman"/>
          <w:color w:val="000000"/>
          <w:sz w:val="24"/>
          <w:szCs w:val="24"/>
          <w:lang w:val="sq-AL"/>
        </w:rPr>
      </w:pPr>
      <w:r w:rsidRPr="00F85F05">
        <w:rPr>
          <w:rFonts w:ascii="Times New Roman" w:hAnsi="Times New Roman" w:cs="Times New Roman"/>
          <w:color w:val="000000"/>
          <w:sz w:val="24"/>
          <w:szCs w:val="24"/>
        </w:rPr>
        <w:t>Shprehja “ne dobi” të personit juridik do të thotë se i gjithë rezultati ekonomik dhe juridik i veprimit që kryhet, i përket personit të përfaqësuar, pavarësisht nga fakti se cilat janë mjetet e shpenzuara për këtë qëllim</w:t>
      </w:r>
      <w:r w:rsidRPr="00F85F05">
        <w:rPr>
          <w:rStyle w:val="FootnoteReference"/>
          <w:rFonts w:ascii="Times New Roman" w:hAnsi="Times New Roman" w:cs="Times New Roman"/>
          <w:color w:val="000000"/>
          <w:sz w:val="24"/>
          <w:szCs w:val="24"/>
          <w:lang w:val="it-IT"/>
        </w:rPr>
        <w:footnoteReference w:id="1"/>
      </w:r>
      <w:r w:rsidRPr="00F85F05">
        <w:rPr>
          <w:rFonts w:ascii="Times New Roman" w:hAnsi="Times New Roman" w:cs="Times New Roman"/>
          <w:color w:val="000000"/>
          <w:sz w:val="24"/>
          <w:szCs w:val="24"/>
        </w:rPr>
        <w:t>. Pra, nga sa më sipër do të kuptohet se pavarësisht se një nga subjektet fizikë të përmendura më lart, nuk po vepron në emër të personit juridik, nëse vërtetohet se vepra penale është kryer në mënyrë që personi juridik të realizonte një përfitim prej saj</w:t>
      </w:r>
      <w:r w:rsidRPr="00F85F05">
        <w:rPr>
          <w:rStyle w:val="FootnoteReference"/>
          <w:rFonts w:ascii="Times New Roman" w:hAnsi="Times New Roman" w:cs="Times New Roman"/>
          <w:color w:val="000000"/>
          <w:sz w:val="24"/>
          <w:szCs w:val="24"/>
          <w:lang w:val="it-IT"/>
        </w:rPr>
        <w:footnoteReference w:id="2"/>
      </w:r>
      <w:r w:rsidRPr="00F85F05">
        <w:rPr>
          <w:rFonts w:ascii="Times New Roman" w:hAnsi="Times New Roman" w:cs="Times New Roman"/>
          <w:color w:val="000000"/>
          <w:sz w:val="24"/>
          <w:szCs w:val="24"/>
        </w:rPr>
        <w:t>, i cili mund të jetë ekonomik ose jo, personi juridik do të mbajë përgjegjësi penale.</w:t>
      </w:r>
    </w:p>
    <w:p w:rsidR="005F7C4F" w:rsidRPr="00F85F05" w:rsidRDefault="005F7C4F" w:rsidP="00F85F05">
      <w:pPr>
        <w:numPr>
          <w:ilvl w:val="0"/>
          <w:numId w:val="8"/>
        </w:numPr>
        <w:spacing w:after="0"/>
        <w:jc w:val="both"/>
        <w:rPr>
          <w:rFonts w:ascii="Times New Roman" w:hAnsi="Times New Roman" w:cs="Times New Roman"/>
          <w:sz w:val="24"/>
          <w:szCs w:val="24"/>
        </w:rPr>
      </w:pPr>
      <w:r w:rsidRPr="00F85F05">
        <w:rPr>
          <w:rFonts w:ascii="Times New Roman" w:hAnsi="Times New Roman" w:cs="Times New Roman"/>
          <w:sz w:val="24"/>
          <w:szCs w:val="24"/>
        </w:rPr>
        <w:t xml:space="preserve">P.sh: në rast se vërtetohet kryerja e veprës penale të  fshehjes së të ardhurave, shoqëria tregtare do të mbajë përgjegjësi penale, pavarësisht përgjegjësisë penale që mban personi i cili ka kryer efektivisht fshehjen ose tregimin e rremë të zërave në dokumentet financiare të shoqërisë. Kjo shpjegohet me faktin se punonjësi i zyrës ekonomike të shoqërisë tregtare, nuk pasqyron në dokumentet përkatëse gjendjen reale të të ardhurave të shoqërisë për të  shmangur aplikimin e taksave dhe tatimeve mbi një pjesë të të ardhurave. Si rezultat i  këtij veprimi, fitimi i shoqërisë shtohet në mënyrë të padrejtë. Si rrjedhim,  vepra penale mund të konsiderohet e kryer  në dobi të shoqërisë tregtare duke qenë se kjo e fundit siguron një përftitim të drejtëpërdrejtë nga kryerja e saj. </w:t>
      </w:r>
    </w:p>
    <w:p w:rsidR="005F7C4F" w:rsidRPr="00F85F05" w:rsidRDefault="005F7C4F" w:rsidP="00F85F05">
      <w:pPr>
        <w:spacing w:after="0"/>
        <w:jc w:val="both"/>
        <w:rPr>
          <w:rFonts w:ascii="Times New Roman" w:hAnsi="Times New Roman" w:cs="Times New Roman"/>
          <w:sz w:val="24"/>
          <w:szCs w:val="24"/>
          <w:lang w:val="sq-AL"/>
        </w:rPr>
      </w:pP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Gjykata e Apelit Milano, sez. II, vend 25 janar, Pres. Lapertosa, Est. Maiga, ric. Banca Italease S.p.A.</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b/>
          <w:bCs/>
          <w:sz w:val="24"/>
          <w:szCs w:val="24"/>
          <w:lang w:val="sq-AL"/>
        </w:rPr>
        <w:t>a) Çfarë nënkuptohet me interes apo avantazh për shoqërinë</w:t>
      </w:r>
      <w:r w:rsidRPr="00F85F05">
        <w:rPr>
          <w:rFonts w:ascii="Times New Roman" w:hAnsi="Times New Roman" w:cs="Times New Roman"/>
          <w:b/>
          <w:bCs/>
          <w:sz w:val="24"/>
          <w:szCs w:val="24"/>
        </w:rPr>
        <w:t>?</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Gjykata është shprehur se  </w:t>
      </w:r>
      <w:r w:rsidRPr="00F85F05">
        <w:rPr>
          <w:rFonts w:ascii="Times New Roman" w:hAnsi="Times New Roman" w:cs="Times New Roman"/>
          <w:b/>
          <w:bCs/>
          <w:sz w:val="24"/>
          <w:szCs w:val="24"/>
          <w:lang w:val="sq-AL"/>
        </w:rPr>
        <w:t xml:space="preserve">efektet favorizuese </w:t>
      </w:r>
      <w:r w:rsidRPr="00F85F05">
        <w:rPr>
          <w:rFonts w:ascii="Times New Roman" w:hAnsi="Times New Roman" w:cs="Times New Roman"/>
          <w:sz w:val="24"/>
          <w:szCs w:val="24"/>
          <w:lang w:val="sq-AL"/>
        </w:rPr>
        <w:t xml:space="preserve">që ka pasur shoqëria </w:t>
      </w:r>
      <w:r w:rsidRPr="00F85F05">
        <w:rPr>
          <w:rFonts w:ascii="Times New Roman" w:hAnsi="Times New Roman" w:cs="Times New Roman"/>
          <w:b/>
          <w:bCs/>
          <w:sz w:val="24"/>
          <w:szCs w:val="24"/>
          <w:lang w:val="sq-AL"/>
        </w:rPr>
        <w:t>menjëherë</w:t>
      </w:r>
      <w:r w:rsidRPr="00F85F05">
        <w:rPr>
          <w:rFonts w:ascii="Times New Roman" w:hAnsi="Times New Roman" w:cs="Times New Roman"/>
          <w:sz w:val="24"/>
          <w:szCs w:val="24"/>
          <w:lang w:val="sq-AL"/>
        </w:rPr>
        <w:t xml:space="preserve"> pas kryerjes së veprave penale do të quhen </w:t>
      </w:r>
      <w:r w:rsidRPr="00F85F05">
        <w:rPr>
          <w:rFonts w:ascii="Times New Roman" w:hAnsi="Times New Roman" w:cs="Times New Roman"/>
          <w:b/>
          <w:bCs/>
          <w:sz w:val="24"/>
          <w:szCs w:val="24"/>
          <w:lang w:val="sq-AL"/>
        </w:rPr>
        <w:t>në interes</w:t>
      </w:r>
      <w:r w:rsidRPr="00F85F05">
        <w:rPr>
          <w:rFonts w:ascii="Times New Roman" w:hAnsi="Times New Roman" w:cs="Times New Roman"/>
          <w:sz w:val="24"/>
          <w:szCs w:val="24"/>
          <w:lang w:val="sq-AL"/>
        </w:rPr>
        <w:t xml:space="preserve"> të shoqërisë pavarësisht dëmit që mund t’i vijë në përfundim shoqërisë – ngarkimi me përgjegjesi penale.</w:t>
      </w:r>
      <w:r w:rsidRPr="00F85F05">
        <w:rPr>
          <w:rFonts w:ascii="Times New Roman" w:hAnsi="Times New Roman" w:cs="Times New Roman"/>
          <w:sz w:val="24"/>
          <w:szCs w:val="24"/>
        </w:rPr>
        <w:t xml:space="preserve"> </w:t>
      </w:r>
    </w:p>
    <w:p w:rsidR="005F7C4F" w:rsidRPr="00F85F05" w:rsidRDefault="005F7C4F" w:rsidP="00F85F05">
      <w:pPr>
        <w:spacing w:after="0"/>
        <w:jc w:val="both"/>
        <w:rPr>
          <w:rFonts w:ascii="Times New Roman" w:hAnsi="Times New Roman" w:cs="Times New Roman"/>
          <w:sz w:val="24"/>
          <w:szCs w:val="24"/>
          <w:lang w:val="sq-AL"/>
        </w:rPr>
      </w:pPr>
      <w:r w:rsidRPr="00F85F05">
        <w:rPr>
          <w:rFonts w:ascii="Times New Roman" w:hAnsi="Times New Roman" w:cs="Times New Roman"/>
          <w:sz w:val="24"/>
          <w:szCs w:val="24"/>
          <w:lang w:val="sq-AL"/>
        </w:rPr>
        <w:t>Gjykata e Apelit Milano, sez. II, vend 25 janar, Pres. Lapertosa, Est. Maiga, ric. Banca Italease S.p.A.</w:t>
      </w:r>
    </w:p>
    <w:p w:rsidR="005F7C4F" w:rsidRPr="00F85F05" w:rsidRDefault="005F7C4F" w:rsidP="00F85F05">
      <w:p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b) është trajtuar koncepti “</w:t>
      </w:r>
      <w:r w:rsidRPr="00F85F05">
        <w:rPr>
          <w:rFonts w:ascii="Times New Roman" w:hAnsi="Times New Roman" w:cs="Times New Roman"/>
          <w:i/>
          <w:iCs/>
          <w:sz w:val="24"/>
          <w:szCs w:val="24"/>
          <w:lang w:val="sq-AL"/>
        </w:rPr>
        <w:t>përfitim</w:t>
      </w:r>
      <w:r w:rsidRPr="00F85F05">
        <w:rPr>
          <w:rFonts w:ascii="Times New Roman" w:hAnsi="Times New Roman" w:cs="Times New Roman"/>
          <w:sz w:val="24"/>
          <w:szCs w:val="24"/>
          <w:lang w:val="sq-AL"/>
        </w:rPr>
        <w:t>” nga vepra.</w:t>
      </w:r>
      <w:r w:rsidRPr="00F85F05">
        <w:rPr>
          <w:rFonts w:ascii="Times New Roman" w:hAnsi="Times New Roman" w:cs="Times New Roman"/>
          <w:sz w:val="24"/>
          <w:szCs w:val="24"/>
        </w:rPr>
        <w:t xml:space="preserve"> </w:t>
      </w:r>
      <w:r w:rsidRPr="00F85F05">
        <w:rPr>
          <w:rFonts w:ascii="Times New Roman" w:hAnsi="Times New Roman" w:cs="Times New Roman"/>
          <w:sz w:val="24"/>
          <w:szCs w:val="24"/>
          <w:lang w:val="sq-AL"/>
        </w:rPr>
        <w:t xml:space="preserve">Nga mbrojtja u pretendua se nga një falsifikim nuk mund të ketë ardhur një përfitim material. Gjykata është shprehur se përfitimi i konsiderueshëm mund të jetë </w:t>
      </w:r>
      <w:r w:rsidRPr="00F85F05">
        <w:rPr>
          <w:rFonts w:ascii="Times New Roman" w:hAnsi="Times New Roman" w:cs="Times New Roman"/>
          <w:b/>
          <w:bCs/>
          <w:sz w:val="24"/>
          <w:szCs w:val="24"/>
          <w:lang w:val="sq-AL"/>
        </w:rPr>
        <w:t xml:space="preserve">çdo dobishmëri ekonomike </w:t>
      </w:r>
      <w:r w:rsidRPr="00F85F05">
        <w:rPr>
          <w:rFonts w:ascii="Times New Roman" w:hAnsi="Times New Roman" w:cs="Times New Roman"/>
          <w:sz w:val="24"/>
          <w:szCs w:val="24"/>
          <w:lang w:val="sq-AL"/>
        </w:rPr>
        <w:t xml:space="preserve">e në këtë mënyrë, në rastin e mospagimit të taksave do të jetë </w:t>
      </w:r>
      <w:r w:rsidRPr="00F85F05">
        <w:rPr>
          <w:rFonts w:ascii="Times New Roman" w:hAnsi="Times New Roman" w:cs="Times New Roman"/>
          <w:b/>
          <w:bCs/>
          <w:sz w:val="24"/>
          <w:szCs w:val="24"/>
          <w:lang w:val="sq-AL"/>
        </w:rPr>
        <w:t xml:space="preserve">shuma e rritur e pasurisë </w:t>
      </w:r>
      <w:r w:rsidRPr="00F85F05">
        <w:rPr>
          <w:rFonts w:ascii="Times New Roman" w:hAnsi="Times New Roman" w:cs="Times New Roman"/>
          <w:sz w:val="24"/>
          <w:szCs w:val="24"/>
          <w:lang w:val="sq-AL"/>
        </w:rPr>
        <w:t>që ka ardhur si rrjedhojë e falsifikimeve që do të përbëjë përfitim të krimit.</w:t>
      </w:r>
      <w:r w:rsidRPr="00F85F05">
        <w:rPr>
          <w:rFonts w:ascii="Times New Roman" w:hAnsi="Times New Roman" w:cs="Times New Roman"/>
          <w:sz w:val="24"/>
          <w:szCs w:val="24"/>
        </w:rPr>
        <w:t xml:space="preserve"> </w:t>
      </w:r>
    </w:p>
    <w:p w:rsidR="00046AB7" w:rsidRPr="00F85F05" w:rsidRDefault="00046AB7" w:rsidP="00F85F05">
      <w:pPr>
        <w:spacing w:after="0"/>
        <w:jc w:val="both"/>
        <w:rPr>
          <w:rFonts w:ascii="Times New Roman" w:hAnsi="Times New Roman" w:cs="Times New Roman"/>
          <w:sz w:val="24"/>
          <w:szCs w:val="24"/>
        </w:rPr>
      </w:pPr>
    </w:p>
    <w:p w:rsidR="00046AB7" w:rsidRPr="00F85F05" w:rsidRDefault="00046AB7" w:rsidP="00F85F05">
      <w:pPr>
        <w:spacing w:after="0"/>
        <w:jc w:val="both"/>
        <w:rPr>
          <w:rFonts w:ascii="Times New Roman" w:hAnsi="Times New Roman" w:cs="Times New Roman"/>
          <w:b/>
          <w:bCs/>
          <w:i/>
          <w:iCs/>
          <w:sz w:val="24"/>
          <w:szCs w:val="24"/>
          <w:lang w:val="sq-AL"/>
        </w:rPr>
      </w:pPr>
      <w:r w:rsidRPr="00F85F05">
        <w:rPr>
          <w:rFonts w:ascii="Times New Roman" w:hAnsi="Times New Roman" w:cs="Times New Roman"/>
          <w:b/>
          <w:bCs/>
          <w:i/>
          <w:iCs/>
          <w:sz w:val="24"/>
          <w:szCs w:val="24"/>
          <w:lang w:val="sq-AL"/>
        </w:rPr>
        <w:lastRenderedPageBreak/>
        <w:t xml:space="preserve">Vendimi n. 1693/2012 i Gjyk  </w:t>
      </w:r>
      <w:r w:rsidRPr="00F85F05">
        <w:rPr>
          <w:rFonts w:ascii="Times New Roman" w:hAnsi="Times New Roman" w:cs="Times New Roman"/>
          <w:b/>
          <w:bCs/>
          <w:i/>
          <w:iCs/>
          <w:sz w:val="24"/>
          <w:szCs w:val="24"/>
        </w:rPr>
        <w:t>Cas</w:t>
      </w:r>
      <w:r w:rsidRPr="00F85F05">
        <w:rPr>
          <w:rFonts w:ascii="Times New Roman" w:hAnsi="Times New Roman" w:cs="Times New Roman"/>
          <w:b/>
          <w:bCs/>
          <w:i/>
          <w:iCs/>
          <w:sz w:val="24"/>
          <w:szCs w:val="24"/>
          <w:lang w:val="sq-AL"/>
        </w:rPr>
        <w:t xml:space="preserve"> Italiane kundër Unicredit SPA</w:t>
      </w:r>
    </w:p>
    <w:p w:rsidR="00046AB7" w:rsidRPr="00F85F05" w:rsidRDefault="00046AB7" w:rsidP="00F85F05">
      <w:pPr>
        <w:numPr>
          <w:ilvl w:val="0"/>
          <w:numId w:val="9"/>
        </w:num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Asnjë nga nocionet </w:t>
      </w:r>
      <w:r w:rsidRPr="00F85F05">
        <w:rPr>
          <w:rFonts w:ascii="Times New Roman" w:hAnsi="Times New Roman" w:cs="Times New Roman"/>
          <w:i/>
          <w:iCs/>
          <w:sz w:val="24"/>
          <w:szCs w:val="24"/>
          <w:lang w:val="sq-AL"/>
        </w:rPr>
        <w:t>“çmim, prodhim, përfitim</w:t>
      </w:r>
      <w:r w:rsidRPr="00F85F05">
        <w:rPr>
          <w:rFonts w:ascii="Times New Roman" w:hAnsi="Times New Roman" w:cs="Times New Roman"/>
          <w:sz w:val="24"/>
          <w:szCs w:val="24"/>
          <w:lang w:val="sq-AL"/>
        </w:rPr>
        <w:t>” nuk përshkruan në të vërtetë “</w:t>
      </w:r>
      <w:r w:rsidRPr="00F85F05">
        <w:rPr>
          <w:rFonts w:ascii="Times New Roman" w:hAnsi="Times New Roman" w:cs="Times New Roman"/>
          <w:i/>
          <w:iCs/>
          <w:sz w:val="24"/>
          <w:szCs w:val="24"/>
          <w:lang w:val="sq-AL"/>
        </w:rPr>
        <w:t>avantazhin ekonomik si pasojë e evazionit fiskal</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046AB7" w:rsidRPr="00F85F05" w:rsidRDefault="00046AB7" w:rsidP="00F85F05">
      <w:pPr>
        <w:numPr>
          <w:ilvl w:val="0"/>
          <w:numId w:val="9"/>
        </w:numPr>
        <w:spacing w:after="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 Në vendimin e Gjykatës së Shkallës së Parë, i ndryshuar nga Gjykata e Milanos në vijim, ishte theksuar se në krimet e mashtrimit fiskal përfitimi i korrespondon </w:t>
      </w:r>
      <w:r w:rsidRPr="00F85F05">
        <w:rPr>
          <w:rFonts w:ascii="Times New Roman" w:hAnsi="Times New Roman" w:cs="Times New Roman"/>
          <w:b/>
          <w:bCs/>
          <w:sz w:val="24"/>
          <w:szCs w:val="24"/>
          <w:lang w:val="sq-AL"/>
        </w:rPr>
        <w:t>shumës që nuk është deklaruar (pra eshte fshehur) duke përfshirë edhe saksionet që i ngarkohen kësaj shume.</w:t>
      </w:r>
      <w:r w:rsidRPr="00F85F05">
        <w:rPr>
          <w:rFonts w:ascii="Times New Roman" w:hAnsi="Times New Roman" w:cs="Times New Roman"/>
          <w:b/>
          <w:bCs/>
          <w:sz w:val="24"/>
          <w:szCs w:val="24"/>
        </w:rPr>
        <w:t xml:space="preserve"> </w:t>
      </w:r>
    </w:p>
    <w:p w:rsidR="00046AB7" w:rsidRPr="00F85F05" w:rsidRDefault="00046AB7" w:rsidP="00F85F05">
      <w:pPr>
        <w:numPr>
          <w:ilvl w:val="0"/>
          <w:numId w:val="9"/>
        </w:numPr>
        <w:spacing w:after="0"/>
        <w:jc w:val="both"/>
        <w:rPr>
          <w:rFonts w:ascii="Times New Roman" w:hAnsi="Times New Roman" w:cs="Times New Roman"/>
          <w:sz w:val="24"/>
          <w:szCs w:val="24"/>
        </w:rPr>
      </w:pPr>
      <w:r w:rsidRPr="00F85F05">
        <w:rPr>
          <w:rFonts w:ascii="Times New Roman" w:hAnsi="Times New Roman" w:cs="Times New Roman"/>
          <w:sz w:val="24"/>
          <w:szCs w:val="24"/>
        </w:rPr>
        <w:t xml:space="preserve">Gjykata perfundimisht </w:t>
      </w:r>
      <w:r w:rsidRPr="00F85F05">
        <w:rPr>
          <w:rFonts w:ascii="Times New Roman" w:hAnsi="Times New Roman" w:cs="Times New Roman"/>
          <w:sz w:val="24"/>
          <w:szCs w:val="24"/>
          <w:lang w:val="sq-AL"/>
        </w:rPr>
        <w:t>theksoi se përfitimi (që mund t’i nënshtrohet dhe sekuestrimit preventiv), apo pasuri tjetër ekuivalente, në rastin e mospagimit të taksave apo fshehjes së të ardhurave përbëhet nga “</w:t>
      </w:r>
      <w:r w:rsidRPr="00F85F05">
        <w:rPr>
          <w:rFonts w:ascii="Times New Roman" w:hAnsi="Times New Roman" w:cs="Times New Roman"/>
          <w:i/>
          <w:iCs/>
          <w:sz w:val="24"/>
          <w:szCs w:val="24"/>
          <w:lang w:val="sq-AL"/>
        </w:rPr>
        <w:t xml:space="preserve">çdo avantazh pasuror i ardhur drejtpërdrejt nga kryerja e veprimit të kundraligjshëm e kështu që ka të bëjë me ato që janë </w:t>
      </w:r>
      <w:r w:rsidRPr="00F85F05">
        <w:rPr>
          <w:rFonts w:ascii="Times New Roman" w:hAnsi="Times New Roman" w:cs="Times New Roman"/>
          <w:b/>
          <w:bCs/>
          <w:i/>
          <w:iCs/>
          <w:sz w:val="24"/>
          <w:szCs w:val="24"/>
          <w:lang w:val="sq-AL"/>
        </w:rPr>
        <w:t>kursyer</w:t>
      </w:r>
      <w:r w:rsidRPr="00F85F05">
        <w:rPr>
          <w:rFonts w:ascii="Times New Roman" w:hAnsi="Times New Roman" w:cs="Times New Roman"/>
          <w:i/>
          <w:iCs/>
          <w:sz w:val="24"/>
          <w:szCs w:val="24"/>
          <w:lang w:val="sq-AL"/>
        </w:rPr>
        <w:t xml:space="preserve"> si pasojë e mospagimit të interesave (taksave) dhe të </w:t>
      </w:r>
      <w:r w:rsidRPr="00F85F05">
        <w:rPr>
          <w:rFonts w:ascii="Times New Roman" w:hAnsi="Times New Roman" w:cs="Times New Roman"/>
          <w:b/>
          <w:bCs/>
          <w:i/>
          <w:iCs/>
          <w:sz w:val="24"/>
          <w:szCs w:val="24"/>
          <w:lang w:val="sq-AL"/>
        </w:rPr>
        <w:t>sa</w:t>
      </w:r>
      <w:r w:rsidRPr="00F85F05">
        <w:rPr>
          <w:rFonts w:ascii="Times New Roman" w:hAnsi="Times New Roman" w:cs="Times New Roman"/>
          <w:b/>
          <w:bCs/>
          <w:i/>
          <w:iCs/>
          <w:sz w:val="24"/>
          <w:szCs w:val="24"/>
        </w:rPr>
        <w:t>n</w:t>
      </w:r>
      <w:r w:rsidRPr="00F85F05">
        <w:rPr>
          <w:rFonts w:ascii="Times New Roman" w:hAnsi="Times New Roman" w:cs="Times New Roman"/>
          <w:b/>
          <w:bCs/>
          <w:i/>
          <w:iCs/>
          <w:sz w:val="24"/>
          <w:szCs w:val="24"/>
          <w:lang w:val="sq-AL"/>
        </w:rPr>
        <w:t>ksioneve</w:t>
      </w:r>
      <w:r w:rsidRPr="00F85F05">
        <w:rPr>
          <w:rFonts w:ascii="Times New Roman" w:hAnsi="Times New Roman" w:cs="Times New Roman"/>
          <w:i/>
          <w:iCs/>
          <w:sz w:val="24"/>
          <w:szCs w:val="24"/>
          <w:lang w:val="sq-AL"/>
        </w:rPr>
        <w:t xml:space="preserve"> administrative pas evidentimit të kësaj shkelje”</w:t>
      </w:r>
      <w:r w:rsidRPr="00F85F05">
        <w:rPr>
          <w:rFonts w:ascii="Times New Roman" w:hAnsi="Times New Roman" w:cs="Times New Roman"/>
          <w:sz w:val="24"/>
          <w:szCs w:val="24"/>
          <w:lang w:val="sq-AL"/>
        </w:rPr>
        <w:t>.</w:t>
      </w:r>
      <w:r w:rsidRPr="00F85F05">
        <w:rPr>
          <w:rFonts w:ascii="Times New Roman" w:hAnsi="Times New Roman" w:cs="Times New Roman"/>
          <w:sz w:val="24"/>
          <w:szCs w:val="24"/>
        </w:rPr>
        <w:t xml:space="preserve"> </w:t>
      </w:r>
    </w:p>
    <w:p w:rsidR="00046AB7" w:rsidRPr="00F85F05" w:rsidRDefault="00046AB7" w:rsidP="00F85F05">
      <w:pPr>
        <w:ind w:left="360"/>
        <w:jc w:val="both"/>
        <w:rPr>
          <w:rFonts w:ascii="Times New Roman" w:hAnsi="Times New Roman" w:cs="Times New Roman"/>
          <w:sz w:val="24"/>
          <w:szCs w:val="24"/>
        </w:rPr>
      </w:pPr>
    </w:p>
    <w:p w:rsidR="00F85F05" w:rsidRPr="00F85F05" w:rsidRDefault="00F85F05" w:rsidP="00F85F05">
      <w:pPr>
        <w:ind w:firstLine="360"/>
        <w:jc w:val="both"/>
        <w:rPr>
          <w:rFonts w:ascii="Times New Roman" w:hAnsi="Times New Roman" w:cs="Times New Roman"/>
          <w:sz w:val="24"/>
          <w:szCs w:val="24"/>
          <w:lang w:val="sq-AL"/>
        </w:rPr>
      </w:pPr>
      <w:r>
        <w:rPr>
          <w:rFonts w:ascii="Times New Roman" w:hAnsi="Times New Roman" w:cs="Times New Roman"/>
          <w:color w:val="000000"/>
          <w:sz w:val="24"/>
          <w:szCs w:val="24"/>
        </w:rPr>
        <w:t>Kriteri “në emer” të personit juridik</w:t>
      </w:r>
      <w:r w:rsidRPr="00F85F05">
        <w:rPr>
          <w:rFonts w:ascii="Times New Roman" w:hAnsi="Times New Roman" w:cs="Times New Roman"/>
          <w:color w:val="000000"/>
          <w:sz w:val="24"/>
          <w:szCs w:val="24"/>
        </w:rPr>
        <w:t>, nga praktika amerikane quhet me termin kryerja e veprës penale “</w:t>
      </w:r>
      <w:r w:rsidRPr="00F85F05">
        <w:rPr>
          <w:rFonts w:ascii="Times New Roman" w:hAnsi="Times New Roman" w:cs="Times New Roman"/>
          <w:i/>
          <w:sz w:val="24"/>
          <w:szCs w:val="24"/>
        </w:rPr>
        <w:t>për shkak të detyrës”</w:t>
      </w:r>
      <w:r w:rsidRPr="00F85F05">
        <w:rPr>
          <w:rFonts w:ascii="Times New Roman" w:hAnsi="Times New Roman" w:cs="Times New Roman"/>
          <w:sz w:val="24"/>
          <w:szCs w:val="24"/>
        </w:rPr>
        <w:t xml:space="preserve"> i cili nga jurisprudenca</w:t>
      </w:r>
      <w:r w:rsidRPr="00F85F05">
        <w:rPr>
          <w:rStyle w:val="FootnoteReference"/>
          <w:rFonts w:ascii="Times New Roman" w:hAnsi="Times New Roman" w:cs="Times New Roman"/>
          <w:sz w:val="24"/>
          <w:szCs w:val="24"/>
          <w:lang w:val="it-IT"/>
        </w:rPr>
        <w:footnoteReference w:id="3"/>
      </w:r>
      <w:r w:rsidRPr="00F85F05">
        <w:rPr>
          <w:rFonts w:ascii="Times New Roman" w:hAnsi="Times New Roman" w:cs="Times New Roman"/>
          <w:sz w:val="24"/>
          <w:szCs w:val="24"/>
        </w:rPr>
        <w:t xml:space="preserve"> interpretohet: “</w:t>
      </w:r>
      <w:r w:rsidRPr="00F85F05">
        <w:rPr>
          <w:rFonts w:ascii="Times New Roman" w:hAnsi="Times New Roman" w:cs="Times New Roman"/>
          <w:i/>
          <w:sz w:val="24"/>
          <w:szCs w:val="24"/>
        </w:rPr>
        <w:t>do të konsiderohen si vepra penale të kryera për shkak të detyrës edhe veprimet e kryera nga një punonjës i cili kryen veprime që vijnë në kundërshtim me një instruksion specifik të personit juridik”</w:t>
      </w:r>
      <w:r w:rsidRPr="00F85F05">
        <w:rPr>
          <w:rFonts w:ascii="Times New Roman" w:hAnsi="Times New Roman" w:cs="Times New Roman"/>
          <w:sz w:val="24"/>
          <w:szCs w:val="24"/>
        </w:rPr>
        <w:t>.</w:t>
      </w:r>
      <w:r w:rsidRPr="00F85F05">
        <w:rPr>
          <w:rStyle w:val="FootnoteReference"/>
          <w:rFonts w:ascii="Times New Roman" w:hAnsi="Times New Roman" w:cs="Times New Roman"/>
          <w:sz w:val="24"/>
          <w:szCs w:val="24"/>
          <w:lang w:val="it-IT"/>
        </w:rPr>
        <w:footnoteReference w:id="4"/>
      </w:r>
      <w:r w:rsidRPr="00F85F05">
        <w:rPr>
          <w:rFonts w:ascii="Times New Roman" w:hAnsi="Times New Roman" w:cs="Times New Roman"/>
          <w:sz w:val="24"/>
          <w:szCs w:val="24"/>
        </w:rPr>
        <w:t xml:space="preserve"> Shpjegimi i arsyeshëm në lidhje me këtë pikë është se veprimet e punonjësve të ndërmarra gjatë kohës që po kryen një detyrë të ngarkuar nga personi juridik, në dukje shfaqet si një veprim i urdhëruar nga personi juridik. </w:t>
      </w:r>
    </w:p>
    <w:p w:rsidR="00F85F05" w:rsidRPr="00F85F05" w:rsidRDefault="00F85F05" w:rsidP="00F85F05">
      <w:pPr>
        <w:ind w:left="1440"/>
        <w:jc w:val="both"/>
        <w:rPr>
          <w:rFonts w:ascii="Times New Roman" w:hAnsi="Times New Roman" w:cs="Times New Roman"/>
          <w:i/>
          <w:sz w:val="24"/>
          <w:szCs w:val="24"/>
          <w:lang w:val="sq-AL"/>
        </w:rPr>
      </w:pPr>
      <w:r w:rsidRPr="00F85F05">
        <w:rPr>
          <w:rFonts w:ascii="Times New Roman" w:hAnsi="Times New Roman" w:cs="Times New Roman"/>
          <w:i/>
          <w:sz w:val="24"/>
          <w:szCs w:val="24"/>
        </w:rPr>
        <w:t xml:space="preserve">Në çështjen United States v Hilton Hotels Corporation gjykata amerikane ka interpretuar: Në këtë çështje agjenti i blerjeve të Hotelit Hilton në Oregon kërcënoi një furnizues me humbjen e biznesit të hotelit nëse ai nuk kontribuonte për një shoqëri që arrinte marrëveshjet në Oregon. Presidenti i shoqërisë dëshmoi se një veprim i tillë ishte në kundërshtim me politikën e shoqërisë. Po kështu menaxheri dhe Zv. menaxheri i hotelit dëshmuan se ata në mënyrë të qartë e kishin ndaluar agjentin të kërcënonte furnizuesit. Megjithatë gjykata dënoi shoqërinë e Hoteleve Hilton për veprime që cenojnë konkurrencën e ndershme pasi në botën e jashtme agjenti i shitjeve vepronte për në emër të personit juridik. </w:t>
      </w:r>
    </w:p>
    <w:p w:rsidR="00F85F05" w:rsidRPr="00F85F05" w:rsidRDefault="00F85F05" w:rsidP="00F85F05">
      <w:pPr>
        <w:spacing w:after="0"/>
        <w:ind w:left="360"/>
        <w:jc w:val="both"/>
        <w:rPr>
          <w:rFonts w:ascii="Times New Roman" w:hAnsi="Times New Roman" w:cs="Times New Roman"/>
          <w:sz w:val="24"/>
          <w:szCs w:val="24"/>
        </w:rPr>
      </w:pPr>
    </w:p>
    <w:p w:rsidR="00F85F05" w:rsidRPr="00F85F05" w:rsidRDefault="00F85F05" w:rsidP="00F85F05">
      <w:pPr>
        <w:spacing w:after="0"/>
        <w:ind w:left="360"/>
        <w:jc w:val="both"/>
        <w:rPr>
          <w:rFonts w:ascii="Times New Roman" w:hAnsi="Times New Roman" w:cs="Times New Roman"/>
          <w:sz w:val="24"/>
          <w:szCs w:val="24"/>
        </w:rPr>
      </w:pPr>
      <w:r w:rsidRPr="00F85F05">
        <w:rPr>
          <w:rFonts w:ascii="Times New Roman" w:hAnsi="Times New Roman" w:cs="Times New Roman"/>
          <w:sz w:val="24"/>
          <w:szCs w:val="24"/>
          <w:lang w:val="sq-AL"/>
        </w:rPr>
        <w:t xml:space="preserve"> </w:t>
      </w:r>
    </w:p>
    <w:p w:rsidR="00046AB7" w:rsidRPr="00F85F05" w:rsidRDefault="00046AB7" w:rsidP="00F85F05">
      <w:pPr>
        <w:pStyle w:val="ListParagraph"/>
        <w:numPr>
          <w:ilvl w:val="0"/>
          <w:numId w:val="15"/>
        </w:numPr>
        <w:jc w:val="both"/>
        <w:rPr>
          <w:rFonts w:ascii="Times New Roman" w:hAnsi="Times New Roman" w:cs="Times New Roman"/>
          <w:sz w:val="24"/>
          <w:szCs w:val="24"/>
          <w:lang w:val="sq-AL"/>
        </w:rPr>
      </w:pPr>
      <w:r w:rsidRPr="00F85F05">
        <w:rPr>
          <w:rFonts w:ascii="Times New Roman" w:hAnsi="Times New Roman" w:cs="Times New Roman"/>
          <w:sz w:val="24"/>
          <w:szCs w:val="24"/>
        </w:rPr>
        <w:t>Në përfundim të kësaj pjese, mund të themi me siguri se: që personi juridik të ketë përgjegjësi penale, duhet të plotësohen njëkohësisht të dy kriteret, pra:</w:t>
      </w:r>
    </w:p>
    <w:p w:rsidR="00046AB7" w:rsidRPr="00F85F05" w:rsidRDefault="00046AB7" w:rsidP="00F85F05">
      <w:pPr>
        <w:numPr>
          <w:ilvl w:val="0"/>
          <w:numId w:val="10"/>
        </w:numPr>
        <w:spacing w:after="0"/>
        <w:jc w:val="both"/>
        <w:rPr>
          <w:rFonts w:ascii="Times New Roman" w:hAnsi="Times New Roman" w:cs="Times New Roman"/>
          <w:sz w:val="24"/>
          <w:szCs w:val="24"/>
          <w:lang w:val="sq-AL"/>
        </w:rPr>
      </w:pPr>
      <w:r w:rsidRPr="00F85F05">
        <w:rPr>
          <w:rFonts w:ascii="Times New Roman" w:hAnsi="Times New Roman" w:cs="Times New Roman"/>
          <w:sz w:val="24"/>
          <w:szCs w:val="24"/>
        </w:rPr>
        <w:t>Vepra penale të jetë kryer nga rrethi i personave fizikë të përmendur më lartë</w:t>
      </w:r>
    </w:p>
    <w:p w:rsidR="00046AB7" w:rsidRPr="00F85F05" w:rsidRDefault="00046AB7" w:rsidP="00F85F05">
      <w:pPr>
        <w:numPr>
          <w:ilvl w:val="0"/>
          <w:numId w:val="10"/>
        </w:numPr>
        <w:spacing w:after="0"/>
        <w:jc w:val="both"/>
        <w:rPr>
          <w:rFonts w:ascii="Times New Roman" w:hAnsi="Times New Roman" w:cs="Times New Roman"/>
          <w:sz w:val="24"/>
          <w:szCs w:val="24"/>
          <w:lang w:val="sq-AL"/>
        </w:rPr>
      </w:pPr>
      <w:r w:rsidRPr="00F85F05">
        <w:rPr>
          <w:rFonts w:ascii="Times New Roman" w:hAnsi="Times New Roman" w:cs="Times New Roman"/>
          <w:sz w:val="24"/>
          <w:szCs w:val="24"/>
        </w:rPr>
        <w:t>Vepra penale të jetë kryer “në emër” ose “në dobi” të personit juridik.</w:t>
      </w:r>
    </w:p>
    <w:p w:rsidR="005F7C4F" w:rsidRPr="00F85F05" w:rsidRDefault="00046AB7" w:rsidP="00F85F05">
      <w:pPr>
        <w:jc w:val="both"/>
        <w:rPr>
          <w:rFonts w:ascii="Times New Roman" w:hAnsi="Times New Roman" w:cs="Times New Roman"/>
          <w:sz w:val="24"/>
          <w:szCs w:val="24"/>
        </w:rPr>
      </w:pPr>
      <w:r w:rsidRPr="00F85F05">
        <w:rPr>
          <w:rFonts w:ascii="Times New Roman" w:hAnsi="Times New Roman" w:cs="Times New Roman"/>
          <w:sz w:val="24"/>
          <w:szCs w:val="24"/>
        </w:rPr>
        <w:t xml:space="preserve">Mjafton mungesa e njërit nga këto kritere, dhe personi juridik përjashtohet nga përgjegjësia penale. </w:t>
      </w:r>
      <w:r w:rsidRPr="00F85F05">
        <w:rPr>
          <w:rFonts w:ascii="Times New Roman" w:hAnsi="Times New Roman" w:cs="Times New Roman"/>
          <w:b/>
          <w:sz w:val="24"/>
          <w:szCs w:val="24"/>
          <w:u w:val="single"/>
        </w:rPr>
        <w:t xml:space="preserve">Megjithatë, në rast se përmbushen këto kritere, që personi juridik të ngarkohet </w:t>
      </w:r>
      <w:r w:rsidRPr="00F85F05">
        <w:rPr>
          <w:rFonts w:ascii="Times New Roman" w:hAnsi="Times New Roman" w:cs="Times New Roman"/>
          <w:b/>
          <w:sz w:val="24"/>
          <w:szCs w:val="24"/>
          <w:u w:val="single"/>
        </w:rPr>
        <w:lastRenderedPageBreak/>
        <w:t>me përgjegjësi penale, nuk është e nevojshme që prokurori të vërtetojë dijeninë e bordit ose të organeve drejtuese të personit juridik për veprën penale. Mjafton që ajo të jetë kryer nga një punonjës i saj në emër ose në dobi të personit juridik, dhe personi juridik do të përgjigjet penalisht</w:t>
      </w:r>
      <w:r w:rsidRPr="00F85F05">
        <w:rPr>
          <w:rFonts w:ascii="Times New Roman" w:hAnsi="Times New Roman" w:cs="Times New Roman"/>
          <w:sz w:val="24"/>
          <w:szCs w:val="24"/>
        </w:rPr>
        <w:t>. Një arsye përse bëhet kjo gjë është që t’i nxitë personat juridikë që të marrin masa për të frenuar punonjësit e tyre të kryejnë veprime të kundërligjshme</w:t>
      </w:r>
    </w:p>
    <w:p w:rsidR="00046AB7" w:rsidRPr="00F85F05" w:rsidRDefault="00046AB7" w:rsidP="00F85F05">
      <w:pPr>
        <w:jc w:val="both"/>
        <w:rPr>
          <w:rFonts w:ascii="Times New Roman" w:hAnsi="Times New Roman" w:cs="Times New Roman"/>
          <w:sz w:val="24"/>
          <w:szCs w:val="24"/>
        </w:rPr>
      </w:pPr>
    </w:p>
    <w:p w:rsidR="00046AB7" w:rsidRDefault="00F85F05" w:rsidP="00F85F05">
      <w:pPr>
        <w:pStyle w:val="Paragrafi"/>
        <w:spacing w:line="276" w:lineRule="auto"/>
        <w:ind w:firstLine="0"/>
        <w:rPr>
          <w:rFonts w:ascii="Times New Roman" w:hAnsi="Times New Roman"/>
          <w:b/>
          <w:i/>
          <w:sz w:val="24"/>
          <w:szCs w:val="24"/>
          <w:u w:val="single"/>
          <w:lang w:val="sq-AL"/>
        </w:rPr>
      </w:pPr>
      <w:r w:rsidRPr="00F85F05">
        <w:rPr>
          <w:rFonts w:ascii="Times New Roman" w:hAnsi="Times New Roman"/>
          <w:b/>
          <w:i/>
          <w:sz w:val="24"/>
          <w:szCs w:val="24"/>
          <w:u w:val="single"/>
          <w:lang w:val="sq-AL"/>
        </w:rPr>
        <w:t xml:space="preserve">4- </w:t>
      </w:r>
      <w:r>
        <w:rPr>
          <w:rFonts w:ascii="Times New Roman" w:hAnsi="Times New Roman"/>
          <w:b/>
          <w:i/>
          <w:sz w:val="24"/>
          <w:szCs w:val="24"/>
          <w:u w:val="single"/>
          <w:lang w:val="sq-AL"/>
        </w:rPr>
        <w:t>P</w:t>
      </w:r>
      <w:r w:rsidRPr="00F85F05">
        <w:rPr>
          <w:rFonts w:ascii="Times New Roman" w:hAnsi="Times New Roman"/>
          <w:b/>
          <w:i/>
          <w:sz w:val="24"/>
          <w:szCs w:val="24"/>
          <w:u w:val="single"/>
          <w:lang w:val="sq-AL"/>
        </w:rPr>
        <w:t>ërgjegjësi</w:t>
      </w:r>
      <w:r>
        <w:rPr>
          <w:rFonts w:ascii="Times New Roman" w:hAnsi="Times New Roman"/>
          <w:b/>
          <w:i/>
          <w:sz w:val="24"/>
          <w:szCs w:val="24"/>
          <w:u w:val="single"/>
          <w:lang w:val="sq-AL"/>
        </w:rPr>
        <w:t>a</w:t>
      </w:r>
      <w:r w:rsidRPr="00F85F05">
        <w:rPr>
          <w:rFonts w:ascii="Times New Roman" w:hAnsi="Times New Roman"/>
          <w:b/>
          <w:i/>
          <w:sz w:val="24"/>
          <w:szCs w:val="24"/>
          <w:u w:val="single"/>
          <w:lang w:val="sq-AL"/>
        </w:rPr>
        <w:t xml:space="preserve"> </w:t>
      </w:r>
      <w:r>
        <w:rPr>
          <w:rFonts w:ascii="Times New Roman" w:hAnsi="Times New Roman"/>
          <w:b/>
          <w:i/>
          <w:sz w:val="24"/>
          <w:szCs w:val="24"/>
          <w:u w:val="single"/>
          <w:lang w:val="sq-AL"/>
        </w:rPr>
        <w:t xml:space="preserve">e </w:t>
      </w:r>
      <w:r w:rsidR="00046AB7" w:rsidRPr="00F85F05">
        <w:rPr>
          <w:rFonts w:ascii="Times New Roman" w:hAnsi="Times New Roman"/>
          <w:b/>
          <w:i/>
          <w:sz w:val="24"/>
          <w:szCs w:val="24"/>
          <w:u w:val="single"/>
          <w:lang w:val="sq-AL"/>
        </w:rPr>
        <w:t>Personi juridik për vepra penale të kryera:</w:t>
      </w:r>
    </w:p>
    <w:p w:rsidR="00F85F05" w:rsidRPr="00F85F05" w:rsidRDefault="00F85F05" w:rsidP="00F85F05">
      <w:pPr>
        <w:pStyle w:val="Paragrafi"/>
        <w:spacing w:line="276" w:lineRule="auto"/>
        <w:ind w:firstLine="0"/>
        <w:rPr>
          <w:rFonts w:ascii="Times New Roman" w:hAnsi="Times New Roman"/>
          <w:b/>
          <w:i/>
          <w:sz w:val="24"/>
          <w:szCs w:val="24"/>
          <w:u w:val="single"/>
          <w:lang w:val="sq-AL"/>
        </w:rPr>
      </w:pPr>
    </w:p>
    <w:p w:rsidR="00046AB7" w:rsidRDefault="00046AB7" w:rsidP="00F85F05">
      <w:pPr>
        <w:pStyle w:val="Paragrafi"/>
        <w:spacing w:line="276" w:lineRule="auto"/>
        <w:ind w:left="720" w:hanging="720"/>
        <w:rPr>
          <w:rFonts w:ascii="Times New Roman" w:hAnsi="Times New Roman"/>
          <w:i/>
          <w:sz w:val="24"/>
          <w:szCs w:val="24"/>
          <w:lang w:val="sq-AL"/>
        </w:rPr>
      </w:pPr>
      <w:r w:rsidRPr="00F85F05">
        <w:rPr>
          <w:rFonts w:ascii="Times New Roman" w:hAnsi="Times New Roman"/>
          <w:sz w:val="24"/>
          <w:szCs w:val="24"/>
          <w:lang w:val="sq-AL"/>
        </w:rPr>
        <w:t>c)</w:t>
      </w:r>
      <w:r w:rsidRPr="00F85F05">
        <w:rPr>
          <w:rFonts w:ascii="Times New Roman" w:hAnsi="Times New Roman"/>
          <w:sz w:val="24"/>
          <w:szCs w:val="24"/>
          <w:lang w:val="sq-AL"/>
        </w:rPr>
        <w:tab/>
      </w:r>
      <w:r w:rsidRPr="00F85F05">
        <w:rPr>
          <w:rFonts w:ascii="Times New Roman" w:hAnsi="Times New Roman"/>
          <w:i/>
          <w:sz w:val="24"/>
          <w:szCs w:val="24"/>
          <w:lang w:val="sq-AL"/>
        </w:rPr>
        <w:t>në emër ose në dobi të tij, për shkak të mungesës së kontrollit apo të mbikëqyrjes nga personi që drejton, përfaqëson dhe administron personin juridik.</w:t>
      </w:r>
    </w:p>
    <w:p w:rsidR="00F85F05" w:rsidRDefault="00F85F05" w:rsidP="00F85F05">
      <w:pPr>
        <w:jc w:val="both"/>
        <w:rPr>
          <w:rFonts w:ascii="Times New Roman" w:hAnsi="Times New Roman" w:cs="Times New Roman"/>
          <w:sz w:val="24"/>
          <w:szCs w:val="24"/>
        </w:rPr>
      </w:pPr>
    </w:p>
    <w:p w:rsidR="00F85F05" w:rsidRPr="00F85F05" w:rsidRDefault="00F85F05" w:rsidP="00F85F05">
      <w:pPr>
        <w:jc w:val="both"/>
        <w:rPr>
          <w:rFonts w:ascii="Times New Roman" w:hAnsi="Times New Roman" w:cs="Times New Roman"/>
          <w:sz w:val="24"/>
          <w:szCs w:val="24"/>
          <w:lang w:val="sq-AL"/>
        </w:rPr>
      </w:pPr>
      <w:r w:rsidRPr="00F85F05">
        <w:rPr>
          <w:rFonts w:ascii="Times New Roman" w:hAnsi="Times New Roman" w:cs="Times New Roman"/>
          <w:sz w:val="24"/>
          <w:szCs w:val="24"/>
        </w:rPr>
        <w:t xml:space="preserve">Ngarkimi i personit juridik me përgjegjësi penale edhe për veprimet e punonjësve të nivelit ekzekutiv, është domosdoshmëri në kushtet kur shpesh nga personat juridikë, në rastet e kryerjes së një vepre penale, që të përjashtojë veten nga përgjegjësia penale, ngrenë pretendimin se vepra penale është kryer nga punonjësit e tij, të cilët kanë shkelur rregullat dhe urdhrat e vendosura nga personi juridik. Në lidhje me këtë pretendim, nuk mjafton vetëm vendosja e rregullave për punonjësit nga personi juridik, të detyrueshme për tu zbatuar gjatë përmbushjes së detyrave të tyre. Përveç detyrimit të personit juridik, për të vendosur këto rregulla, është e nevojshme që ato të jenë efektive për të parandaluar dhe zbuluar shkeljet e punonjësve dhe për më tepër të vërtetohet nëse drejtuesit e personit juridik po e imponojnë zbatimin e këtyre rregullave apo në mënyrë të heshtur bëjnë presion tek punëtorët që të veprojnë në mënyrë jo të rregullt me qëllim që të arrijnë objektivat e biznesit. </w:t>
      </w:r>
    </w:p>
    <w:p w:rsidR="00F85F05" w:rsidRPr="00F85F05" w:rsidRDefault="00F85F05" w:rsidP="00F85F05">
      <w:pPr>
        <w:pStyle w:val="Paragrafi"/>
        <w:spacing w:line="276" w:lineRule="auto"/>
        <w:ind w:left="720" w:hanging="720"/>
        <w:rPr>
          <w:rFonts w:ascii="Times New Roman" w:hAnsi="Times New Roman"/>
          <w:i/>
          <w:sz w:val="24"/>
          <w:szCs w:val="24"/>
          <w:lang w:val="sq-AL"/>
        </w:rPr>
      </w:pPr>
    </w:p>
    <w:p w:rsidR="00046AB7" w:rsidRPr="00F85F05" w:rsidRDefault="00046AB7" w:rsidP="00F85F05">
      <w:pPr>
        <w:jc w:val="both"/>
        <w:rPr>
          <w:rFonts w:ascii="Times New Roman" w:hAnsi="Times New Roman" w:cs="Times New Roman"/>
          <w:i/>
          <w:sz w:val="24"/>
          <w:szCs w:val="24"/>
          <w:lang w:val="sq-AL"/>
        </w:rPr>
      </w:pPr>
      <w:r w:rsidRPr="00F85F05">
        <w:rPr>
          <w:rFonts w:ascii="Times New Roman" w:hAnsi="Times New Roman" w:cs="Times New Roman"/>
          <w:sz w:val="24"/>
          <w:szCs w:val="24"/>
        </w:rPr>
        <w:t>Po kështu edhe legjislacioni penal italian, në lidhje me kontrollin dhe mbikëqyrjen e personit juridik, parashikon: “</w:t>
      </w:r>
      <w:r w:rsidRPr="00F85F05">
        <w:rPr>
          <w:rFonts w:ascii="Times New Roman" w:hAnsi="Times New Roman" w:cs="Times New Roman"/>
          <w:i/>
          <w:sz w:val="24"/>
          <w:szCs w:val="24"/>
        </w:rPr>
        <w:t xml:space="preserve">personi juridik mund të përjashtohet nga përgjegjësia për veprat penale të kryera nga punonjësit apo administratorët e tij, nëse ka krijuar modele organizimi, drejtimi dhe kontrolli të përshtatshëm për të parandaluar veprat penale dhe ua ka besuar këtë detyrë një organi të brendshëm të pavarur dhe me iniciativë kontrolluese”. </w:t>
      </w:r>
      <w:r w:rsidRPr="00F85F05">
        <w:rPr>
          <w:rFonts w:ascii="Times New Roman" w:hAnsi="Times New Roman" w:cs="Times New Roman"/>
          <w:sz w:val="24"/>
          <w:szCs w:val="24"/>
        </w:rPr>
        <w:t>Ky qëndrim i legjislacionit italian, bazohet mbi efektivitetin e rregullores së personit juridik, e cila është kusht thelbësor. Në këtë dispozitë, legjislatori italian, përveç detyrimit të krijimit të modeleve të organizimit, drejtimit dhe kontrollit, të përshtatshme për parandalimin e veprave penale, kërkohet që kjo detyrë t’i jetë caktuar një organi të brendshëm, të pavarur dhe me iniciativë kontrolluese. Është pikërisht pavarësia e këtij organi të brendshëm, dhe iniciativa e tij për të kryer kontrolle, ajo që e përjashton nga përgjegjësia personin juridik, pasi kompetencat e kontrollit ia ka deleguar një organi tjetër.</w:t>
      </w:r>
    </w:p>
    <w:p w:rsidR="00046AB7" w:rsidRPr="00F85F05" w:rsidRDefault="00046AB7" w:rsidP="00F85F05">
      <w:pPr>
        <w:jc w:val="both"/>
        <w:rPr>
          <w:rFonts w:ascii="Times New Roman" w:hAnsi="Times New Roman" w:cs="Times New Roman"/>
          <w:b/>
          <w:sz w:val="24"/>
          <w:szCs w:val="24"/>
          <w:lang w:val="sq-AL"/>
        </w:rPr>
      </w:pPr>
      <w:r w:rsidRPr="00F85F05">
        <w:rPr>
          <w:rFonts w:ascii="Times New Roman" w:hAnsi="Times New Roman" w:cs="Times New Roman"/>
          <w:sz w:val="24"/>
          <w:szCs w:val="24"/>
        </w:rPr>
        <w:t xml:space="preserve">Duke qenë se kriteri i parë i përgjegjësisë penale të personave juridikë, është  që vepra penale të jetë kryer nga një rreth i caktuar personash fizikë, të cilët i korrespondojnë punonjësve të personit juridik, natyrshëm lind </w:t>
      </w:r>
      <w:r w:rsidRPr="00F85F05">
        <w:rPr>
          <w:rFonts w:ascii="Times New Roman" w:hAnsi="Times New Roman" w:cs="Times New Roman"/>
          <w:b/>
          <w:i/>
          <w:sz w:val="24"/>
          <w:szCs w:val="24"/>
          <w:u w:val="single"/>
        </w:rPr>
        <w:t xml:space="preserve">pyetja: Po për veprat penale të kryera nga persona fizikë, në dobi të personit juridik, të cilët nuk janë punonjës të personit juridik, as de jure dhe as de fakto, kush do të përgjigjet? Pra çfarë do të ndodhë në rast se vepra penale kryhet nga </w:t>
      </w:r>
      <w:r w:rsidRPr="00F85F05">
        <w:rPr>
          <w:rFonts w:ascii="Times New Roman" w:hAnsi="Times New Roman" w:cs="Times New Roman"/>
          <w:b/>
          <w:i/>
          <w:sz w:val="24"/>
          <w:szCs w:val="24"/>
          <w:u w:val="single"/>
        </w:rPr>
        <w:lastRenderedPageBreak/>
        <w:t>persona të cilët nuk kanë ndonjë marrëdhënie punësimi me personin juridik, por që e kryejnë veprën penale në dobi të personit juridik.</w:t>
      </w:r>
      <w:r w:rsidRPr="00F85F05">
        <w:rPr>
          <w:rFonts w:ascii="Times New Roman" w:hAnsi="Times New Roman" w:cs="Times New Roman"/>
          <w:sz w:val="24"/>
          <w:szCs w:val="24"/>
        </w:rPr>
        <w:t xml:space="preserve"> </w:t>
      </w:r>
      <w:r w:rsidR="00F85F05">
        <w:rPr>
          <w:rFonts w:ascii="Times New Roman" w:hAnsi="Times New Roman" w:cs="Times New Roman"/>
          <w:sz w:val="24"/>
          <w:szCs w:val="24"/>
        </w:rPr>
        <w:t>N</w:t>
      </w:r>
      <w:r w:rsidRPr="00F85F05">
        <w:rPr>
          <w:rFonts w:ascii="Times New Roman" w:hAnsi="Times New Roman" w:cs="Times New Roman"/>
          <w:sz w:val="24"/>
          <w:szCs w:val="24"/>
        </w:rPr>
        <w:t xml:space="preserve">ë këtë rast, do të vlejnë argumentet </w:t>
      </w:r>
      <w:r w:rsidR="00F85F05">
        <w:rPr>
          <w:rFonts w:ascii="Times New Roman" w:hAnsi="Times New Roman" w:cs="Times New Roman"/>
          <w:sz w:val="24"/>
          <w:szCs w:val="24"/>
        </w:rPr>
        <w:t xml:space="preserve">se eshte e </w:t>
      </w:r>
      <w:r w:rsidRPr="00F85F05">
        <w:rPr>
          <w:rFonts w:ascii="Times New Roman" w:hAnsi="Times New Roman" w:cs="Times New Roman"/>
          <w:sz w:val="24"/>
          <w:szCs w:val="24"/>
        </w:rPr>
        <w:t xml:space="preserve">pamundur që një person fizik, të veprojë vetë, me vullnet të plotë, në mënyrë që të kryejë veprime të kundërligjshme për t’i sjellë përfitime një personi tjetër, personit juridik në këtë rast. Ekziston mundësia, që personi fizik që ka kryer veprën penale në dobi të personit juridik, të ketë ndonjë marrëveshje të fshehtë me ndonjë nga përfaqësuesit e personit juridik. Normalisht barra e provës i takon organeve proceduese të vërtetojnë ekzistencën e kësaj marrëveshjeje të fshehtë midis personit përfaqësuesve të personit juridik dhe personit fizik, i cili nuk është një nga personat e parashikuar nga neni 3 i ligjit “Për përgjegjësinë penale të personave juridikë”.  Në një rast të tillë do të përgjigjej penalisht si personi fizik i cili ka kryer veprën, përfaqësuesi i personit juridik i </w:t>
      </w:r>
      <w:r w:rsidRPr="00F85F05">
        <w:rPr>
          <w:rFonts w:ascii="Times New Roman" w:hAnsi="Times New Roman" w:cs="Times New Roman"/>
          <w:b/>
          <w:sz w:val="24"/>
          <w:szCs w:val="24"/>
        </w:rPr>
        <w:t>cili ka bërë marrëveshjen ashtu edhe personi juridik në dobi të të cilit është kryer vepra penale. Pra ky është një nga rastet, ku jemi përpara rrethanës rënduese të bashkëpunimit midis personit juridik me një person fizik.</w:t>
      </w:r>
    </w:p>
    <w:p w:rsidR="00046AB7" w:rsidRPr="00F85F05" w:rsidRDefault="00046AB7" w:rsidP="00F85F05">
      <w:pPr>
        <w:jc w:val="both"/>
        <w:rPr>
          <w:rFonts w:ascii="Times New Roman" w:hAnsi="Times New Roman" w:cs="Times New Roman"/>
          <w:b/>
          <w:sz w:val="24"/>
          <w:szCs w:val="24"/>
          <w:lang w:val="sq-AL"/>
        </w:rPr>
      </w:pPr>
    </w:p>
    <w:p w:rsidR="00046AB7" w:rsidRPr="00F85F05" w:rsidRDefault="00F85F05" w:rsidP="00F85F05">
      <w:pPr>
        <w:jc w:val="both"/>
        <w:rPr>
          <w:rFonts w:ascii="Times New Roman" w:hAnsi="Times New Roman" w:cs="Times New Roman"/>
          <w:b/>
          <w:i/>
          <w:sz w:val="24"/>
          <w:szCs w:val="24"/>
          <w:u w:val="single"/>
        </w:rPr>
      </w:pPr>
      <w:r w:rsidRPr="00F85F05">
        <w:rPr>
          <w:rFonts w:ascii="Times New Roman" w:hAnsi="Times New Roman" w:cs="Times New Roman"/>
          <w:b/>
          <w:i/>
          <w:sz w:val="24"/>
          <w:szCs w:val="24"/>
          <w:u w:val="single"/>
        </w:rPr>
        <w:t>5-</w:t>
      </w:r>
      <w:r w:rsidR="00046AB7" w:rsidRPr="00F85F05">
        <w:rPr>
          <w:rFonts w:ascii="Times New Roman" w:hAnsi="Times New Roman" w:cs="Times New Roman"/>
          <w:b/>
          <w:i/>
          <w:sz w:val="24"/>
          <w:szCs w:val="24"/>
          <w:u w:val="single"/>
        </w:rPr>
        <w:t>Ceshtjet e denimeve</w:t>
      </w:r>
    </w:p>
    <w:p w:rsidR="00046AB7" w:rsidRPr="00F85F05" w:rsidRDefault="00046AB7" w:rsidP="00F85F05">
      <w:pPr>
        <w:pStyle w:val="Paragrafi"/>
        <w:spacing w:line="276" w:lineRule="auto"/>
        <w:ind w:firstLine="0"/>
        <w:rPr>
          <w:rFonts w:ascii="Times New Roman" w:hAnsi="Times New Roman"/>
          <w:sz w:val="24"/>
          <w:szCs w:val="24"/>
          <w:lang w:val="sq-AL"/>
        </w:rPr>
      </w:pPr>
      <w:r w:rsidRPr="00F85F05">
        <w:rPr>
          <w:rFonts w:ascii="Times New Roman" w:hAnsi="Times New Roman"/>
          <w:sz w:val="24"/>
          <w:szCs w:val="24"/>
          <w:lang w:val="sq-AL"/>
        </w:rPr>
        <w:t>Ligji “Për përgjegjësinë penale të personave juridikë” dënimet e personit juridik i klasifikon në: dënime kryesore dhe dënime plotësuese</w:t>
      </w:r>
      <w:r w:rsidRPr="00F85F05">
        <w:rPr>
          <w:rStyle w:val="FootnoteReference"/>
          <w:rFonts w:ascii="Times New Roman" w:hAnsi="Times New Roman"/>
          <w:sz w:val="24"/>
          <w:szCs w:val="24"/>
        </w:rPr>
        <w:footnoteReference w:id="5"/>
      </w:r>
      <w:r w:rsidRPr="00F85F05">
        <w:rPr>
          <w:rFonts w:ascii="Times New Roman" w:hAnsi="Times New Roman"/>
          <w:sz w:val="24"/>
          <w:szCs w:val="24"/>
          <w:lang w:val="sq-AL"/>
        </w:rPr>
        <w:t>. Si dënimet kryesore parashikohen</w:t>
      </w:r>
      <w:r w:rsidR="00F85F05">
        <w:rPr>
          <w:rFonts w:ascii="Times New Roman" w:hAnsi="Times New Roman"/>
          <w:sz w:val="24"/>
          <w:szCs w:val="24"/>
        </w:rPr>
        <w:t xml:space="preserve"> </w:t>
      </w:r>
      <w:r w:rsidRPr="00F85F05">
        <w:rPr>
          <w:rFonts w:ascii="Times New Roman" w:hAnsi="Times New Roman"/>
          <w:sz w:val="24"/>
          <w:szCs w:val="24"/>
          <w:lang w:val="sq-AL"/>
        </w:rPr>
        <w:t xml:space="preserve">gjoba dhe mbarimi i personit juridik. ndërsa si dënime plotësuese në nenin 10 të ligjit parashikohen: mbyllja e një ose më shumë veprimtarive apo strukturave të personit juridik, vendosja e personit juridik në administrim të kontrolluar, ndalimi për të marrë pjesë në procedurat e prokurimit të fondeve publike, heqja e së drejtës së marrjes ose përdorimit të licencave, autorizimeve, koncesioneve ose subvencioneve, ndalimi për të kërkuar publikisht fonde dhe burime financiare, heqja e së drejtës së ushtrimit të një apo më shumë veprimtarive ose operacioneve dhe detyrimi për publikimin e vendimit gjyqësor. Përveç sa më sipër nuk përjashtohet mundësia që gjykata të aplikojë dhe dënimin plotësues të parashikuar nga neni 36 i Kodit Penal, për konfiskimin e mjeteve të kryerjes së veprës penale dhe produkteve të veprës penale. </w:t>
      </w:r>
    </w:p>
    <w:p w:rsidR="00F85F05" w:rsidRDefault="00F85F05" w:rsidP="00F85F05">
      <w:pPr>
        <w:pStyle w:val="Paragrafi"/>
        <w:spacing w:line="276" w:lineRule="auto"/>
        <w:ind w:firstLine="0"/>
        <w:rPr>
          <w:rFonts w:ascii="Times New Roman" w:hAnsi="Times New Roman"/>
          <w:sz w:val="24"/>
          <w:szCs w:val="24"/>
          <w:lang w:val="sq-AL"/>
        </w:rPr>
      </w:pPr>
    </w:p>
    <w:p w:rsidR="00046AB7" w:rsidRPr="00F85F05" w:rsidRDefault="00046AB7" w:rsidP="00F85F05">
      <w:pPr>
        <w:pStyle w:val="Paragrafi"/>
        <w:spacing w:line="276" w:lineRule="auto"/>
        <w:ind w:firstLine="0"/>
        <w:rPr>
          <w:rFonts w:ascii="Times New Roman" w:hAnsi="Times New Roman"/>
          <w:sz w:val="24"/>
          <w:szCs w:val="24"/>
          <w:lang w:val="sq-AL"/>
        </w:rPr>
      </w:pPr>
      <w:r w:rsidRPr="00F85F05">
        <w:rPr>
          <w:rFonts w:ascii="Times New Roman" w:hAnsi="Times New Roman"/>
          <w:sz w:val="24"/>
          <w:szCs w:val="24"/>
          <w:lang w:val="sq-AL"/>
        </w:rPr>
        <w:t>Ligji “Për përgjegjësinë penale të personave juridikë”, bën një diferencim mbi llojet e dënimeve penale që mund të aplikohen ndaj personave juridikë publikë dhe personave juridikë privatë. Kështu në nenet 9 dhe 10 të tij parashikohet se ndaj njësive të qeverisjes vendore mund të aplikohet vetëm dënimi me: gjobë, ndalimi për të marrë pjesë në procedurat e prokurimit të fondeve publike, heqja e së drejtës së marrjes ose përdorimit të licencave, autorizimeve, koncesioneve ose subvencioneve dhe detyrimi për publikimin e vendimit gjyqësor. Po i njëjti kufizim, në dënimet e mundshme për tu aplikuar, vlen dhe për personat e tjerë juridikë publik, partitë politike dhe sindikatat.</w:t>
      </w:r>
    </w:p>
    <w:p w:rsidR="00F85F05" w:rsidRDefault="00F85F05" w:rsidP="00F85F05">
      <w:pPr>
        <w:jc w:val="both"/>
        <w:rPr>
          <w:rFonts w:ascii="Times New Roman" w:hAnsi="Times New Roman" w:cs="Times New Roman"/>
          <w:sz w:val="24"/>
          <w:szCs w:val="24"/>
          <w:lang w:val="sq-AL"/>
        </w:rPr>
      </w:pPr>
    </w:p>
    <w:p w:rsidR="00046AB7" w:rsidRPr="00F85F05" w:rsidRDefault="00046AB7" w:rsidP="00F85F05">
      <w:pPr>
        <w:jc w:val="both"/>
        <w:rPr>
          <w:rFonts w:ascii="Times New Roman" w:hAnsi="Times New Roman" w:cs="Times New Roman"/>
          <w:color w:val="000000"/>
          <w:sz w:val="24"/>
          <w:szCs w:val="24"/>
          <w:lang w:val="sq-AL"/>
        </w:rPr>
      </w:pPr>
      <w:r w:rsidRPr="00F85F05">
        <w:rPr>
          <w:rFonts w:ascii="Times New Roman" w:hAnsi="Times New Roman" w:cs="Times New Roman"/>
          <w:b/>
          <w:i/>
          <w:sz w:val="24"/>
          <w:szCs w:val="24"/>
          <w:u w:val="single"/>
          <w:lang w:val="sq-AL"/>
        </w:rPr>
        <w:t xml:space="preserve">Duke iu referuar dispozitave të ligjit “Për përgjegjësinë penale të personave juridikë”, vihet re një mangësi në rregullimin e situatës së mosekzekutimit të dënimit me gjobë nga personi </w:t>
      </w:r>
      <w:r w:rsidRPr="00F85F05">
        <w:rPr>
          <w:rFonts w:ascii="Times New Roman" w:hAnsi="Times New Roman" w:cs="Times New Roman"/>
          <w:b/>
          <w:i/>
          <w:sz w:val="24"/>
          <w:szCs w:val="24"/>
          <w:u w:val="single"/>
          <w:lang w:val="sq-AL"/>
        </w:rPr>
        <w:lastRenderedPageBreak/>
        <w:t>juridik.</w:t>
      </w:r>
      <w:r w:rsidRPr="00F85F05">
        <w:rPr>
          <w:rFonts w:ascii="Times New Roman" w:hAnsi="Times New Roman" w:cs="Times New Roman"/>
          <w:sz w:val="24"/>
          <w:szCs w:val="24"/>
          <w:lang w:val="sq-AL"/>
        </w:rPr>
        <w:t xml:space="preserve"> Në praktikë mund të krijohen situate të tilla që personi juridik i dënuar me gjobë, t’i shmanget pagimit të saj. Në rastin e dënimit të një personi fizik çështja është më e thjeshtë, pasi parashikohet shprehimisht se në rast mospagimi të gjobës do të bëhet konvertimi i dënimit me gjobë në dënim me burgim</w:t>
      </w:r>
      <w:r w:rsidRPr="00F85F05">
        <w:rPr>
          <w:rStyle w:val="FootnoteReference"/>
          <w:rFonts w:ascii="Times New Roman" w:hAnsi="Times New Roman" w:cs="Times New Roman"/>
          <w:sz w:val="24"/>
          <w:szCs w:val="24"/>
          <w:lang w:val="sq-AL"/>
        </w:rPr>
        <w:footnoteReference w:id="6"/>
      </w:r>
      <w:r w:rsidRPr="00F85F05">
        <w:rPr>
          <w:rFonts w:ascii="Times New Roman" w:hAnsi="Times New Roman" w:cs="Times New Roman"/>
          <w:sz w:val="24"/>
          <w:szCs w:val="24"/>
          <w:lang w:val="sq-AL"/>
        </w:rPr>
        <w:t xml:space="preserve">. </w:t>
      </w:r>
      <w:r w:rsidRPr="00F85F05">
        <w:rPr>
          <w:rFonts w:ascii="Times New Roman" w:hAnsi="Times New Roman" w:cs="Times New Roman"/>
          <w:color w:val="000000"/>
          <w:sz w:val="24"/>
          <w:szCs w:val="24"/>
        </w:rPr>
        <w:t>Ligji yne nuk njeh konvertimin e denimit me gjobe me lloj tjeter denimi ne rastet kur personi juridik nuk e permbush denimin me gjobe.  Prandaj, sa më sipër është më e mundshme për kushtet e Shqipërisë, të praktikohet ekzekutimi forcërisht i dënimit me gjobë, siç është parashikuar dhe nga ligji kroat, duke vendosur sekuestrimin mbi pasuritë e personit juridik, në masën e nevojshme për ekzekutimin e dënimit me gjobë të tij. Në rast se pasuritë e sekuestruara të personit juridik nuk janë të mjaftueshme për ekzekutimin e dënimit të tij me gjobë, atëherë është e justifikueshme që ndaj tij, kreditori, në këtë rast shteti, të kërkonte hapjen e procedurës së falimentimit sipas rregullave të parashikuara nga ligji “Për falimentimin”. Në këtë mënyrë, indirekt edhe në legjislacionin shqiptar pranohet konvertimi i dënimit me gjobë me një dënim tjetër dhe konkretisht, me mbarimin indirekt të personit juridik.</w:t>
      </w:r>
    </w:p>
    <w:p w:rsidR="00046AB7" w:rsidRPr="00F85F05" w:rsidRDefault="00046AB7" w:rsidP="00F85F05">
      <w:pPr>
        <w:jc w:val="both"/>
        <w:rPr>
          <w:rFonts w:ascii="Times New Roman" w:hAnsi="Times New Roman" w:cs="Times New Roman"/>
          <w:sz w:val="24"/>
          <w:szCs w:val="24"/>
          <w:lang w:val="sq-AL"/>
        </w:rPr>
      </w:pPr>
      <w:r w:rsidRPr="00F85F05">
        <w:rPr>
          <w:rFonts w:ascii="Times New Roman" w:hAnsi="Times New Roman" w:cs="Times New Roman"/>
          <w:b/>
          <w:i/>
          <w:sz w:val="24"/>
          <w:szCs w:val="24"/>
          <w:u w:val="single"/>
        </w:rPr>
        <w:t>Nje shqetesim në zbatimin e dënimit të mbarimit të personit juridik, eshte mundesia e ortakeve te personit juridik te denuar, te rikrijojne nje person juridik te ri</w:t>
      </w:r>
      <w:r w:rsidRPr="00F85F05">
        <w:rPr>
          <w:rFonts w:ascii="Times New Roman" w:hAnsi="Times New Roman" w:cs="Times New Roman"/>
          <w:sz w:val="24"/>
          <w:szCs w:val="24"/>
        </w:rPr>
        <w:t xml:space="preserve">. Pra nje ortak i nje personi juridik të dënuar, mund të krijojë një person juridik tjeter, i cili ushtron të njëjtën veprimtari si personi juridik i denuar, edhe duke i vendosur një emër të ndryshëm nga i pari. Atëherë normalisht do të ngrihej pyetja: Ku qëndron qëllimi i dënimit penal, mbarimi i personit juridik, konkretisht ai I mundesise te heqe nga tregu nje shoqeri tregtare e cila ne menyre flagrante shkel rregullat e komunitetit? </w:t>
      </w:r>
    </w:p>
    <w:p w:rsidR="00046AB7" w:rsidRPr="00F85F05" w:rsidRDefault="00046AB7" w:rsidP="00F85F05">
      <w:pPr>
        <w:jc w:val="both"/>
        <w:rPr>
          <w:rFonts w:ascii="Times New Roman" w:hAnsi="Times New Roman" w:cs="Times New Roman"/>
          <w:sz w:val="24"/>
          <w:szCs w:val="24"/>
          <w:lang w:val="sq-AL"/>
        </w:rPr>
      </w:pPr>
      <w:r w:rsidRPr="00F85F05">
        <w:rPr>
          <w:rFonts w:ascii="Times New Roman" w:hAnsi="Times New Roman" w:cs="Times New Roman"/>
          <w:sz w:val="24"/>
          <w:szCs w:val="24"/>
        </w:rPr>
        <w:t xml:space="preserve">Në disa shtete, si mënyrë zgjedhjeje për parandalimin e rikrijimit të personit juridik, është parashikuar </w:t>
      </w:r>
      <w:r w:rsidRPr="00F85F05">
        <w:rPr>
          <w:rFonts w:ascii="Times New Roman" w:hAnsi="Times New Roman" w:cs="Times New Roman"/>
          <w:i/>
          <w:sz w:val="24"/>
          <w:szCs w:val="24"/>
        </w:rPr>
        <w:t>“detyrimi i gjykatës të shprehet në lidhje me dënimin për ndalimin e ortakëve për të rikrijuar një person juridik të ri në një afat të caktuar dhe ndalimin e administratorëve për të drejtuar një person juridik të ri. Ky qëndrim shkon dhe më tej duke propozuar dhe mundësinë që mund të shprehet në vendim se pavarësisht se nuk vërtetohet fajësia e personit fizik (ortak apo administrator i personit juridik), janë rrethanat të tilla që nuk e lejojnë atë të rikrijojë një person juridik të ri për një periudhë të caktuar kohe</w:t>
      </w:r>
      <w:r w:rsidRPr="00F85F05">
        <w:rPr>
          <w:rStyle w:val="FootnoteReference"/>
          <w:rFonts w:ascii="Times New Roman" w:hAnsi="Times New Roman" w:cs="Times New Roman"/>
          <w:i/>
          <w:sz w:val="24"/>
          <w:szCs w:val="24"/>
        </w:rPr>
        <w:footnoteReference w:id="7"/>
      </w:r>
      <w:r w:rsidRPr="00F85F05">
        <w:rPr>
          <w:rFonts w:ascii="Times New Roman" w:hAnsi="Times New Roman" w:cs="Times New Roman"/>
          <w:i/>
          <w:sz w:val="24"/>
          <w:szCs w:val="24"/>
        </w:rPr>
        <w:t xml:space="preserve">. Në këtë mënyrë nuk cenohet as e drejta kushtetuese e individëve për tu organizuar. Gjithsesi gjykata me vendimin që ndalon ortakët të rikrijojnë një person juridik të ri i ndalon ata vetëm në rikrijimin e një personi juridik i cili ka si qëllim të kryejë të njëjtin aktivitet si personi juridik që mbaroi. Po kështu mund të ndalohen ortakët e shoqërisë tregtare të dënuar të përfitojnë ndonjë të mirë ose interes nga ndonjë person juridik tjetër i cili kryen të njëjtin aktivitet si personi juridik i mbaruar”. </w:t>
      </w:r>
    </w:p>
    <w:p w:rsidR="00046AB7" w:rsidRPr="00F85F05" w:rsidRDefault="00046AB7" w:rsidP="00F85F05">
      <w:pPr>
        <w:jc w:val="both"/>
        <w:rPr>
          <w:rFonts w:ascii="Times New Roman" w:hAnsi="Times New Roman" w:cs="Times New Roman"/>
          <w:sz w:val="24"/>
          <w:szCs w:val="24"/>
          <w:lang w:val="sq-AL"/>
        </w:rPr>
      </w:pPr>
      <w:r w:rsidRPr="00F85F05">
        <w:rPr>
          <w:rFonts w:ascii="Times New Roman" w:hAnsi="Times New Roman" w:cs="Times New Roman"/>
          <w:sz w:val="24"/>
          <w:szCs w:val="24"/>
        </w:rPr>
        <w:t xml:space="preserve">Por normalisht një vendim i tillë mund te shikohet si nje cenim të së drejtës për tu organizuar, të parashikuar nga neni 45 i Kushtetutës së Republikës së Shqipërisë. Një qëndrim i tillë është i mbështetur deri në pjesën ku, kjo e drejtë mund të cenohet si rrjedhojë e një dënimi penal, ndaj personit fizik, gjithmonë si pasojë e faktit se ai është gjetur fajtor, për një vepër penale </w:t>
      </w:r>
      <w:r w:rsidRPr="00F85F05">
        <w:rPr>
          <w:rFonts w:ascii="Times New Roman" w:hAnsi="Times New Roman" w:cs="Times New Roman"/>
          <w:sz w:val="24"/>
          <w:szCs w:val="24"/>
        </w:rPr>
        <w:lastRenderedPageBreak/>
        <w:t xml:space="preserve">që lidhet me veprimtarinë që ai ushtron pranë një personi juridik. Ky dënim njihet dhe nga Kodi Penal i Republikës së Shqipërisë, si një dënim plotësues, por si një dënim i përkohshëm. Pra është e papranueshme të pranosh që një person fizik, fajësia e të cilit nuk është provuar, të dënohet duke i cenuar një të drejtë kushtetuese, të drejtën e organizimit, e drejtë e cila mund të kufizohet vetëm me një dënim penal, me qëllim për të mbrojtur interesin e përgjithshëm publik. Kështu, marrim si shembull, një person fizik, i cili është njëkohësisht ortak në më shumë se një person juridik, të cilët ushtrojnë të njëjtin objekt veprimtarie. Rezulton se njëri nga personat juridik, ushtron veprimtari të kundërligjshme dhe dënohet me mbarimin e tij, ndërkohë që personi juridik tjetër me të njëjtin ortak si personi juridik i parë, kryen veprimtari të ligjshme. Nëse do të pranonim mendimin e mbajtur në raportin e mësipërm, atëherë pasojat e dënimit të personit juridik të dënuar, do të shtriheshin edhe mbi personin juridik tjetër i cili ushtron veprimtari të ligjshme. Nuk duhet harruar se këto persona juridikë, kanë personalitet juridik më vete, të pavarur nga anëtarët e tyre, dhe nga vetë njëri tjetri. Pra përgjegjësia penale është individuale, dhe si e tillë i takon vetëm autorit të së drejtës penale, pra në këtë rast të marrë si shembull, i takon vetëm personit juridik të dënuar. I njëjti arsyetim do të vlente edhe në rastin e rikrijimit të një personi juridik nga i njëjti ortak me të njëjtën veprimtari. Gjithsesi duhet patur parasysh se personi juridik që krijohet pas mbarimit të personit juridik të parë, është një person juridik i ri, me një personalitet juridik të ri dhe me kapitali të ndryshëm nga kapitali i personit juridik të dënuar, pasi ai ka kaluar në favor të shtetit. Sa më sipër, në rast se anëtarët e personit juridik të dënuar ose administratorët e tij, nuk janë dënuar me një nga dënimet plotësuese të parashikuara nga nenet 39 e 40 të Kodit Penal të Republikës së Shqipërisë, ata nuk mund të ndalohen të krijojnë një person juridik i cili ka të njëjtin objekt veprimtarie si personi juridik i dënuar. </w:t>
      </w:r>
    </w:p>
    <w:p w:rsidR="00F85F05" w:rsidRPr="00F85F05" w:rsidRDefault="00F85F05" w:rsidP="00F85F05">
      <w:pPr>
        <w:jc w:val="both"/>
        <w:rPr>
          <w:rFonts w:ascii="Times New Roman" w:hAnsi="Times New Roman" w:cs="Times New Roman"/>
          <w:sz w:val="24"/>
          <w:szCs w:val="24"/>
        </w:rPr>
      </w:pPr>
    </w:p>
    <w:p w:rsidR="00F85F05" w:rsidRPr="00F85F05" w:rsidRDefault="00F85F05" w:rsidP="00F85F05">
      <w:pPr>
        <w:jc w:val="both"/>
        <w:rPr>
          <w:rFonts w:ascii="Times New Roman" w:hAnsi="Times New Roman" w:cs="Times New Roman"/>
          <w:sz w:val="24"/>
          <w:szCs w:val="24"/>
        </w:rPr>
      </w:pPr>
    </w:p>
    <w:p w:rsidR="00046AB7" w:rsidRPr="00F85F05" w:rsidRDefault="00F85F05" w:rsidP="00F85F05">
      <w:pPr>
        <w:jc w:val="both"/>
        <w:rPr>
          <w:rFonts w:ascii="Times New Roman" w:hAnsi="Times New Roman" w:cs="Times New Roman"/>
          <w:sz w:val="24"/>
          <w:szCs w:val="24"/>
        </w:rPr>
      </w:pPr>
      <w:r w:rsidRPr="00F85F05">
        <w:rPr>
          <w:rFonts w:ascii="Times New Roman" w:hAnsi="Times New Roman" w:cs="Times New Roman"/>
          <w:sz w:val="24"/>
          <w:szCs w:val="24"/>
        </w:rPr>
        <w:t>Ligji “Për përgjegjësinë penale të personave juridikë” nuk i parashikon veprat penale për të cilat mund të përgjigjet personi juridik gjë që e bën të dallojë nga legjislacionet e disa shteteve të tjera të cilat i parashikojnë shprehimisht veprat penale që mund të kryhen nga personi juridik, duke e lënë kështu të hapur mundësinë e aplikimit për çdo vepër penale, si e mundshme për tu kryer nga një person juridik.</w:t>
      </w:r>
    </w:p>
    <w:p w:rsidR="00F85F05" w:rsidRPr="00F85F05" w:rsidRDefault="00F85F05" w:rsidP="00F85F05">
      <w:pPr>
        <w:jc w:val="both"/>
        <w:rPr>
          <w:rFonts w:ascii="Times New Roman" w:hAnsi="Times New Roman" w:cs="Times New Roman"/>
          <w:sz w:val="24"/>
          <w:szCs w:val="24"/>
          <w:lang w:val="sq-AL"/>
        </w:rPr>
      </w:pPr>
      <w:r w:rsidRPr="00F85F05">
        <w:rPr>
          <w:rFonts w:ascii="Times New Roman" w:hAnsi="Times New Roman" w:cs="Times New Roman"/>
          <w:sz w:val="24"/>
          <w:szCs w:val="24"/>
        </w:rPr>
        <w:t>Nё ligjin “Për përgjegjësinë penale të personave juridikë</w:t>
      </w:r>
      <w:r w:rsidRPr="00F85F05">
        <w:rPr>
          <w:rStyle w:val="FootnoteReference"/>
          <w:rFonts w:ascii="Times New Roman" w:hAnsi="Times New Roman" w:cs="Times New Roman"/>
          <w:sz w:val="24"/>
          <w:szCs w:val="24"/>
          <w:lang w:val="it-IT"/>
        </w:rPr>
        <w:footnoteReference w:id="8"/>
      </w:r>
      <w:r w:rsidRPr="00F85F05">
        <w:rPr>
          <w:rFonts w:ascii="Times New Roman" w:hAnsi="Times New Roman" w:cs="Times New Roman"/>
          <w:sz w:val="24"/>
          <w:szCs w:val="24"/>
        </w:rPr>
        <w:t>” parashikohet vetëm një listim i llojeve të dënimeve penale për personat juridikë por ato nuk parashikohen për çdo vepër penale. Gjithsesi ligji ka përcaktuar kufijtë e dënimit penal ndaj personit juridik, duke u nisur nga rrezikshmëria e veprës penale. Sa më sipër, evidentohet në kufijtë e gjobave, ku ligji ka parashikuar katër nivele</w:t>
      </w:r>
      <w:r w:rsidRPr="00F85F05">
        <w:rPr>
          <w:rFonts w:ascii="Arial" w:hAnsi="Arial" w:cs="Arial"/>
          <w:sz w:val="16"/>
          <w:szCs w:val="16"/>
        </w:rPr>
        <w:t xml:space="preserve"> </w:t>
      </w:r>
      <w:r>
        <w:rPr>
          <w:rFonts w:ascii="Arial" w:hAnsi="Arial" w:cs="Arial"/>
          <w:sz w:val="16"/>
          <w:szCs w:val="16"/>
        </w:rPr>
        <w:t>gjobash</w:t>
      </w:r>
      <w:r w:rsidRPr="00F85F05">
        <w:rPr>
          <w:rFonts w:ascii="Times New Roman" w:hAnsi="Times New Roman" w:cs="Times New Roman"/>
          <w:sz w:val="24"/>
          <w:szCs w:val="24"/>
        </w:rPr>
        <w:t>, ku si kriter për caktimin e tyre është rrezikshmëria e veprës penale. Ndërkohë që parashikon dhe rastet kur mund të zbatohet dënimi tjetër kryesor, mbarimi i personit juridik. Për personat juridikë nuk përcaktohen veprat penale për të cilat mund të aplikohet dënimi konkret, duke u dalluar kështu nga caktimi i dënimit për personat fizikë i cili është më konciz dhe lë më pak hapësirë veprimi për diskrecionin e gjykatës.</w:t>
      </w:r>
    </w:p>
    <w:p w:rsidR="00F85F05" w:rsidRPr="00F85F05" w:rsidRDefault="00F85F05" w:rsidP="00F85F05">
      <w:pPr>
        <w:pStyle w:val="Paragrafi"/>
        <w:spacing w:line="276" w:lineRule="auto"/>
        <w:ind w:firstLine="0"/>
        <w:rPr>
          <w:rFonts w:ascii="Times New Roman" w:hAnsi="Times New Roman"/>
          <w:i/>
          <w:sz w:val="24"/>
          <w:szCs w:val="24"/>
          <w:lang w:val="sq-AL"/>
        </w:rPr>
      </w:pPr>
      <w:r w:rsidRPr="00F85F05">
        <w:rPr>
          <w:rFonts w:ascii="Times New Roman" w:hAnsi="Times New Roman"/>
          <w:sz w:val="24"/>
          <w:szCs w:val="24"/>
          <w:lang w:val="sq-AL"/>
        </w:rPr>
        <w:lastRenderedPageBreak/>
        <w:t xml:space="preserve">Në ligjin për përgjegjësinë penale të personit juridik është parashikuar shprehimisht se: </w:t>
      </w:r>
      <w:r w:rsidRPr="00F85F05">
        <w:rPr>
          <w:rFonts w:ascii="Times New Roman" w:hAnsi="Times New Roman"/>
          <w:i/>
          <w:sz w:val="24"/>
          <w:szCs w:val="24"/>
          <w:lang w:val="sq-AL"/>
        </w:rPr>
        <w:t>përveç sa parashikohet në dispozitat e pjesës së përgjithshme të Kodit Penal, dënimi i personave juridikë lehtësohet kur:</w:t>
      </w:r>
    </w:p>
    <w:p w:rsidR="00F85F05" w:rsidRPr="00F85F05" w:rsidRDefault="00F85F05" w:rsidP="00F85F05">
      <w:pPr>
        <w:pStyle w:val="Paragrafi"/>
        <w:numPr>
          <w:ilvl w:val="0"/>
          <w:numId w:val="12"/>
        </w:numPr>
        <w:spacing w:line="276" w:lineRule="auto"/>
        <w:rPr>
          <w:rFonts w:ascii="Times New Roman" w:hAnsi="Times New Roman"/>
          <w:i/>
          <w:sz w:val="24"/>
          <w:szCs w:val="24"/>
          <w:lang w:val="sq-AL"/>
        </w:rPr>
      </w:pPr>
      <w:r w:rsidRPr="00F85F05">
        <w:rPr>
          <w:rFonts w:ascii="Times New Roman" w:hAnsi="Times New Roman"/>
          <w:i/>
          <w:sz w:val="24"/>
          <w:szCs w:val="24"/>
          <w:lang w:val="sq-AL"/>
        </w:rPr>
        <w:t>Personi juridik ka shlyer plotësisht dëmin dhe ka eliminuar pasojat e dëmshme ose të rrezikshme të veprës penale;</w:t>
      </w:r>
    </w:p>
    <w:p w:rsidR="00F85F05" w:rsidRPr="00F85F05" w:rsidRDefault="00F85F05" w:rsidP="00F85F05">
      <w:pPr>
        <w:pStyle w:val="Paragrafi"/>
        <w:numPr>
          <w:ilvl w:val="0"/>
          <w:numId w:val="12"/>
        </w:numPr>
        <w:spacing w:line="276" w:lineRule="auto"/>
        <w:rPr>
          <w:rFonts w:ascii="Times New Roman" w:hAnsi="Times New Roman"/>
          <w:i/>
          <w:sz w:val="24"/>
          <w:szCs w:val="24"/>
          <w:lang w:val="sq-AL"/>
        </w:rPr>
      </w:pPr>
      <w:r w:rsidRPr="00F85F05">
        <w:rPr>
          <w:rFonts w:ascii="Times New Roman" w:hAnsi="Times New Roman"/>
          <w:i/>
          <w:sz w:val="24"/>
          <w:szCs w:val="24"/>
          <w:lang w:val="sq-AL"/>
        </w:rPr>
        <w:t>Personi juridik ka eliminuar mangësitë organizative, që kanë sjellë si pasojë veprën penale, nëpërmjet zbatimit të modeleve organizative, të përshtatshme për parandalimin e veprës penale;</w:t>
      </w:r>
    </w:p>
    <w:p w:rsidR="00F85F05" w:rsidRPr="00F85F05" w:rsidRDefault="00F85F05" w:rsidP="00F85F05">
      <w:pPr>
        <w:pStyle w:val="Paragrafi"/>
        <w:numPr>
          <w:ilvl w:val="0"/>
          <w:numId w:val="12"/>
        </w:numPr>
        <w:spacing w:line="276" w:lineRule="auto"/>
        <w:rPr>
          <w:rFonts w:ascii="Times New Roman" w:hAnsi="Times New Roman"/>
          <w:i/>
          <w:sz w:val="24"/>
          <w:szCs w:val="24"/>
          <w:lang w:val="sq-AL"/>
        </w:rPr>
      </w:pPr>
      <w:r w:rsidRPr="00F85F05">
        <w:rPr>
          <w:rFonts w:ascii="Times New Roman" w:hAnsi="Times New Roman"/>
          <w:i/>
          <w:sz w:val="24"/>
          <w:szCs w:val="24"/>
          <w:lang w:val="sq-AL"/>
        </w:rPr>
        <w:t>Personi juridik ka vënë në dispozicion të ardhurat për qëllime konfiskimi.</w:t>
      </w:r>
    </w:p>
    <w:p w:rsidR="00F85F05" w:rsidRPr="00F85F05" w:rsidRDefault="00F85F05" w:rsidP="00F85F05">
      <w:pPr>
        <w:jc w:val="both"/>
        <w:rPr>
          <w:rFonts w:ascii="Times New Roman" w:hAnsi="Times New Roman" w:cs="Times New Roman"/>
          <w:sz w:val="24"/>
          <w:szCs w:val="24"/>
        </w:rPr>
      </w:pPr>
    </w:p>
    <w:sectPr w:rsidR="00F85F05" w:rsidRPr="00F85F0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56B" w:rsidRDefault="00CA256B" w:rsidP="00046AB7">
      <w:pPr>
        <w:spacing w:after="0" w:line="240" w:lineRule="auto"/>
      </w:pPr>
      <w:r>
        <w:separator/>
      </w:r>
    </w:p>
  </w:endnote>
  <w:endnote w:type="continuationSeparator" w:id="0">
    <w:p w:rsidR="00CA256B" w:rsidRDefault="00CA256B" w:rsidP="0004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panose1 w:val="02020603050405020304"/>
    <w:charset w:val="00"/>
    <w:family w:val="roman"/>
    <w:pitch w:val="variable"/>
    <w:sig w:usb0="00000003" w:usb1="00000000" w:usb2="00000000" w:usb3="00000000" w:csb0="00000001" w:csb1="00000000"/>
  </w:font>
  <w:font w:name="MyriadPro-Regular">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283483"/>
      <w:docPartObj>
        <w:docPartGallery w:val="Page Numbers (Bottom of Page)"/>
        <w:docPartUnique/>
      </w:docPartObj>
    </w:sdtPr>
    <w:sdtEndPr>
      <w:rPr>
        <w:noProof/>
      </w:rPr>
    </w:sdtEndPr>
    <w:sdtContent>
      <w:p w:rsidR="00F85F05" w:rsidRDefault="00F85F05">
        <w:pPr>
          <w:pStyle w:val="Footer"/>
          <w:jc w:val="right"/>
        </w:pPr>
        <w:r>
          <w:fldChar w:fldCharType="begin"/>
        </w:r>
        <w:r>
          <w:instrText xml:space="preserve"> PAGE   \* MERGEFORMAT </w:instrText>
        </w:r>
        <w:r>
          <w:fldChar w:fldCharType="separate"/>
        </w:r>
        <w:r w:rsidR="009740E5">
          <w:rPr>
            <w:noProof/>
          </w:rPr>
          <w:t>1</w:t>
        </w:r>
        <w:r>
          <w:rPr>
            <w:noProof/>
          </w:rPr>
          <w:fldChar w:fldCharType="end"/>
        </w:r>
      </w:p>
    </w:sdtContent>
  </w:sdt>
  <w:p w:rsidR="00F85F05" w:rsidRDefault="00F85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56B" w:rsidRDefault="00CA256B" w:rsidP="00046AB7">
      <w:pPr>
        <w:spacing w:after="0" w:line="240" w:lineRule="auto"/>
      </w:pPr>
      <w:r>
        <w:separator/>
      </w:r>
    </w:p>
  </w:footnote>
  <w:footnote w:type="continuationSeparator" w:id="0">
    <w:p w:rsidR="00CA256B" w:rsidRDefault="00CA256B" w:rsidP="00046AB7">
      <w:pPr>
        <w:spacing w:after="0" w:line="240" w:lineRule="auto"/>
      </w:pPr>
      <w:r>
        <w:continuationSeparator/>
      </w:r>
    </w:p>
  </w:footnote>
  <w:footnote w:id="1">
    <w:p w:rsidR="00046AB7" w:rsidRDefault="00046AB7" w:rsidP="00046AB7">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Valentina Kondili – E drejta civile, pjesa e përgjithshme, Botimet Maluka 2007, fq. 184</w:t>
      </w:r>
    </w:p>
  </w:footnote>
  <w:footnote w:id="2">
    <w:p w:rsidR="00046AB7" w:rsidRDefault="00046AB7" w:rsidP="00046AB7">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Përveç përfitimit monetar që mund të realizojë një person juridik, i cili mund të jetë edhe më i përgjithshëm, nuk përjashtohet edhe mundësia që vepra penale të kryhet në mënyrë që personi juridik të mund të përfitojë ndonjë të drejtë. Psh marrja e një licence, marrja pjesë në një tender publik, etj. </w:t>
      </w:r>
    </w:p>
  </w:footnote>
  <w:footnote w:id="3">
    <w:p w:rsidR="00F85F05" w:rsidRDefault="00F85F05" w:rsidP="00F85F0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Unitet States v Hilton Hotels Corporation</w:t>
      </w:r>
    </w:p>
  </w:footnote>
  <w:footnote w:id="4">
    <w:p w:rsidR="00F85F05" w:rsidRDefault="00F85F05" w:rsidP="00F85F0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I njëjti qëndrim është mbajtur nga gjykata amerikane edhe në çështjen United States v. Basic Construction Co. e vitit 1983</w:t>
      </w:r>
    </w:p>
  </w:footnote>
  <w:footnote w:id="5">
    <w:p w:rsidR="00046AB7" w:rsidRDefault="00046AB7" w:rsidP="00046AB7">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Neni 8 i ligjit Nr. 9754, datë 14.06.2007 “Për përgjegjësinë penale të personave juridikë”</w:t>
      </w:r>
    </w:p>
  </w:footnote>
  <w:footnote w:id="6">
    <w:p w:rsidR="00046AB7" w:rsidRPr="00046AB7" w:rsidRDefault="00046AB7" w:rsidP="00046AB7">
      <w:pPr>
        <w:pStyle w:val="Paragrafi"/>
        <w:ind w:firstLine="0"/>
        <w:rPr>
          <w:lang w:val="en-GB"/>
        </w:rPr>
      </w:pPr>
      <w:r>
        <w:rPr>
          <w:rStyle w:val="FootnoteReference"/>
        </w:rPr>
        <w:footnoteRef/>
      </w:r>
      <w:r>
        <w:t xml:space="preserve"> </w:t>
      </w:r>
      <w:r w:rsidRPr="00046AB7">
        <w:rPr>
          <w:rFonts w:ascii="Times New Roman" w:hAnsi="Times New Roman"/>
          <w:sz w:val="18"/>
          <w:szCs w:val="18"/>
          <w:lang w:val="sq-AL"/>
        </w:rPr>
        <w:t xml:space="preserve">Legjislacioni kroat, ka gjetur një zgjidhje tjetër për të rregulluar problemet që mund të lindin gjatë ekzekutimit të dënimit me gjobë, ndaj personit juridik, duke parashikuar </w:t>
      </w:r>
      <w:r w:rsidRPr="00046AB7">
        <w:rPr>
          <w:rFonts w:ascii="Times New Roman" w:hAnsi="Times New Roman"/>
          <w:color w:val="000000"/>
          <w:sz w:val="18"/>
          <w:szCs w:val="18"/>
          <w:lang w:val="sq-AL"/>
        </w:rPr>
        <w:t>se në rast se gjoba nuk paguhet nga personi juridik vullnetarisht brenda afatit të caktuar, atëherë dënimi do të ekzekutohet forcërisht.</w:t>
      </w:r>
    </w:p>
  </w:footnote>
  <w:footnote w:id="7">
    <w:p w:rsidR="00046AB7" w:rsidRDefault="00046AB7" w:rsidP="00046AB7">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hyperlink r:id="rId1" w:history="1">
        <w:r>
          <w:rPr>
            <w:rStyle w:val="Hyperlink"/>
            <w:rFonts w:ascii="Arial" w:hAnsi="Arial" w:cs="Arial"/>
            <w:sz w:val="16"/>
            <w:szCs w:val="16"/>
          </w:rPr>
          <w:t>http://www.lawlink.nsw.gov.au.lrc.nsf/pages/r102ind</w:t>
        </w:r>
      </w:hyperlink>
      <w:r>
        <w:rPr>
          <w:rFonts w:ascii="Arial" w:hAnsi="Arial" w:cs="Arial"/>
          <w:sz w:val="16"/>
          <w:szCs w:val="16"/>
        </w:rPr>
        <w:t xml:space="preserve"> - Report 102 (2003) – Sentencing: Corporate offenders, paragrafi 8.33, parë për herë të fundit më 20.04.2008</w:t>
      </w:r>
    </w:p>
  </w:footnote>
  <w:footnote w:id="8">
    <w:p w:rsidR="00F85F05" w:rsidRDefault="00F85F05" w:rsidP="00F85F0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Kjo është një karakteristikë për pjesën më të madhe të legjislacioneve të huaja. Përjashtim bën Franca e cila përgjegjësinë penale të personave juridikë e ka të inkorporuar në Kodin Penal dhe parashikon për  vepër penale të kryer nga personi juridik, llojin dhe masën e dënimit penal.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5F7A"/>
    <w:multiLevelType w:val="hybridMultilevel"/>
    <w:tmpl w:val="095E94F2"/>
    <w:lvl w:ilvl="0" w:tplc="9F82CC76">
      <w:start w:val="1"/>
      <w:numFmt w:val="bullet"/>
      <w:lvlText w:val="•"/>
      <w:lvlJc w:val="left"/>
      <w:pPr>
        <w:tabs>
          <w:tab w:val="num" w:pos="720"/>
        </w:tabs>
        <w:ind w:left="720" w:hanging="360"/>
      </w:pPr>
      <w:rPr>
        <w:rFonts w:ascii="Arial" w:hAnsi="Arial" w:hint="default"/>
      </w:rPr>
    </w:lvl>
    <w:lvl w:ilvl="1" w:tplc="5BDA15E8" w:tentative="1">
      <w:start w:val="1"/>
      <w:numFmt w:val="bullet"/>
      <w:lvlText w:val="•"/>
      <w:lvlJc w:val="left"/>
      <w:pPr>
        <w:tabs>
          <w:tab w:val="num" w:pos="1440"/>
        </w:tabs>
        <w:ind w:left="1440" w:hanging="360"/>
      </w:pPr>
      <w:rPr>
        <w:rFonts w:ascii="Arial" w:hAnsi="Arial" w:hint="default"/>
      </w:rPr>
    </w:lvl>
    <w:lvl w:ilvl="2" w:tplc="AF943776" w:tentative="1">
      <w:start w:val="1"/>
      <w:numFmt w:val="bullet"/>
      <w:lvlText w:val="•"/>
      <w:lvlJc w:val="left"/>
      <w:pPr>
        <w:tabs>
          <w:tab w:val="num" w:pos="2160"/>
        </w:tabs>
        <w:ind w:left="2160" w:hanging="360"/>
      </w:pPr>
      <w:rPr>
        <w:rFonts w:ascii="Arial" w:hAnsi="Arial" w:hint="default"/>
      </w:rPr>
    </w:lvl>
    <w:lvl w:ilvl="3" w:tplc="3CF01576" w:tentative="1">
      <w:start w:val="1"/>
      <w:numFmt w:val="bullet"/>
      <w:lvlText w:val="•"/>
      <w:lvlJc w:val="left"/>
      <w:pPr>
        <w:tabs>
          <w:tab w:val="num" w:pos="2880"/>
        </w:tabs>
        <w:ind w:left="2880" w:hanging="360"/>
      </w:pPr>
      <w:rPr>
        <w:rFonts w:ascii="Arial" w:hAnsi="Arial" w:hint="default"/>
      </w:rPr>
    </w:lvl>
    <w:lvl w:ilvl="4" w:tplc="9050AE94" w:tentative="1">
      <w:start w:val="1"/>
      <w:numFmt w:val="bullet"/>
      <w:lvlText w:val="•"/>
      <w:lvlJc w:val="left"/>
      <w:pPr>
        <w:tabs>
          <w:tab w:val="num" w:pos="3600"/>
        </w:tabs>
        <w:ind w:left="3600" w:hanging="360"/>
      </w:pPr>
      <w:rPr>
        <w:rFonts w:ascii="Arial" w:hAnsi="Arial" w:hint="default"/>
      </w:rPr>
    </w:lvl>
    <w:lvl w:ilvl="5" w:tplc="19DC5666" w:tentative="1">
      <w:start w:val="1"/>
      <w:numFmt w:val="bullet"/>
      <w:lvlText w:val="•"/>
      <w:lvlJc w:val="left"/>
      <w:pPr>
        <w:tabs>
          <w:tab w:val="num" w:pos="4320"/>
        </w:tabs>
        <w:ind w:left="4320" w:hanging="360"/>
      </w:pPr>
      <w:rPr>
        <w:rFonts w:ascii="Arial" w:hAnsi="Arial" w:hint="default"/>
      </w:rPr>
    </w:lvl>
    <w:lvl w:ilvl="6" w:tplc="18E2025E" w:tentative="1">
      <w:start w:val="1"/>
      <w:numFmt w:val="bullet"/>
      <w:lvlText w:val="•"/>
      <w:lvlJc w:val="left"/>
      <w:pPr>
        <w:tabs>
          <w:tab w:val="num" w:pos="5040"/>
        </w:tabs>
        <w:ind w:left="5040" w:hanging="360"/>
      </w:pPr>
      <w:rPr>
        <w:rFonts w:ascii="Arial" w:hAnsi="Arial" w:hint="default"/>
      </w:rPr>
    </w:lvl>
    <w:lvl w:ilvl="7" w:tplc="1828008A" w:tentative="1">
      <w:start w:val="1"/>
      <w:numFmt w:val="bullet"/>
      <w:lvlText w:val="•"/>
      <w:lvlJc w:val="left"/>
      <w:pPr>
        <w:tabs>
          <w:tab w:val="num" w:pos="5760"/>
        </w:tabs>
        <w:ind w:left="5760" w:hanging="360"/>
      </w:pPr>
      <w:rPr>
        <w:rFonts w:ascii="Arial" w:hAnsi="Arial" w:hint="default"/>
      </w:rPr>
    </w:lvl>
    <w:lvl w:ilvl="8" w:tplc="18B088DA" w:tentative="1">
      <w:start w:val="1"/>
      <w:numFmt w:val="bullet"/>
      <w:lvlText w:val="•"/>
      <w:lvlJc w:val="left"/>
      <w:pPr>
        <w:tabs>
          <w:tab w:val="num" w:pos="6480"/>
        </w:tabs>
        <w:ind w:left="6480" w:hanging="360"/>
      </w:pPr>
      <w:rPr>
        <w:rFonts w:ascii="Arial" w:hAnsi="Arial" w:hint="default"/>
      </w:rPr>
    </w:lvl>
  </w:abstractNum>
  <w:abstractNum w:abstractNumId="1">
    <w:nsid w:val="095C3B5E"/>
    <w:multiLevelType w:val="hybridMultilevel"/>
    <w:tmpl w:val="A6D48E1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EAD2DC4"/>
    <w:multiLevelType w:val="hybridMultilevel"/>
    <w:tmpl w:val="EF8C9204"/>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26F55BF"/>
    <w:multiLevelType w:val="hybridMultilevel"/>
    <w:tmpl w:val="B58C3AF4"/>
    <w:lvl w:ilvl="0" w:tplc="204C7F0E">
      <w:start w:val="1"/>
      <w:numFmt w:val="bullet"/>
      <w:lvlText w:val="•"/>
      <w:lvlJc w:val="left"/>
      <w:pPr>
        <w:tabs>
          <w:tab w:val="num" w:pos="720"/>
        </w:tabs>
        <w:ind w:left="720" w:hanging="360"/>
      </w:pPr>
      <w:rPr>
        <w:rFonts w:ascii="Arial" w:hAnsi="Arial" w:hint="default"/>
      </w:rPr>
    </w:lvl>
    <w:lvl w:ilvl="1" w:tplc="A4F4B3D6" w:tentative="1">
      <w:start w:val="1"/>
      <w:numFmt w:val="bullet"/>
      <w:lvlText w:val="•"/>
      <w:lvlJc w:val="left"/>
      <w:pPr>
        <w:tabs>
          <w:tab w:val="num" w:pos="1440"/>
        </w:tabs>
        <w:ind w:left="1440" w:hanging="360"/>
      </w:pPr>
      <w:rPr>
        <w:rFonts w:ascii="Arial" w:hAnsi="Arial" w:hint="default"/>
      </w:rPr>
    </w:lvl>
    <w:lvl w:ilvl="2" w:tplc="8F5C552C" w:tentative="1">
      <w:start w:val="1"/>
      <w:numFmt w:val="bullet"/>
      <w:lvlText w:val="•"/>
      <w:lvlJc w:val="left"/>
      <w:pPr>
        <w:tabs>
          <w:tab w:val="num" w:pos="2160"/>
        </w:tabs>
        <w:ind w:left="2160" w:hanging="360"/>
      </w:pPr>
      <w:rPr>
        <w:rFonts w:ascii="Arial" w:hAnsi="Arial" w:hint="default"/>
      </w:rPr>
    </w:lvl>
    <w:lvl w:ilvl="3" w:tplc="DEFAC758" w:tentative="1">
      <w:start w:val="1"/>
      <w:numFmt w:val="bullet"/>
      <w:lvlText w:val="•"/>
      <w:lvlJc w:val="left"/>
      <w:pPr>
        <w:tabs>
          <w:tab w:val="num" w:pos="2880"/>
        </w:tabs>
        <w:ind w:left="2880" w:hanging="360"/>
      </w:pPr>
      <w:rPr>
        <w:rFonts w:ascii="Arial" w:hAnsi="Arial" w:hint="default"/>
      </w:rPr>
    </w:lvl>
    <w:lvl w:ilvl="4" w:tplc="F58A3EA2" w:tentative="1">
      <w:start w:val="1"/>
      <w:numFmt w:val="bullet"/>
      <w:lvlText w:val="•"/>
      <w:lvlJc w:val="left"/>
      <w:pPr>
        <w:tabs>
          <w:tab w:val="num" w:pos="3600"/>
        </w:tabs>
        <w:ind w:left="3600" w:hanging="360"/>
      </w:pPr>
      <w:rPr>
        <w:rFonts w:ascii="Arial" w:hAnsi="Arial" w:hint="default"/>
      </w:rPr>
    </w:lvl>
    <w:lvl w:ilvl="5" w:tplc="4E0A574A" w:tentative="1">
      <w:start w:val="1"/>
      <w:numFmt w:val="bullet"/>
      <w:lvlText w:val="•"/>
      <w:lvlJc w:val="left"/>
      <w:pPr>
        <w:tabs>
          <w:tab w:val="num" w:pos="4320"/>
        </w:tabs>
        <w:ind w:left="4320" w:hanging="360"/>
      </w:pPr>
      <w:rPr>
        <w:rFonts w:ascii="Arial" w:hAnsi="Arial" w:hint="default"/>
      </w:rPr>
    </w:lvl>
    <w:lvl w:ilvl="6" w:tplc="2AE4F9C4" w:tentative="1">
      <w:start w:val="1"/>
      <w:numFmt w:val="bullet"/>
      <w:lvlText w:val="•"/>
      <w:lvlJc w:val="left"/>
      <w:pPr>
        <w:tabs>
          <w:tab w:val="num" w:pos="5040"/>
        </w:tabs>
        <w:ind w:left="5040" w:hanging="360"/>
      </w:pPr>
      <w:rPr>
        <w:rFonts w:ascii="Arial" w:hAnsi="Arial" w:hint="default"/>
      </w:rPr>
    </w:lvl>
    <w:lvl w:ilvl="7" w:tplc="7C44981C" w:tentative="1">
      <w:start w:val="1"/>
      <w:numFmt w:val="bullet"/>
      <w:lvlText w:val="•"/>
      <w:lvlJc w:val="left"/>
      <w:pPr>
        <w:tabs>
          <w:tab w:val="num" w:pos="5760"/>
        </w:tabs>
        <w:ind w:left="5760" w:hanging="360"/>
      </w:pPr>
      <w:rPr>
        <w:rFonts w:ascii="Arial" w:hAnsi="Arial" w:hint="default"/>
      </w:rPr>
    </w:lvl>
    <w:lvl w:ilvl="8" w:tplc="D47400D8" w:tentative="1">
      <w:start w:val="1"/>
      <w:numFmt w:val="bullet"/>
      <w:lvlText w:val="•"/>
      <w:lvlJc w:val="left"/>
      <w:pPr>
        <w:tabs>
          <w:tab w:val="num" w:pos="6480"/>
        </w:tabs>
        <w:ind w:left="6480" w:hanging="360"/>
      </w:pPr>
      <w:rPr>
        <w:rFonts w:ascii="Arial" w:hAnsi="Arial" w:hint="default"/>
      </w:rPr>
    </w:lvl>
  </w:abstractNum>
  <w:abstractNum w:abstractNumId="4">
    <w:nsid w:val="167424E0"/>
    <w:multiLevelType w:val="hybridMultilevel"/>
    <w:tmpl w:val="E47859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2C02A7"/>
    <w:multiLevelType w:val="hybridMultilevel"/>
    <w:tmpl w:val="C5386998"/>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14602FA"/>
    <w:multiLevelType w:val="hybridMultilevel"/>
    <w:tmpl w:val="D07242D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333714A5"/>
    <w:multiLevelType w:val="hybridMultilevel"/>
    <w:tmpl w:val="86E0D712"/>
    <w:lvl w:ilvl="0" w:tplc="6D4C741C">
      <w:start w:val="1"/>
      <w:numFmt w:val="bullet"/>
      <w:lvlText w:val="•"/>
      <w:lvlJc w:val="left"/>
      <w:pPr>
        <w:tabs>
          <w:tab w:val="num" w:pos="720"/>
        </w:tabs>
        <w:ind w:left="720" w:hanging="360"/>
      </w:pPr>
      <w:rPr>
        <w:rFonts w:ascii="Arial" w:hAnsi="Arial" w:hint="default"/>
      </w:rPr>
    </w:lvl>
    <w:lvl w:ilvl="1" w:tplc="E4F2D8F6" w:tentative="1">
      <w:start w:val="1"/>
      <w:numFmt w:val="bullet"/>
      <w:lvlText w:val="•"/>
      <w:lvlJc w:val="left"/>
      <w:pPr>
        <w:tabs>
          <w:tab w:val="num" w:pos="1440"/>
        </w:tabs>
        <w:ind w:left="1440" w:hanging="360"/>
      </w:pPr>
      <w:rPr>
        <w:rFonts w:ascii="Arial" w:hAnsi="Arial" w:hint="default"/>
      </w:rPr>
    </w:lvl>
    <w:lvl w:ilvl="2" w:tplc="038EAE62" w:tentative="1">
      <w:start w:val="1"/>
      <w:numFmt w:val="bullet"/>
      <w:lvlText w:val="•"/>
      <w:lvlJc w:val="left"/>
      <w:pPr>
        <w:tabs>
          <w:tab w:val="num" w:pos="2160"/>
        </w:tabs>
        <w:ind w:left="2160" w:hanging="360"/>
      </w:pPr>
      <w:rPr>
        <w:rFonts w:ascii="Arial" w:hAnsi="Arial" w:hint="default"/>
      </w:rPr>
    </w:lvl>
    <w:lvl w:ilvl="3" w:tplc="8F9E4640" w:tentative="1">
      <w:start w:val="1"/>
      <w:numFmt w:val="bullet"/>
      <w:lvlText w:val="•"/>
      <w:lvlJc w:val="left"/>
      <w:pPr>
        <w:tabs>
          <w:tab w:val="num" w:pos="2880"/>
        </w:tabs>
        <w:ind w:left="2880" w:hanging="360"/>
      </w:pPr>
      <w:rPr>
        <w:rFonts w:ascii="Arial" w:hAnsi="Arial" w:hint="default"/>
      </w:rPr>
    </w:lvl>
    <w:lvl w:ilvl="4" w:tplc="5F8270BC" w:tentative="1">
      <w:start w:val="1"/>
      <w:numFmt w:val="bullet"/>
      <w:lvlText w:val="•"/>
      <w:lvlJc w:val="left"/>
      <w:pPr>
        <w:tabs>
          <w:tab w:val="num" w:pos="3600"/>
        </w:tabs>
        <w:ind w:left="3600" w:hanging="360"/>
      </w:pPr>
      <w:rPr>
        <w:rFonts w:ascii="Arial" w:hAnsi="Arial" w:hint="default"/>
      </w:rPr>
    </w:lvl>
    <w:lvl w:ilvl="5" w:tplc="669A8D94" w:tentative="1">
      <w:start w:val="1"/>
      <w:numFmt w:val="bullet"/>
      <w:lvlText w:val="•"/>
      <w:lvlJc w:val="left"/>
      <w:pPr>
        <w:tabs>
          <w:tab w:val="num" w:pos="4320"/>
        </w:tabs>
        <w:ind w:left="4320" w:hanging="360"/>
      </w:pPr>
      <w:rPr>
        <w:rFonts w:ascii="Arial" w:hAnsi="Arial" w:hint="default"/>
      </w:rPr>
    </w:lvl>
    <w:lvl w:ilvl="6" w:tplc="F3A22514" w:tentative="1">
      <w:start w:val="1"/>
      <w:numFmt w:val="bullet"/>
      <w:lvlText w:val="•"/>
      <w:lvlJc w:val="left"/>
      <w:pPr>
        <w:tabs>
          <w:tab w:val="num" w:pos="5040"/>
        </w:tabs>
        <w:ind w:left="5040" w:hanging="360"/>
      </w:pPr>
      <w:rPr>
        <w:rFonts w:ascii="Arial" w:hAnsi="Arial" w:hint="default"/>
      </w:rPr>
    </w:lvl>
    <w:lvl w:ilvl="7" w:tplc="E1BC987E" w:tentative="1">
      <w:start w:val="1"/>
      <w:numFmt w:val="bullet"/>
      <w:lvlText w:val="•"/>
      <w:lvlJc w:val="left"/>
      <w:pPr>
        <w:tabs>
          <w:tab w:val="num" w:pos="5760"/>
        </w:tabs>
        <w:ind w:left="5760" w:hanging="360"/>
      </w:pPr>
      <w:rPr>
        <w:rFonts w:ascii="Arial" w:hAnsi="Arial" w:hint="default"/>
      </w:rPr>
    </w:lvl>
    <w:lvl w:ilvl="8" w:tplc="A072DE78" w:tentative="1">
      <w:start w:val="1"/>
      <w:numFmt w:val="bullet"/>
      <w:lvlText w:val="•"/>
      <w:lvlJc w:val="left"/>
      <w:pPr>
        <w:tabs>
          <w:tab w:val="num" w:pos="6480"/>
        </w:tabs>
        <w:ind w:left="6480" w:hanging="360"/>
      </w:pPr>
      <w:rPr>
        <w:rFonts w:ascii="Arial" w:hAnsi="Arial" w:hint="default"/>
      </w:rPr>
    </w:lvl>
  </w:abstractNum>
  <w:abstractNum w:abstractNumId="8">
    <w:nsid w:val="47D32F5D"/>
    <w:multiLevelType w:val="hybridMultilevel"/>
    <w:tmpl w:val="960A6C2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B222418"/>
    <w:multiLevelType w:val="hybridMultilevel"/>
    <w:tmpl w:val="D7D6A40E"/>
    <w:lvl w:ilvl="0" w:tplc="15D6162C">
      <w:start w:val="1"/>
      <w:numFmt w:val="bullet"/>
      <w:lvlText w:val="•"/>
      <w:lvlJc w:val="left"/>
      <w:pPr>
        <w:tabs>
          <w:tab w:val="num" w:pos="720"/>
        </w:tabs>
        <w:ind w:left="720" w:hanging="360"/>
      </w:pPr>
      <w:rPr>
        <w:rFonts w:ascii="Arial" w:hAnsi="Arial" w:hint="default"/>
      </w:rPr>
    </w:lvl>
    <w:lvl w:ilvl="1" w:tplc="EFCAD1A6" w:tentative="1">
      <w:start w:val="1"/>
      <w:numFmt w:val="bullet"/>
      <w:lvlText w:val="•"/>
      <w:lvlJc w:val="left"/>
      <w:pPr>
        <w:tabs>
          <w:tab w:val="num" w:pos="1440"/>
        </w:tabs>
        <w:ind w:left="1440" w:hanging="360"/>
      </w:pPr>
      <w:rPr>
        <w:rFonts w:ascii="Arial" w:hAnsi="Arial" w:hint="default"/>
      </w:rPr>
    </w:lvl>
    <w:lvl w:ilvl="2" w:tplc="58D67F90" w:tentative="1">
      <w:start w:val="1"/>
      <w:numFmt w:val="bullet"/>
      <w:lvlText w:val="•"/>
      <w:lvlJc w:val="left"/>
      <w:pPr>
        <w:tabs>
          <w:tab w:val="num" w:pos="2160"/>
        </w:tabs>
        <w:ind w:left="2160" w:hanging="360"/>
      </w:pPr>
      <w:rPr>
        <w:rFonts w:ascii="Arial" w:hAnsi="Arial" w:hint="default"/>
      </w:rPr>
    </w:lvl>
    <w:lvl w:ilvl="3" w:tplc="5A665CC2" w:tentative="1">
      <w:start w:val="1"/>
      <w:numFmt w:val="bullet"/>
      <w:lvlText w:val="•"/>
      <w:lvlJc w:val="left"/>
      <w:pPr>
        <w:tabs>
          <w:tab w:val="num" w:pos="2880"/>
        </w:tabs>
        <w:ind w:left="2880" w:hanging="360"/>
      </w:pPr>
      <w:rPr>
        <w:rFonts w:ascii="Arial" w:hAnsi="Arial" w:hint="default"/>
      </w:rPr>
    </w:lvl>
    <w:lvl w:ilvl="4" w:tplc="EDE659D4" w:tentative="1">
      <w:start w:val="1"/>
      <w:numFmt w:val="bullet"/>
      <w:lvlText w:val="•"/>
      <w:lvlJc w:val="left"/>
      <w:pPr>
        <w:tabs>
          <w:tab w:val="num" w:pos="3600"/>
        </w:tabs>
        <w:ind w:left="3600" w:hanging="360"/>
      </w:pPr>
      <w:rPr>
        <w:rFonts w:ascii="Arial" w:hAnsi="Arial" w:hint="default"/>
      </w:rPr>
    </w:lvl>
    <w:lvl w:ilvl="5" w:tplc="AA367C08" w:tentative="1">
      <w:start w:val="1"/>
      <w:numFmt w:val="bullet"/>
      <w:lvlText w:val="•"/>
      <w:lvlJc w:val="left"/>
      <w:pPr>
        <w:tabs>
          <w:tab w:val="num" w:pos="4320"/>
        </w:tabs>
        <w:ind w:left="4320" w:hanging="360"/>
      </w:pPr>
      <w:rPr>
        <w:rFonts w:ascii="Arial" w:hAnsi="Arial" w:hint="default"/>
      </w:rPr>
    </w:lvl>
    <w:lvl w:ilvl="6" w:tplc="C196328E" w:tentative="1">
      <w:start w:val="1"/>
      <w:numFmt w:val="bullet"/>
      <w:lvlText w:val="•"/>
      <w:lvlJc w:val="left"/>
      <w:pPr>
        <w:tabs>
          <w:tab w:val="num" w:pos="5040"/>
        </w:tabs>
        <w:ind w:left="5040" w:hanging="360"/>
      </w:pPr>
      <w:rPr>
        <w:rFonts w:ascii="Arial" w:hAnsi="Arial" w:hint="default"/>
      </w:rPr>
    </w:lvl>
    <w:lvl w:ilvl="7" w:tplc="EB9EAF9A" w:tentative="1">
      <w:start w:val="1"/>
      <w:numFmt w:val="bullet"/>
      <w:lvlText w:val="•"/>
      <w:lvlJc w:val="left"/>
      <w:pPr>
        <w:tabs>
          <w:tab w:val="num" w:pos="5760"/>
        </w:tabs>
        <w:ind w:left="5760" w:hanging="360"/>
      </w:pPr>
      <w:rPr>
        <w:rFonts w:ascii="Arial" w:hAnsi="Arial" w:hint="default"/>
      </w:rPr>
    </w:lvl>
    <w:lvl w:ilvl="8" w:tplc="33AEE4A2" w:tentative="1">
      <w:start w:val="1"/>
      <w:numFmt w:val="bullet"/>
      <w:lvlText w:val="•"/>
      <w:lvlJc w:val="left"/>
      <w:pPr>
        <w:tabs>
          <w:tab w:val="num" w:pos="6480"/>
        </w:tabs>
        <w:ind w:left="6480" w:hanging="360"/>
      </w:pPr>
      <w:rPr>
        <w:rFonts w:ascii="Arial" w:hAnsi="Arial" w:hint="default"/>
      </w:rPr>
    </w:lvl>
  </w:abstractNum>
  <w:abstractNum w:abstractNumId="10">
    <w:nsid w:val="5C015703"/>
    <w:multiLevelType w:val="hybridMultilevel"/>
    <w:tmpl w:val="9BA6DF3E"/>
    <w:lvl w:ilvl="0" w:tplc="F0F0E40E">
      <w:start w:val="1"/>
      <w:numFmt w:val="bullet"/>
      <w:lvlText w:val="•"/>
      <w:lvlJc w:val="left"/>
      <w:pPr>
        <w:tabs>
          <w:tab w:val="num" w:pos="720"/>
        </w:tabs>
        <w:ind w:left="720" w:hanging="360"/>
      </w:pPr>
      <w:rPr>
        <w:rFonts w:ascii="Arial" w:hAnsi="Arial" w:hint="default"/>
      </w:rPr>
    </w:lvl>
    <w:lvl w:ilvl="1" w:tplc="9C6A3524" w:tentative="1">
      <w:start w:val="1"/>
      <w:numFmt w:val="bullet"/>
      <w:lvlText w:val="•"/>
      <w:lvlJc w:val="left"/>
      <w:pPr>
        <w:tabs>
          <w:tab w:val="num" w:pos="1440"/>
        </w:tabs>
        <w:ind w:left="1440" w:hanging="360"/>
      </w:pPr>
      <w:rPr>
        <w:rFonts w:ascii="Arial" w:hAnsi="Arial" w:hint="default"/>
      </w:rPr>
    </w:lvl>
    <w:lvl w:ilvl="2" w:tplc="F4227F68" w:tentative="1">
      <w:start w:val="1"/>
      <w:numFmt w:val="bullet"/>
      <w:lvlText w:val="•"/>
      <w:lvlJc w:val="left"/>
      <w:pPr>
        <w:tabs>
          <w:tab w:val="num" w:pos="2160"/>
        </w:tabs>
        <w:ind w:left="2160" w:hanging="360"/>
      </w:pPr>
      <w:rPr>
        <w:rFonts w:ascii="Arial" w:hAnsi="Arial" w:hint="default"/>
      </w:rPr>
    </w:lvl>
    <w:lvl w:ilvl="3" w:tplc="484870B8" w:tentative="1">
      <w:start w:val="1"/>
      <w:numFmt w:val="bullet"/>
      <w:lvlText w:val="•"/>
      <w:lvlJc w:val="left"/>
      <w:pPr>
        <w:tabs>
          <w:tab w:val="num" w:pos="2880"/>
        </w:tabs>
        <w:ind w:left="2880" w:hanging="360"/>
      </w:pPr>
      <w:rPr>
        <w:rFonts w:ascii="Arial" w:hAnsi="Arial" w:hint="default"/>
      </w:rPr>
    </w:lvl>
    <w:lvl w:ilvl="4" w:tplc="AC384E48" w:tentative="1">
      <w:start w:val="1"/>
      <w:numFmt w:val="bullet"/>
      <w:lvlText w:val="•"/>
      <w:lvlJc w:val="left"/>
      <w:pPr>
        <w:tabs>
          <w:tab w:val="num" w:pos="3600"/>
        </w:tabs>
        <w:ind w:left="3600" w:hanging="360"/>
      </w:pPr>
      <w:rPr>
        <w:rFonts w:ascii="Arial" w:hAnsi="Arial" w:hint="default"/>
      </w:rPr>
    </w:lvl>
    <w:lvl w:ilvl="5" w:tplc="88140AF6" w:tentative="1">
      <w:start w:val="1"/>
      <w:numFmt w:val="bullet"/>
      <w:lvlText w:val="•"/>
      <w:lvlJc w:val="left"/>
      <w:pPr>
        <w:tabs>
          <w:tab w:val="num" w:pos="4320"/>
        </w:tabs>
        <w:ind w:left="4320" w:hanging="360"/>
      </w:pPr>
      <w:rPr>
        <w:rFonts w:ascii="Arial" w:hAnsi="Arial" w:hint="default"/>
      </w:rPr>
    </w:lvl>
    <w:lvl w:ilvl="6" w:tplc="C6C05066" w:tentative="1">
      <w:start w:val="1"/>
      <w:numFmt w:val="bullet"/>
      <w:lvlText w:val="•"/>
      <w:lvlJc w:val="left"/>
      <w:pPr>
        <w:tabs>
          <w:tab w:val="num" w:pos="5040"/>
        </w:tabs>
        <w:ind w:left="5040" w:hanging="360"/>
      </w:pPr>
      <w:rPr>
        <w:rFonts w:ascii="Arial" w:hAnsi="Arial" w:hint="default"/>
      </w:rPr>
    </w:lvl>
    <w:lvl w:ilvl="7" w:tplc="D486D602" w:tentative="1">
      <w:start w:val="1"/>
      <w:numFmt w:val="bullet"/>
      <w:lvlText w:val="•"/>
      <w:lvlJc w:val="left"/>
      <w:pPr>
        <w:tabs>
          <w:tab w:val="num" w:pos="5760"/>
        </w:tabs>
        <w:ind w:left="5760" w:hanging="360"/>
      </w:pPr>
      <w:rPr>
        <w:rFonts w:ascii="Arial" w:hAnsi="Arial" w:hint="default"/>
      </w:rPr>
    </w:lvl>
    <w:lvl w:ilvl="8" w:tplc="C3E24DEA" w:tentative="1">
      <w:start w:val="1"/>
      <w:numFmt w:val="bullet"/>
      <w:lvlText w:val="•"/>
      <w:lvlJc w:val="left"/>
      <w:pPr>
        <w:tabs>
          <w:tab w:val="num" w:pos="6480"/>
        </w:tabs>
        <w:ind w:left="6480" w:hanging="360"/>
      </w:pPr>
      <w:rPr>
        <w:rFonts w:ascii="Arial" w:hAnsi="Arial" w:hint="default"/>
      </w:rPr>
    </w:lvl>
  </w:abstractNum>
  <w:abstractNum w:abstractNumId="11">
    <w:nsid w:val="628C7305"/>
    <w:multiLevelType w:val="hybridMultilevel"/>
    <w:tmpl w:val="928C6A2A"/>
    <w:lvl w:ilvl="0" w:tplc="6038CBC6">
      <w:start w:val="1"/>
      <w:numFmt w:val="bullet"/>
      <w:lvlText w:val="•"/>
      <w:lvlJc w:val="left"/>
      <w:pPr>
        <w:tabs>
          <w:tab w:val="num" w:pos="720"/>
        </w:tabs>
        <w:ind w:left="720" w:hanging="360"/>
      </w:pPr>
      <w:rPr>
        <w:rFonts w:ascii="Arial" w:hAnsi="Arial" w:hint="default"/>
      </w:rPr>
    </w:lvl>
    <w:lvl w:ilvl="1" w:tplc="FF3A076A" w:tentative="1">
      <w:start w:val="1"/>
      <w:numFmt w:val="bullet"/>
      <w:lvlText w:val="•"/>
      <w:lvlJc w:val="left"/>
      <w:pPr>
        <w:tabs>
          <w:tab w:val="num" w:pos="1440"/>
        </w:tabs>
        <w:ind w:left="1440" w:hanging="360"/>
      </w:pPr>
      <w:rPr>
        <w:rFonts w:ascii="Arial" w:hAnsi="Arial" w:hint="default"/>
      </w:rPr>
    </w:lvl>
    <w:lvl w:ilvl="2" w:tplc="E46C9740" w:tentative="1">
      <w:start w:val="1"/>
      <w:numFmt w:val="bullet"/>
      <w:lvlText w:val="•"/>
      <w:lvlJc w:val="left"/>
      <w:pPr>
        <w:tabs>
          <w:tab w:val="num" w:pos="2160"/>
        </w:tabs>
        <w:ind w:left="2160" w:hanging="360"/>
      </w:pPr>
      <w:rPr>
        <w:rFonts w:ascii="Arial" w:hAnsi="Arial" w:hint="default"/>
      </w:rPr>
    </w:lvl>
    <w:lvl w:ilvl="3" w:tplc="D9AE665A" w:tentative="1">
      <w:start w:val="1"/>
      <w:numFmt w:val="bullet"/>
      <w:lvlText w:val="•"/>
      <w:lvlJc w:val="left"/>
      <w:pPr>
        <w:tabs>
          <w:tab w:val="num" w:pos="2880"/>
        </w:tabs>
        <w:ind w:left="2880" w:hanging="360"/>
      </w:pPr>
      <w:rPr>
        <w:rFonts w:ascii="Arial" w:hAnsi="Arial" w:hint="default"/>
      </w:rPr>
    </w:lvl>
    <w:lvl w:ilvl="4" w:tplc="EB9678EC" w:tentative="1">
      <w:start w:val="1"/>
      <w:numFmt w:val="bullet"/>
      <w:lvlText w:val="•"/>
      <w:lvlJc w:val="left"/>
      <w:pPr>
        <w:tabs>
          <w:tab w:val="num" w:pos="3600"/>
        </w:tabs>
        <w:ind w:left="3600" w:hanging="360"/>
      </w:pPr>
      <w:rPr>
        <w:rFonts w:ascii="Arial" w:hAnsi="Arial" w:hint="default"/>
      </w:rPr>
    </w:lvl>
    <w:lvl w:ilvl="5" w:tplc="76063008" w:tentative="1">
      <w:start w:val="1"/>
      <w:numFmt w:val="bullet"/>
      <w:lvlText w:val="•"/>
      <w:lvlJc w:val="left"/>
      <w:pPr>
        <w:tabs>
          <w:tab w:val="num" w:pos="4320"/>
        </w:tabs>
        <w:ind w:left="4320" w:hanging="360"/>
      </w:pPr>
      <w:rPr>
        <w:rFonts w:ascii="Arial" w:hAnsi="Arial" w:hint="default"/>
      </w:rPr>
    </w:lvl>
    <w:lvl w:ilvl="6" w:tplc="1A6277E0" w:tentative="1">
      <w:start w:val="1"/>
      <w:numFmt w:val="bullet"/>
      <w:lvlText w:val="•"/>
      <w:lvlJc w:val="left"/>
      <w:pPr>
        <w:tabs>
          <w:tab w:val="num" w:pos="5040"/>
        </w:tabs>
        <w:ind w:left="5040" w:hanging="360"/>
      </w:pPr>
      <w:rPr>
        <w:rFonts w:ascii="Arial" w:hAnsi="Arial" w:hint="default"/>
      </w:rPr>
    </w:lvl>
    <w:lvl w:ilvl="7" w:tplc="4FFAB3FA" w:tentative="1">
      <w:start w:val="1"/>
      <w:numFmt w:val="bullet"/>
      <w:lvlText w:val="•"/>
      <w:lvlJc w:val="left"/>
      <w:pPr>
        <w:tabs>
          <w:tab w:val="num" w:pos="5760"/>
        </w:tabs>
        <w:ind w:left="5760" w:hanging="360"/>
      </w:pPr>
      <w:rPr>
        <w:rFonts w:ascii="Arial" w:hAnsi="Arial" w:hint="default"/>
      </w:rPr>
    </w:lvl>
    <w:lvl w:ilvl="8" w:tplc="F500C06E" w:tentative="1">
      <w:start w:val="1"/>
      <w:numFmt w:val="bullet"/>
      <w:lvlText w:val="•"/>
      <w:lvlJc w:val="left"/>
      <w:pPr>
        <w:tabs>
          <w:tab w:val="num" w:pos="6480"/>
        </w:tabs>
        <w:ind w:left="6480" w:hanging="360"/>
      </w:pPr>
      <w:rPr>
        <w:rFonts w:ascii="Arial" w:hAnsi="Arial" w:hint="default"/>
      </w:rPr>
    </w:lvl>
  </w:abstractNum>
  <w:abstractNum w:abstractNumId="12">
    <w:nsid w:val="63E214CA"/>
    <w:multiLevelType w:val="hybridMultilevel"/>
    <w:tmpl w:val="59DCCF64"/>
    <w:lvl w:ilvl="0" w:tplc="A706201E">
      <w:start w:val="1"/>
      <w:numFmt w:val="bullet"/>
      <w:lvlText w:val="•"/>
      <w:lvlJc w:val="left"/>
      <w:pPr>
        <w:tabs>
          <w:tab w:val="num" w:pos="720"/>
        </w:tabs>
        <w:ind w:left="720" w:hanging="360"/>
      </w:pPr>
      <w:rPr>
        <w:rFonts w:ascii="Arial" w:hAnsi="Arial" w:hint="default"/>
      </w:rPr>
    </w:lvl>
    <w:lvl w:ilvl="1" w:tplc="9AA2C588" w:tentative="1">
      <w:start w:val="1"/>
      <w:numFmt w:val="bullet"/>
      <w:lvlText w:val="•"/>
      <w:lvlJc w:val="left"/>
      <w:pPr>
        <w:tabs>
          <w:tab w:val="num" w:pos="1440"/>
        </w:tabs>
        <w:ind w:left="1440" w:hanging="360"/>
      </w:pPr>
      <w:rPr>
        <w:rFonts w:ascii="Arial" w:hAnsi="Arial" w:hint="default"/>
      </w:rPr>
    </w:lvl>
    <w:lvl w:ilvl="2" w:tplc="91863C78" w:tentative="1">
      <w:start w:val="1"/>
      <w:numFmt w:val="bullet"/>
      <w:lvlText w:val="•"/>
      <w:lvlJc w:val="left"/>
      <w:pPr>
        <w:tabs>
          <w:tab w:val="num" w:pos="2160"/>
        </w:tabs>
        <w:ind w:left="2160" w:hanging="360"/>
      </w:pPr>
      <w:rPr>
        <w:rFonts w:ascii="Arial" w:hAnsi="Arial" w:hint="default"/>
      </w:rPr>
    </w:lvl>
    <w:lvl w:ilvl="3" w:tplc="232E070A" w:tentative="1">
      <w:start w:val="1"/>
      <w:numFmt w:val="bullet"/>
      <w:lvlText w:val="•"/>
      <w:lvlJc w:val="left"/>
      <w:pPr>
        <w:tabs>
          <w:tab w:val="num" w:pos="2880"/>
        </w:tabs>
        <w:ind w:left="2880" w:hanging="360"/>
      </w:pPr>
      <w:rPr>
        <w:rFonts w:ascii="Arial" w:hAnsi="Arial" w:hint="default"/>
      </w:rPr>
    </w:lvl>
    <w:lvl w:ilvl="4" w:tplc="47A28B32" w:tentative="1">
      <w:start w:val="1"/>
      <w:numFmt w:val="bullet"/>
      <w:lvlText w:val="•"/>
      <w:lvlJc w:val="left"/>
      <w:pPr>
        <w:tabs>
          <w:tab w:val="num" w:pos="3600"/>
        </w:tabs>
        <w:ind w:left="3600" w:hanging="360"/>
      </w:pPr>
      <w:rPr>
        <w:rFonts w:ascii="Arial" w:hAnsi="Arial" w:hint="default"/>
      </w:rPr>
    </w:lvl>
    <w:lvl w:ilvl="5" w:tplc="705AAD5C" w:tentative="1">
      <w:start w:val="1"/>
      <w:numFmt w:val="bullet"/>
      <w:lvlText w:val="•"/>
      <w:lvlJc w:val="left"/>
      <w:pPr>
        <w:tabs>
          <w:tab w:val="num" w:pos="4320"/>
        </w:tabs>
        <w:ind w:left="4320" w:hanging="360"/>
      </w:pPr>
      <w:rPr>
        <w:rFonts w:ascii="Arial" w:hAnsi="Arial" w:hint="default"/>
      </w:rPr>
    </w:lvl>
    <w:lvl w:ilvl="6" w:tplc="1BE448B6" w:tentative="1">
      <w:start w:val="1"/>
      <w:numFmt w:val="bullet"/>
      <w:lvlText w:val="•"/>
      <w:lvlJc w:val="left"/>
      <w:pPr>
        <w:tabs>
          <w:tab w:val="num" w:pos="5040"/>
        </w:tabs>
        <w:ind w:left="5040" w:hanging="360"/>
      </w:pPr>
      <w:rPr>
        <w:rFonts w:ascii="Arial" w:hAnsi="Arial" w:hint="default"/>
      </w:rPr>
    </w:lvl>
    <w:lvl w:ilvl="7" w:tplc="F496E06C" w:tentative="1">
      <w:start w:val="1"/>
      <w:numFmt w:val="bullet"/>
      <w:lvlText w:val="•"/>
      <w:lvlJc w:val="left"/>
      <w:pPr>
        <w:tabs>
          <w:tab w:val="num" w:pos="5760"/>
        </w:tabs>
        <w:ind w:left="5760" w:hanging="360"/>
      </w:pPr>
      <w:rPr>
        <w:rFonts w:ascii="Arial" w:hAnsi="Arial" w:hint="default"/>
      </w:rPr>
    </w:lvl>
    <w:lvl w:ilvl="8" w:tplc="1DD4A18A" w:tentative="1">
      <w:start w:val="1"/>
      <w:numFmt w:val="bullet"/>
      <w:lvlText w:val="•"/>
      <w:lvlJc w:val="left"/>
      <w:pPr>
        <w:tabs>
          <w:tab w:val="num" w:pos="6480"/>
        </w:tabs>
        <w:ind w:left="6480" w:hanging="360"/>
      </w:pPr>
      <w:rPr>
        <w:rFonts w:ascii="Arial" w:hAnsi="Arial" w:hint="default"/>
      </w:rPr>
    </w:lvl>
  </w:abstractNum>
  <w:abstractNum w:abstractNumId="13">
    <w:nsid w:val="6978650D"/>
    <w:multiLevelType w:val="hybridMultilevel"/>
    <w:tmpl w:val="FCA4CEC4"/>
    <w:lvl w:ilvl="0" w:tplc="B0203D96">
      <w:start w:val="1"/>
      <w:numFmt w:val="bullet"/>
      <w:lvlText w:val="•"/>
      <w:lvlJc w:val="left"/>
      <w:pPr>
        <w:tabs>
          <w:tab w:val="num" w:pos="720"/>
        </w:tabs>
        <w:ind w:left="720" w:hanging="360"/>
      </w:pPr>
      <w:rPr>
        <w:rFonts w:ascii="Arial" w:hAnsi="Arial" w:hint="default"/>
      </w:rPr>
    </w:lvl>
    <w:lvl w:ilvl="1" w:tplc="08AAD280" w:tentative="1">
      <w:start w:val="1"/>
      <w:numFmt w:val="bullet"/>
      <w:lvlText w:val="•"/>
      <w:lvlJc w:val="left"/>
      <w:pPr>
        <w:tabs>
          <w:tab w:val="num" w:pos="1440"/>
        </w:tabs>
        <w:ind w:left="1440" w:hanging="360"/>
      </w:pPr>
      <w:rPr>
        <w:rFonts w:ascii="Arial" w:hAnsi="Arial" w:hint="default"/>
      </w:rPr>
    </w:lvl>
    <w:lvl w:ilvl="2" w:tplc="F552D370" w:tentative="1">
      <w:start w:val="1"/>
      <w:numFmt w:val="bullet"/>
      <w:lvlText w:val="•"/>
      <w:lvlJc w:val="left"/>
      <w:pPr>
        <w:tabs>
          <w:tab w:val="num" w:pos="2160"/>
        </w:tabs>
        <w:ind w:left="2160" w:hanging="360"/>
      </w:pPr>
      <w:rPr>
        <w:rFonts w:ascii="Arial" w:hAnsi="Arial" w:hint="default"/>
      </w:rPr>
    </w:lvl>
    <w:lvl w:ilvl="3" w:tplc="1C6A5436" w:tentative="1">
      <w:start w:val="1"/>
      <w:numFmt w:val="bullet"/>
      <w:lvlText w:val="•"/>
      <w:lvlJc w:val="left"/>
      <w:pPr>
        <w:tabs>
          <w:tab w:val="num" w:pos="2880"/>
        </w:tabs>
        <w:ind w:left="2880" w:hanging="360"/>
      </w:pPr>
      <w:rPr>
        <w:rFonts w:ascii="Arial" w:hAnsi="Arial" w:hint="default"/>
      </w:rPr>
    </w:lvl>
    <w:lvl w:ilvl="4" w:tplc="0B2E23FC" w:tentative="1">
      <w:start w:val="1"/>
      <w:numFmt w:val="bullet"/>
      <w:lvlText w:val="•"/>
      <w:lvlJc w:val="left"/>
      <w:pPr>
        <w:tabs>
          <w:tab w:val="num" w:pos="3600"/>
        </w:tabs>
        <w:ind w:left="3600" w:hanging="360"/>
      </w:pPr>
      <w:rPr>
        <w:rFonts w:ascii="Arial" w:hAnsi="Arial" w:hint="default"/>
      </w:rPr>
    </w:lvl>
    <w:lvl w:ilvl="5" w:tplc="D24895D8" w:tentative="1">
      <w:start w:val="1"/>
      <w:numFmt w:val="bullet"/>
      <w:lvlText w:val="•"/>
      <w:lvlJc w:val="left"/>
      <w:pPr>
        <w:tabs>
          <w:tab w:val="num" w:pos="4320"/>
        </w:tabs>
        <w:ind w:left="4320" w:hanging="360"/>
      </w:pPr>
      <w:rPr>
        <w:rFonts w:ascii="Arial" w:hAnsi="Arial" w:hint="default"/>
      </w:rPr>
    </w:lvl>
    <w:lvl w:ilvl="6" w:tplc="027CD214" w:tentative="1">
      <w:start w:val="1"/>
      <w:numFmt w:val="bullet"/>
      <w:lvlText w:val="•"/>
      <w:lvlJc w:val="left"/>
      <w:pPr>
        <w:tabs>
          <w:tab w:val="num" w:pos="5040"/>
        </w:tabs>
        <w:ind w:left="5040" w:hanging="360"/>
      </w:pPr>
      <w:rPr>
        <w:rFonts w:ascii="Arial" w:hAnsi="Arial" w:hint="default"/>
      </w:rPr>
    </w:lvl>
    <w:lvl w:ilvl="7" w:tplc="026C5242" w:tentative="1">
      <w:start w:val="1"/>
      <w:numFmt w:val="bullet"/>
      <w:lvlText w:val="•"/>
      <w:lvlJc w:val="left"/>
      <w:pPr>
        <w:tabs>
          <w:tab w:val="num" w:pos="5760"/>
        </w:tabs>
        <w:ind w:left="5760" w:hanging="360"/>
      </w:pPr>
      <w:rPr>
        <w:rFonts w:ascii="Arial" w:hAnsi="Arial" w:hint="default"/>
      </w:rPr>
    </w:lvl>
    <w:lvl w:ilvl="8" w:tplc="2C3E9F4C" w:tentative="1">
      <w:start w:val="1"/>
      <w:numFmt w:val="bullet"/>
      <w:lvlText w:val="•"/>
      <w:lvlJc w:val="left"/>
      <w:pPr>
        <w:tabs>
          <w:tab w:val="num" w:pos="6480"/>
        </w:tabs>
        <w:ind w:left="6480" w:hanging="360"/>
      </w:pPr>
      <w:rPr>
        <w:rFonts w:ascii="Arial" w:hAnsi="Arial" w:hint="default"/>
      </w:rPr>
    </w:lvl>
  </w:abstractNum>
  <w:abstractNum w:abstractNumId="14">
    <w:nsid w:val="79F207CE"/>
    <w:multiLevelType w:val="hybridMultilevel"/>
    <w:tmpl w:val="2356F520"/>
    <w:lvl w:ilvl="0" w:tplc="68A874B2">
      <w:start w:val="1"/>
      <w:numFmt w:val="bullet"/>
      <w:lvlText w:val="•"/>
      <w:lvlJc w:val="left"/>
      <w:pPr>
        <w:tabs>
          <w:tab w:val="num" w:pos="720"/>
        </w:tabs>
        <w:ind w:left="720" w:hanging="360"/>
      </w:pPr>
      <w:rPr>
        <w:rFonts w:ascii="Arial" w:hAnsi="Arial" w:hint="default"/>
      </w:rPr>
    </w:lvl>
    <w:lvl w:ilvl="1" w:tplc="386E456A" w:tentative="1">
      <w:start w:val="1"/>
      <w:numFmt w:val="bullet"/>
      <w:lvlText w:val="•"/>
      <w:lvlJc w:val="left"/>
      <w:pPr>
        <w:tabs>
          <w:tab w:val="num" w:pos="1440"/>
        </w:tabs>
        <w:ind w:left="1440" w:hanging="360"/>
      </w:pPr>
      <w:rPr>
        <w:rFonts w:ascii="Arial" w:hAnsi="Arial" w:hint="default"/>
      </w:rPr>
    </w:lvl>
    <w:lvl w:ilvl="2" w:tplc="765C03E0" w:tentative="1">
      <w:start w:val="1"/>
      <w:numFmt w:val="bullet"/>
      <w:lvlText w:val="•"/>
      <w:lvlJc w:val="left"/>
      <w:pPr>
        <w:tabs>
          <w:tab w:val="num" w:pos="2160"/>
        </w:tabs>
        <w:ind w:left="2160" w:hanging="360"/>
      </w:pPr>
      <w:rPr>
        <w:rFonts w:ascii="Arial" w:hAnsi="Arial" w:hint="default"/>
      </w:rPr>
    </w:lvl>
    <w:lvl w:ilvl="3" w:tplc="ED986B9A" w:tentative="1">
      <w:start w:val="1"/>
      <w:numFmt w:val="bullet"/>
      <w:lvlText w:val="•"/>
      <w:lvlJc w:val="left"/>
      <w:pPr>
        <w:tabs>
          <w:tab w:val="num" w:pos="2880"/>
        </w:tabs>
        <w:ind w:left="2880" w:hanging="360"/>
      </w:pPr>
      <w:rPr>
        <w:rFonts w:ascii="Arial" w:hAnsi="Arial" w:hint="default"/>
      </w:rPr>
    </w:lvl>
    <w:lvl w:ilvl="4" w:tplc="8A5A2544" w:tentative="1">
      <w:start w:val="1"/>
      <w:numFmt w:val="bullet"/>
      <w:lvlText w:val="•"/>
      <w:lvlJc w:val="left"/>
      <w:pPr>
        <w:tabs>
          <w:tab w:val="num" w:pos="3600"/>
        </w:tabs>
        <w:ind w:left="3600" w:hanging="360"/>
      </w:pPr>
      <w:rPr>
        <w:rFonts w:ascii="Arial" w:hAnsi="Arial" w:hint="default"/>
      </w:rPr>
    </w:lvl>
    <w:lvl w:ilvl="5" w:tplc="ED5A5226" w:tentative="1">
      <w:start w:val="1"/>
      <w:numFmt w:val="bullet"/>
      <w:lvlText w:val="•"/>
      <w:lvlJc w:val="left"/>
      <w:pPr>
        <w:tabs>
          <w:tab w:val="num" w:pos="4320"/>
        </w:tabs>
        <w:ind w:left="4320" w:hanging="360"/>
      </w:pPr>
      <w:rPr>
        <w:rFonts w:ascii="Arial" w:hAnsi="Arial" w:hint="default"/>
      </w:rPr>
    </w:lvl>
    <w:lvl w:ilvl="6" w:tplc="EEEC771A" w:tentative="1">
      <w:start w:val="1"/>
      <w:numFmt w:val="bullet"/>
      <w:lvlText w:val="•"/>
      <w:lvlJc w:val="left"/>
      <w:pPr>
        <w:tabs>
          <w:tab w:val="num" w:pos="5040"/>
        </w:tabs>
        <w:ind w:left="5040" w:hanging="360"/>
      </w:pPr>
      <w:rPr>
        <w:rFonts w:ascii="Arial" w:hAnsi="Arial" w:hint="default"/>
      </w:rPr>
    </w:lvl>
    <w:lvl w:ilvl="7" w:tplc="AD56669C" w:tentative="1">
      <w:start w:val="1"/>
      <w:numFmt w:val="bullet"/>
      <w:lvlText w:val="•"/>
      <w:lvlJc w:val="left"/>
      <w:pPr>
        <w:tabs>
          <w:tab w:val="num" w:pos="5760"/>
        </w:tabs>
        <w:ind w:left="5760" w:hanging="360"/>
      </w:pPr>
      <w:rPr>
        <w:rFonts w:ascii="Arial" w:hAnsi="Arial" w:hint="default"/>
      </w:rPr>
    </w:lvl>
    <w:lvl w:ilvl="8" w:tplc="C4A237E2"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7"/>
  </w:num>
  <w:num w:numId="3">
    <w:abstractNumId w:val="3"/>
  </w:num>
  <w:num w:numId="4">
    <w:abstractNumId w:val="12"/>
  </w:num>
  <w:num w:numId="5">
    <w:abstractNumId w:val="10"/>
  </w:num>
  <w:num w:numId="6">
    <w:abstractNumId w:val="9"/>
  </w:num>
  <w:num w:numId="7">
    <w:abstractNumId w:val="0"/>
  </w:num>
  <w:num w:numId="8">
    <w:abstractNumId w:val="14"/>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C4F"/>
    <w:rsid w:val="00046AB7"/>
    <w:rsid w:val="001D3687"/>
    <w:rsid w:val="004572E5"/>
    <w:rsid w:val="004719B3"/>
    <w:rsid w:val="00533AE9"/>
    <w:rsid w:val="00536AC3"/>
    <w:rsid w:val="005F7C4F"/>
    <w:rsid w:val="00697424"/>
    <w:rsid w:val="007A72F8"/>
    <w:rsid w:val="007D19ED"/>
    <w:rsid w:val="0090467C"/>
    <w:rsid w:val="00954369"/>
    <w:rsid w:val="009740E5"/>
    <w:rsid w:val="00C22285"/>
    <w:rsid w:val="00CA256B"/>
    <w:rsid w:val="00CC62AC"/>
    <w:rsid w:val="00D6262E"/>
    <w:rsid w:val="00E20615"/>
    <w:rsid w:val="00EB621A"/>
    <w:rsid w:val="00F85F05"/>
    <w:rsid w:val="00FC2E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C4F"/>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046AB7"/>
    <w:rPr>
      <w:vertAlign w:val="superscript"/>
    </w:rPr>
  </w:style>
  <w:style w:type="paragraph" w:styleId="FootnoteText">
    <w:name w:val="footnote text"/>
    <w:basedOn w:val="Normal"/>
    <w:link w:val="FootnoteTextChar"/>
    <w:semiHidden/>
    <w:rsid w:val="00046AB7"/>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semiHidden/>
    <w:rsid w:val="00046AB7"/>
    <w:rPr>
      <w:rFonts w:ascii="Times New Roman" w:eastAsia="Times New Roman" w:hAnsi="Times New Roman" w:cs="Times New Roman"/>
      <w:sz w:val="20"/>
      <w:szCs w:val="20"/>
      <w:lang w:val="sq-AL"/>
    </w:rPr>
  </w:style>
  <w:style w:type="paragraph" w:styleId="ListParagraph">
    <w:name w:val="List Paragraph"/>
    <w:basedOn w:val="Normal"/>
    <w:uiPriority w:val="34"/>
    <w:qFormat/>
    <w:rsid w:val="00046AB7"/>
    <w:pPr>
      <w:ind w:left="720"/>
      <w:contextualSpacing/>
    </w:pPr>
  </w:style>
  <w:style w:type="paragraph" w:customStyle="1" w:styleId="Paragrafi">
    <w:name w:val="Paragrafi"/>
    <w:rsid w:val="00046AB7"/>
    <w:pPr>
      <w:widowControl w:val="0"/>
      <w:spacing w:after="0" w:line="240" w:lineRule="auto"/>
      <w:ind w:firstLine="720"/>
      <w:jc w:val="both"/>
    </w:pPr>
    <w:rPr>
      <w:rFonts w:ascii="CG Times" w:eastAsia="Times New Roman" w:hAnsi="CG Times" w:cs="Times New Roman"/>
      <w:szCs w:val="20"/>
      <w:lang w:val="en-US"/>
    </w:rPr>
  </w:style>
  <w:style w:type="character" w:styleId="Hyperlink">
    <w:name w:val="Hyperlink"/>
    <w:basedOn w:val="DefaultParagraphFont"/>
    <w:semiHidden/>
    <w:rsid w:val="00046AB7"/>
    <w:rPr>
      <w:color w:val="0000FF"/>
      <w:u w:val="single"/>
    </w:rPr>
  </w:style>
  <w:style w:type="paragraph" w:styleId="Header">
    <w:name w:val="header"/>
    <w:basedOn w:val="Normal"/>
    <w:link w:val="HeaderChar"/>
    <w:uiPriority w:val="99"/>
    <w:unhideWhenUsed/>
    <w:rsid w:val="00F85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F05"/>
    <w:rPr>
      <w:rFonts w:eastAsiaTheme="minorEastAsia"/>
      <w:lang w:val="en-US"/>
    </w:rPr>
  </w:style>
  <w:style w:type="paragraph" w:styleId="Footer">
    <w:name w:val="footer"/>
    <w:basedOn w:val="Normal"/>
    <w:link w:val="FooterChar"/>
    <w:uiPriority w:val="99"/>
    <w:unhideWhenUsed/>
    <w:rsid w:val="00F85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F05"/>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C4F"/>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046AB7"/>
    <w:rPr>
      <w:vertAlign w:val="superscript"/>
    </w:rPr>
  </w:style>
  <w:style w:type="paragraph" w:styleId="FootnoteText">
    <w:name w:val="footnote text"/>
    <w:basedOn w:val="Normal"/>
    <w:link w:val="FootnoteTextChar"/>
    <w:semiHidden/>
    <w:rsid w:val="00046AB7"/>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semiHidden/>
    <w:rsid w:val="00046AB7"/>
    <w:rPr>
      <w:rFonts w:ascii="Times New Roman" w:eastAsia="Times New Roman" w:hAnsi="Times New Roman" w:cs="Times New Roman"/>
      <w:sz w:val="20"/>
      <w:szCs w:val="20"/>
      <w:lang w:val="sq-AL"/>
    </w:rPr>
  </w:style>
  <w:style w:type="paragraph" w:styleId="ListParagraph">
    <w:name w:val="List Paragraph"/>
    <w:basedOn w:val="Normal"/>
    <w:uiPriority w:val="34"/>
    <w:qFormat/>
    <w:rsid w:val="00046AB7"/>
    <w:pPr>
      <w:ind w:left="720"/>
      <w:contextualSpacing/>
    </w:pPr>
  </w:style>
  <w:style w:type="paragraph" w:customStyle="1" w:styleId="Paragrafi">
    <w:name w:val="Paragrafi"/>
    <w:rsid w:val="00046AB7"/>
    <w:pPr>
      <w:widowControl w:val="0"/>
      <w:spacing w:after="0" w:line="240" w:lineRule="auto"/>
      <w:ind w:firstLine="720"/>
      <w:jc w:val="both"/>
    </w:pPr>
    <w:rPr>
      <w:rFonts w:ascii="CG Times" w:eastAsia="Times New Roman" w:hAnsi="CG Times" w:cs="Times New Roman"/>
      <w:szCs w:val="20"/>
      <w:lang w:val="en-US"/>
    </w:rPr>
  </w:style>
  <w:style w:type="character" w:styleId="Hyperlink">
    <w:name w:val="Hyperlink"/>
    <w:basedOn w:val="DefaultParagraphFont"/>
    <w:semiHidden/>
    <w:rsid w:val="00046AB7"/>
    <w:rPr>
      <w:color w:val="0000FF"/>
      <w:u w:val="single"/>
    </w:rPr>
  </w:style>
  <w:style w:type="paragraph" w:styleId="Header">
    <w:name w:val="header"/>
    <w:basedOn w:val="Normal"/>
    <w:link w:val="HeaderChar"/>
    <w:uiPriority w:val="99"/>
    <w:unhideWhenUsed/>
    <w:rsid w:val="00F85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F05"/>
    <w:rPr>
      <w:rFonts w:eastAsiaTheme="minorEastAsia"/>
      <w:lang w:val="en-US"/>
    </w:rPr>
  </w:style>
  <w:style w:type="paragraph" w:styleId="Footer">
    <w:name w:val="footer"/>
    <w:basedOn w:val="Normal"/>
    <w:link w:val="FooterChar"/>
    <w:uiPriority w:val="99"/>
    <w:unhideWhenUsed/>
    <w:rsid w:val="00F85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F05"/>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lawlink.nsw.gov.au.lrc.nsf/pages/r102i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A5CA4-58CF-479E-83F7-1AA33F9D3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4095</Words>
  <Characters>23342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2023-03-07T12:59:00Z</dcterms:created>
  <dcterms:modified xsi:type="dcterms:W3CDTF">2023-03-07T12:59:00Z</dcterms:modified>
</cp:coreProperties>
</file>