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8D304B" w14:textId="77777777" w:rsidR="008A2995" w:rsidRDefault="008A2995" w:rsidP="008A6652">
      <w:pPr>
        <w:pStyle w:val="Bodytext20"/>
        <w:shd w:val="clear" w:color="auto" w:fill="auto"/>
        <w:spacing w:before="0" w:after="242"/>
        <w:ind w:firstLine="0"/>
        <w:rPr>
          <w:b/>
          <w:bCs/>
          <w:i/>
          <w:iCs/>
          <w:sz w:val="24"/>
          <w:szCs w:val="24"/>
          <w:lang w:val="sq-AL"/>
        </w:rPr>
      </w:pPr>
      <w:bookmarkStart w:id="0" w:name="_GoBack"/>
      <w:bookmarkEnd w:id="0"/>
    </w:p>
    <w:p w14:paraId="34401EAA" w14:textId="67526F14" w:rsidR="00EC3B23" w:rsidRPr="008A6652" w:rsidRDefault="00EC3B23" w:rsidP="008A6652">
      <w:pPr>
        <w:pStyle w:val="Bodytext20"/>
        <w:shd w:val="clear" w:color="auto" w:fill="auto"/>
        <w:spacing w:before="0" w:after="242"/>
        <w:ind w:firstLine="0"/>
        <w:rPr>
          <w:b/>
          <w:bCs/>
          <w:i/>
          <w:iCs/>
          <w:sz w:val="24"/>
          <w:szCs w:val="24"/>
          <w:lang w:val="sq-AL"/>
        </w:rPr>
      </w:pPr>
      <w:r w:rsidRPr="008A6652">
        <w:rPr>
          <w:b/>
          <w:bCs/>
          <w:i/>
          <w:iCs/>
          <w:sz w:val="24"/>
          <w:szCs w:val="24"/>
          <w:lang w:val="sq-AL"/>
        </w:rPr>
        <w:t>Roli i Këshillit të Lartë Gjyqësor në garantimin e standardeve të etikës për gjyqtarët, aktet e miratuara dhe praktika e deritanishme.</w:t>
      </w:r>
    </w:p>
    <w:p w14:paraId="6C0D70AC" w14:textId="103C2D9D" w:rsidR="00EA313E" w:rsidRPr="008A6652" w:rsidRDefault="004B6B2F" w:rsidP="008A6652">
      <w:pPr>
        <w:pStyle w:val="Bodytext20"/>
        <w:shd w:val="clear" w:color="auto" w:fill="auto"/>
        <w:spacing w:before="0" w:after="242"/>
        <w:ind w:firstLine="0"/>
        <w:rPr>
          <w:color w:val="000000"/>
          <w:sz w:val="24"/>
          <w:szCs w:val="24"/>
          <w:lang w:val="sq-AL" w:eastAsia="sq-AL" w:bidi="sq-AL"/>
        </w:rPr>
      </w:pPr>
      <w:r>
        <w:rPr>
          <w:color w:val="000000"/>
          <w:sz w:val="24"/>
          <w:szCs w:val="24"/>
          <w:lang w:val="sq-AL" w:eastAsia="sq-AL" w:bidi="sq-AL"/>
        </w:rPr>
        <w:t>Ligjet organike p</w:t>
      </w:r>
      <w:r w:rsidR="00F65691">
        <w:rPr>
          <w:color w:val="000000"/>
          <w:sz w:val="24"/>
          <w:szCs w:val="24"/>
          <w:lang w:val="sq-AL" w:eastAsia="sq-AL" w:bidi="sq-AL"/>
        </w:rPr>
        <w:t>ë</w:t>
      </w:r>
      <w:r>
        <w:rPr>
          <w:color w:val="000000"/>
          <w:sz w:val="24"/>
          <w:szCs w:val="24"/>
          <w:lang w:val="sq-AL" w:eastAsia="sq-AL" w:bidi="sq-AL"/>
        </w:rPr>
        <w:t>rkat</w:t>
      </w:r>
      <w:r w:rsidR="00F65691">
        <w:rPr>
          <w:color w:val="000000"/>
          <w:sz w:val="24"/>
          <w:szCs w:val="24"/>
          <w:lang w:val="sq-AL" w:eastAsia="sq-AL" w:bidi="sq-AL"/>
        </w:rPr>
        <w:t>ë</w:t>
      </w:r>
      <w:r>
        <w:rPr>
          <w:color w:val="000000"/>
          <w:sz w:val="24"/>
          <w:szCs w:val="24"/>
          <w:lang w:val="sq-AL" w:eastAsia="sq-AL" w:bidi="sq-AL"/>
        </w:rPr>
        <w:t>se q</w:t>
      </w:r>
      <w:r w:rsidR="00F65691">
        <w:rPr>
          <w:color w:val="000000"/>
          <w:sz w:val="24"/>
          <w:szCs w:val="24"/>
          <w:lang w:val="sq-AL" w:eastAsia="sq-AL" w:bidi="sq-AL"/>
        </w:rPr>
        <w:t>ë</w:t>
      </w:r>
      <w:r>
        <w:rPr>
          <w:color w:val="000000"/>
          <w:sz w:val="24"/>
          <w:szCs w:val="24"/>
          <w:lang w:val="sq-AL" w:eastAsia="sq-AL" w:bidi="sq-AL"/>
        </w:rPr>
        <w:t xml:space="preserve"> rregullojn</w:t>
      </w:r>
      <w:r w:rsidR="00F65691">
        <w:rPr>
          <w:color w:val="000000"/>
          <w:sz w:val="24"/>
          <w:szCs w:val="24"/>
          <w:lang w:val="sq-AL" w:eastAsia="sq-AL" w:bidi="sq-AL"/>
        </w:rPr>
        <w:t>ë</w:t>
      </w:r>
      <w:r>
        <w:rPr>
          <w:color w:val="000000"/>
          <w:sz w:val="24"/>
          <w:szCs w:val="24"/>
          <w:lang w:val="sq-AL" w:eastAsia="sq-AL" w:bidi="sq-AL"/>
        </w:rPr>
        <w:t xml:space="preserve"> veprimtarin</w:t>
      </w:r>
      <w:r w:rsidR="00F65691">
        <w:rPr>
          <w:color w:val="000000"/>
          <w:sz w:val="24"/>
          <w:szCs w:val="24"/>
          <w:lang w:val="sq-AL" w:eastAsia="sq-AL" w:bidi="sq-AL"/>
        </w:rPr>
        <w:t>ë</w:t>
      </w:r>
      <w:r>
        <w:rPr>
          <w:color w:val="000000"/>
          <w:sz w:val="24"/>
          <w:szCs w:val="24"/>
          <w:lang w:val="sq-AL" w:eastAsia="sq-AL" w:bidi="sq-AL"/>
        </w:rPr>
        <w:t xml:space="preserve"> e K</w:t>
      </w:r>
      <w:r w:rsidR="00F65691">
        <w:rPr>
          <w:color w:val="000000"/>
          <w:sz w:val="24"/>
          <w:szCs w:val="24"/>
          <w:lang w:val="sq-AL" w:eastAsia="sq-AL" w:bidi="sq-AL"/>
        </w:rPr>
        <w:t>ë</w:t>
      </w:r>
      <w:r>
        <w:rPr>
          <w:color w:val="000000"/>
          <w:sz w:val="24"/>
          <w:szCs w:val="24"/>
          <w:lang w:val="sq-AL" w:eastAsia="sq-AL" w:bidi="sq-AL"/>
        </w:rPr>
        <w:t>shillit t</w:t>
      </w:r>
      <w:r w:rsidR="00F65691">
        <w:rPr>
          <w:color w:val="000000"/>
          <w:sz w:val="24"/>
          <w:szCs w:val="24"/>
          <w:lang w:val="sq-AL" w:eastAsia="sq-AL" w:bidi="sq-AL"/>
        </w:rPr>
        <w:t>ë</w:t>
      </w:r>
      <w:r>
        <w:rPr>
          <w:color w:val="000000"/>
          <w:sz w:val="24"/>
          <w:szCs w:val="24"/>
          <w:lang w:val="sq-AL" w:eastAsia="sq-AL" w:bidi="sq-AL"/>
        </w:rPr>
        <w:t xml:space="preserve"> Lart</w:t>
      </w:r>
      <w:r w:rsidR="00F65691">
        <w:rPr>
          <w:color w:val="000000"/>
          <w:sz w:val="24"/>
          <w:szCs w:val="24"/>
          <w:lang w:val="sq-AL" w:eastAsia="sq-AL" w:bidi="sq-AL"/>
        </w:rPr>
        <w:t>ë</w:t>
      </w:r>
      <w:r>
        <w:rPr>
          <w:color w:val="000000"/>
          <w:sz w:val="24"/>
          <w:szCs w:val="24"/>
          <w:lang w:val="sq-AL" w:eastAsia="sq-AL" w:bidi="sq-AL"/>
        </w:rPr>
        <w:t xml:space="preserve"> Gjyq</w:t>
      </w:r>
      <w:r w:rsidR="00F65691">
        <w:rPr>
          <w:color w:val="000000"/>
          <w:sz w:val="24"/>
          <w:szCs w:val="24"/>
          <w:lang w:val="sq-AL" w:eastAsia="sq-AL" w:bidi="sq-AL"/>
        </w:rPr>
        <w:t>ë</w:t>
      </w:r>
      <w:r>
        <w:rPr>
          <w:color w:val="000000"/>
          <w:sz w:val="24"/>
          <w:szCs w:val="24"/>
          <w:lang w:val="sq-AL" w:eastAsia="sq-AL" w:bidi="sq-AL"/>
        </w:rPr>
        <w:t>sor dhe statusin e gjyqtar</w:t>
      </w:r>
      <w:r w:rsidR="00F65691">
        <w:rPr>
          <w:color w:val="000000"/>
          <w:sz w:val="24"/>
          <w:szCs w:val="24"/>
          <w:lang w:val="sq-AL" w:eastAsia="sq-AL" w:bidi="sq-AL"/>
        </w:rPr>
        <w:t>ë</w:t>
      </w:r>
      <w:r>
        <w:rPr>
          <w:color w:val="000000"/>
          <w:sz w:val="24"/>
          <w:szCs w:val="24"/>
          <w:lang w:val="sq-AL" w:eastAsia="sq-AL" w:bidi="sq-AL"/>
        </w:rPr>
        <w:t xml:space="preserve">ve, </w:t>
      </w:r>
      <w:r w:rsidR="00D63460" w:rsidRPr="008A6652">
        <w:rPr>
          <w:color w:val="000000"/>
          <w:sz w:val="24"/>
          <w:szCs w:val="24"/>
          <w:lang w:val="sq-AL" w:eastAsia="sq-AL" w:bidi="sq-AL"/>
        </w:rPr>
        <w:t>ngarkojnë</w:t>
      </w:r>
      <w:r w:rsidR="00EA313E" w:rsidRPr="008A6652">
        <w:rPr>
          <w:color w:val="000000"/>
          <w:sz w:val="24"/>
          <w:szCs w:val="24"/>
          <w:lang w:val="sq-AL" w:eastAsia="sq-AL" w:bidi="sq-AL"/>
        </w:rPr>
        <w:t xml:space="preserve"> K</w:t>
      </w:r>
      <w:r w:rsidR="00D63460" w:rsidRPr="008A6652">
        <w:rPr>
          <w:color w:val="000000"/>
          <w:sz w:val="24"/>
          <w:szCs w:val="24"/>
          <w:lang w:val="sq-AL" w:eastAsia="sq-AL" w:bidi="sq-AL"/>
        </w:rPr>
        <w:t>ë</w:t>
      </w:r>
      <w:r w:rsidR="00EA313E" w:rsidRPr="008A6652">
        <w:rPr>
          <w:color w:val="000000"/>
          <w:sz w:val="24"/>
          <w:szCs w:val="24"/>
          <w:lang w:val="sq-AL" w:eastAsia="sq-AL" w:bidi="sq-AL"/>
        </w:rPr>
        <w:t>shillin, si organin qeveris</w:t>
      </w:r>
      <w:r w:rsidR="00D63460" w:rsidRPr="008A6652">
        <w:rPr>
          <w:color w:val="000000"/>
          <w:sz w:val="24"/>
          <w:szCs w:val="24"/>
          <w:lang w:val="sq-AL" w:eastAsia="sq-AL" w:bidi="sq-AL"/>
        </w:rPr>
        <w:t>ë</w:t>
      </w:r>
      <w:r w:rsidR="00EA313E" w:rsidRPr="008A6652">
        <w:rPr>
          <w:color w:val="000000"/>
          <w:sz w:val="24"/>
          <w:szCs w:val="24"/>
          <w:lang w:val="sq-AL" w:eastAsia="sq-AL" w:bidi="sq-AL"/>
        </w:rPr>
        <w:t>s t</w:t>
      </w:r>
      <w:r w:rsidR="00D63460" w:rsidRPr="008A6652">
        <w:rPr>
          <w:color w:val="000000"/>
          <w:sz w:val="24"/>
          <w:szCs w:val="24"/>
          <w:lang w:val="sq-AL" w:eastAsia="sq-AL" w:bidi="sq-AL"/>
        </w:rPr>
        <w:t>ë</w:t>
      </w:r>
      <w:r w:rsidR="00EA313E" w:rsidRPr="008A6652">
        <w:rPr>
          <w:color w:val="000000"/>
          <w:sz w:val="24"/>
          <w:szCs w:val="24"/>
          <w:lang w:val="sq-AL" w:eastAsia="sq-AL" w:bidi="sq-AL"/>
        </w:rPr>
        <w:t xml:space="preserve"> sistemit gjyq</w:t>
      </w:r>
      <w:r w:rsidR="00D63460" w:rsidRPr="008A6652">
        <w:rPr>
          <w:color w:val="000000"/>
          <w:sz w:val="24"/>
          <w:szCs w:val="24"/>
          <w:lang w:val="sq-AL" w:eastAsia="sq-AL" w:bidi="sq-AL"/>
        </w:rPr>
        <w:t>ë</w:t>
      </w:r>
      <w:r w:rsidR="00EA313E" w:rsidRPr="008A6652">
        <w:rPr>
          <w:color w:val="000000"/>
          <w:sz w:val="24"/>
          <w:szCs w:val="24"/>
          <w:lang w:val="sq-AL" w:eastAsia="sq-AL" w:bidi="sq-AL"/>
        </w:rPr>
        <w:t>sor</w:t>
      </w:r>
      <w:r w:rsidR="00D63460" w:rsidRPr="008A6652">
        <w:rPr>
          <w:color w:val="000000"/>
          <w:sz w:val="24"/>
          <w:szCs w:val="24"/>
          <w:lang w:val="sq-AL" w:eastAsia="sq-AL" w:bidi="sq-AL"/>
        </w:rPr>
        <w:t>,</w:t>
      </w:r>
      <w:r w:rsidR="00EA313E" w:rsidRPr="008A6652">
        <w:rPr>
          <w:sz w:val="24"/>
          <w:szCs w:val="24"/>
          <w:lang w:val="sq-AL"/>
        </w:rPr>
        <w:t xml:space="preserve"> si  përgjegjës për miratimin e standardeve të etikës gjyqësore dhe të rregullave të sjelljes të gjyqtarëve, si dhe për mbikëqyrjen e respektimit të tyre.</w:t>
      </w:r>
    </w:p>
    <w:p w14:paraId="5F87B770" w14:textId="77777777" w:rsidR="00A007E2" w:rsidRPr="008A6652" w:rsidRDefault="00A007E2" w:rsidP="008A6652">
      <w:pPr>
        <w:pStyle w:val="NoSpacing"/>
        <w:spacing w:line="276" w:lineRule="auto"/>
        <w:jc w:val="both"/>
        <w:rPr>
          <w:rFonts w:ascii="Times New Roman" w:hAnsi="Times New Roman" w:cs="Times New Roman"/>
          <w:sz w:val="24"/>
          <w:szCs w:val="24"/>
          <w:lang w:val="sq-AL"/>
        </w:rPr>
      </w:pPr>
    </w:p>
    <w:p w14:paraId="74953221" w14:textId="731B5598" w:rsidR="00D41A9D" w:rsidRPr="008A6652" w:rsidRDefault="00D41A9D" w:rsidP="008A6652">
      <w:pPr>
        <w:pStyle w:val="NoSpacing"/>
        <w:spacing w:line="276" w:lineRule="auto"/>
        <w:jc w:val="both"/>
        <w:rPr>
          <w:rFonts w:ascii="Times New Roman" w:hAnsi="Times New Roman" w:cs="Times New Roman"/>
          <w:sz w:val="24"/>
          <w:szCs w:val="24"/>
          <w:lang w:val="sq-AL"/>
        </w:rPr>
      </w:pPr>
      <w:r w:rsidRPr="008A6652">
        <w:rPr>
          <w:rFonts w:ascii="Times New Roman" w:hAnsi="Times New Roman" w:cs="Times New Roman"/>
          <w:sz w:val="24"/>
          <w:szCs w:val="24"/>
          <w:lang w:val="sq-AL"/>
        </w:rPr>
        <w:t>Për përmbushjen e këtyre përgjegjësive, Këshilli vepron me anë të:</w:t>
      </w:r>
    </w:p>
    <w:p w14:paraId="1AB11227" w14:textId="77777777" w:rsidR="00D41A9D" w:rsidRPr="008A6652" w:rsidRDefault="00D41A9D" w:rsidP="008A6652">
      <w:pPr>
        <w:pStyle w:val="NoSpacing"/>
        <w:spacing w:line="276" w:lineRule="auto"/>
        <w:jc w:val="both"/>
        <w:rPr>
          <w:rFonts w:ascii="Times New Roman" w:hAnsi="Times New Roman" w:cs="Times New Roman"/>
          <w:sz w:val="24"/>
          <w:szCs w:val="24"/>
          <w:lang w:val="sq-AL"/>
        </w:rPr>
      </w:pPr>
    </w:p>
    <w:p w14:paraId="161226E1" w14:textId="77777777" w:rsidR="00D41A9D" w:rsidRPr="008A6652" w:rsidRDefault="00D41A9D"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H</w:t>
      </w:r>
      <w:r w:rsidR="009B012B" w:rsidRPr="008A6652">
        <w:rPr>
          <w:rFonts w:ascii="Times New Roman" w:hAnsi="Times New Roman" w:cs="Times New Roman"/>
          <w:b/>
          <w:bCs/>
          <w:i/>
          <w:iCs/>
          <w:sz w:val="24"/>
          <w:szCs w:val="24"/>
          <w:lang w:val="sq-AL"/>
        </w:rPr>
        <w:t>artimit, miratimit dhe rishikimit të akteve administrative, të cilat vendosin standardet e etikës dhe sjelljes së gjyqtarëve</w:t>
      </w:r>
      <w:r w:rsidR="009B012B" w:rsidRPr="008A6652">
        <w:rPr>
          <w:rFonts w:ascii="Times New Roman" w:hAnsi="Times New Roman" w:cs="Times New Roman"/>
          <w:sz w:val="24"/>
          <w:szCs w:val="24"/>
          <w:lang w:val="sq-AL"/>
        </w:rPr>
        <w:t>. Në këtë aspekt nga ana e Këshillit të Lartë Gjyqësor është miratuar dhe publikuar Kodi i Etikës Gjyqësore</w:t>
      </w:r>
      <w:r w:rsidR="00BD768B" w:rsidRPr="008A6652">
        <w:rPr>
          <w:rStyle w:val="FootnoteReference"/>
          <w:rFonts w:ascii="Times New Roman" w:hAnsi="Times New Roman" w:cs="Times New Roman"/>
          <w:sz w:val="24"/>
          <w:szCs w:val="24"/>
          <w:lang w:val="sq-AL"/>
        </w:rPr>
        <w:footnoteReference w:id="1"/>
      </w:r>
      <w:r w:rsidR="009B012B" w:rsidRPr="008A6652">
        <w:rPr>
          <w:rFonts w:ascii="Times New Roman" w:hAnsi="Times New Roman" w:cs="Times New Roman"/>
          <w:sz w:val="24"/>
          <w:szCs w:val="24"/>
          <w:lang w:val="sq-AL"/>
        </w:rPr>
        <w:t>,</w:t>
      </w:r>
      <w:r w:rsidR="00296067" w:rsidRPr="008A6652">
        <w:rPr>
          <w:rFonts w:ascii="Times New Roman" w:hAnsi="Times New Roman" w:cs="Times New Roman"/>
          <w:sz w:val="24"/>
          <w:szCs w:val="24"/>
          <w:lang w:val="sq-AL"/>
        </w:rPr>
        <w:t xml:space="preserve"> akt</w:t>
      </w:r>
      <w:r w:rsidR="009B012B" w:rsidRPr="008A6652">
        <w:rPr>
          <w:rFonts w:ascii="Times New Roman" w:hAnsi="Times New Roman" w:cs="Times New Roman"/>
          <w:sz w:val="24"/>
          <w:szCs w:val="24"/>
          <w:lang w:val="sq-AL"/>
        </w:rPr>
        <w:t xml:space="preserve"> i cili është bazuar në Parimet Themelore të Kombeve të Bashkuara për Pavarësinë e Gjyqësorit; Rekomandimin CM</w:t>
      </w:r>
      <w:r w:rsidR="00BD768B" w:rsidRPr="008A6652">
        <w:rPr>
          <w:rFonts w:ascii="Times New Roman" w:hAnsi="Times New Roman" w:cs="Times New Roman"/>
          <w:sz w:val="24"/>
          <w:szCs w:val="24"/>
          <w:lang w:val="sq-AL"/>
        </w:rPr>
        <w:t>/</w:t>
      </w:r>
      <w:r w:rsidR="009B012B" w:rsidRPr="008A6652">
        <w:rPr>
          <w:rFonts w:ascii="Times New Roman" w:hAnsi="Times New Roman" w:cs="Times New Roman"/>
          <w:sz w:val="24"/>
          <w:szCs w:val="24"/>
          <w:lang w:val="sq-AL"/>
        </w:rPr>
        <w:t xml:space="preserve">Rec (2010)12 të Komitetit të Ministrave të Këshillit të Evropës; Rekomandimet e Kievit të OSBE-së; Kartën </w:t>
      </w:r>
      <w:r w:rsidR="00BD768B" w:rsidRPr="008A6652">
        <w:rPr>
          <w:rFonts w:ascii="Times New Roman" w:hAnsi="Times New Roman" w:cs="Times New Roman"/>
          <w:sz w:val="24"/>
          <w:szCs w:val="24"/>
          <w:lang w:val="sq-AL"/>
        </w:rPr>
        <w:t>Evropiane</w:t>
      </w:r>
      <w:r w:rsidR="009B012B" w:rsidRPr="008A6652">
        <w:rPr>
          <w:rFonts w:ascii="Times New Roman" w:hAnsi="Times New Roman" w:cs="Times New Roman"/>
          <w:sz w:val="24"/>
          <w:szCs w:val="24"/>
          <w:lang w:val="sq-AL"/>
        </w:rPr>
        <w:t xml:space="preserve"> mbi Statusin e Gjyqtarëve dhe Memorandumin Shpjeg</w:t>
      </w:r>
      <w:r w:rsidR="00BD768B" w:rsidRPr="008A6652">
        <w:rPr>
          <w:rFonts w:ascii="Times New Roman" w:hAnsi="Times New Roman" w:cs="Times New Roman"/>
          <w:sz w:val="24"/>
          <w:szCs w:val="24"/>
          <w:lang w:val="sq-AL"/>
        </w:rPr>
        <w:t xml:space="preserve">ues; Parimet e Bangalores; Magna Carta-n e Gjyqtarëve; Kartën e Gjyqtarëve në Evropë dhe Kodin Global </w:t>
      </w:r>
      <w:r w:rsidR="003906FC" w:rsidRPr="008A6652">
        <w:rPr>
          <w:rFonts w:ascii="Times New Roman" w:hAnsi="Times New Roman" w:cs="Times New Roman"/>
          <w:sz w:val="24"/>
          <w:szCs w:val="24"/>
          <w:lang w:val="sq-AL"/>
        </w:rPr>
        <w:t>të Etikës Gjyqësore të Bolonjës;</w:t>
      </w:r>
    </w:p>
    <w:p w14:paraId="516A4EDE" w14:textId="77777777" w:rsidR="00D41A9D" w:rsidRPr="008A6652" w:rsidRDefault="00D41A9D" w:rsidP="008A6652">
      <w:pPr>
        <w:pStyle w:val="NoSpacing"/>
        <w:spacing w:line="276" w:lineRule="auto"/>
        <w:jc w:val="both"/>
        <w:rPr>
          <w:rFonts w:ascii="Times New Roman" w:hAnsi="Times New Roman" w:cs="Times New Roman"/>
          <w:sz w:val="24"/>
          <w:szCs w:val="24"/>
          <w:lang w:val="sq-AL"/>
        </w:rPr>
      </w:pPr>
    </w:p>
    <w:p w14:paraId="76607F46" w14:textId="1E37A903" w:rsidR="00BD768B" w:rsidRPr="008A6652" w:rsidRDefault="00BD768B"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Veprimtarisë së Komisionit të Vlerësimit të Etikës dhe Veprimtarisë Profesionale</w:t>
      </w:r>
      <w:r w:rsidR="003906FC" w:rsidRPr="008A6652">
        <w:rPr>
          <w:rFonts w:ascii="Times New Roman" w:hAnsi="Times New Roman" w:cs="Times New Roman"/>
          <w:sz w:val="24"/>
          <w:szCs w:val="24"/>
          <w:lang w:val="sq-AL"/>
        </w:rPr>
        <w:t>, gjatë procesit</w:t>
      </w:r>
      <w:r w:rsidR="00D63460" w:rsidRPr="008A6652">
        <w:rPr>
          <w:rFonts w:ascii="Times New Roman" w:hAnsi="Times New Roman" w:cs="Times New Roman"/>
          <w:sz w:val="24"/>
          <w:szCs w:val="24"/>
          <w:lang w:val="sq-AL"/>
        </w:rPr>
        <w:t xml:space="preserve"> të</w:t>
      </w:r>
      <w:r w:rsidR="003906FC" w:rsidRPr="008A6652">
        <w:rPr>
          <w:rFonts w:ascii="Times New Roman" w:hAnsi="Times New Roman" w:cs="Times New Roman"/>
          <w:sz w:val="24"/>
          <w:szCs w:val="24"/>
          <w:lang w:val="sq-AL"/>
        </w:rPr>
        <w:t xml:space="preserve"> vlerësimit etik dhe profesional të gjyqtarëve;</w:t>
      </w:r>
    </w:p>
    <w:p w14:paraId="6EFF9E75" w14:textId="77777777" w:rsidR="003906FC" w:rsidRPr="008A6652" w:rsidRDefault="003906FC" w:rsidP="008A6652">
      <w:pPr>
        <w:pStyle w:val="NoSpacing"/>
        <w:spacing w:line="276" w:lineRule="auto"/>
        <w:jc w:val="both"/>
        <w:rPr>
          <w:rFonts w:ascii="Times New Roman" w:hAnsi="Times New Roman" w:cs="Times New Roman"/>
          <w:sz w:val="24"/>
          <w:szCs w:val="24"/>
          <w:lang w:val="sq-AL"/>
        </w:rPr>
      </w:pPr>
    </w:p>
    <w:p w14:paraId="5F6EDC6C" w14:textId="77777777" w:rsidR="00926090" w:rsidRPr="008A6652" w:rsidRDefault="003906FC"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 xml:space="preserve">Veprimtarisë së </w:t>
      </w:r>
      <w:r w:rsidR="00926090" w:rsidRPr="008A6652">
        <w:rPr>
          <w:rFonts w:ascii="Times New Roman" w:hAnsi="Times New Roman" w:cs="Times New Roman"/>
          <w:b/>
          <w:bCs/>
          <w:i/>
          <w:iCs/>
          <w:sz w:val="24"/>
          <w:szCs w:val="24"/>
          <w:lang w:val="sq-AL"/>
        </w:rPr>
        <w:t>Këshilltarit të Etikës</w:t>
      </w:r>
      <w:r w:rsidR="00926090" w:rsidRPr="008A6652">
        <w:rPr>
          <w:rFonts w:ascii="Times New Roman" w:hAnsi="Times New Roman" w:cs="Times New Roman"/>
          <w:sz w:val="24"/>
          <w:szCs w:val="24"/>
          <w:lang w:val="sq-AL"/>
        </w:rPr>
        <w:t xml:space="preserve">, i cili </w:t>
      </w:r>
      <w:r w:rsidRPr="008A6652">
        <w:rPr>
          <w:rFonts w:ascii="Times New Roman" w:hAnsi="Times New Roman" w:cs="Times New Roman"/>
          <w:sz w:val="24"/>
          <w:szCs w:val="24"/>
          <w:lang w:val="sq-AL"/>
        </w:rPr>
        <w:t>gjatë ushtrimit të funksioneve</w:t>
      </w:r>
      <w:r w:rsidR="00926090" w:rsidRPr="008A6652">
        <w:rPr>
          <w:rFonts w:ascii="Times New Roman" w:hAnsi="Times New Roman" w:cs="Times New Roman"/>
          <w:sz w:val="24"/>
          <w:szCs w:val="24"/>
          <w:lang w:val="sq-AL"/>
        </w:rPr>
        <w:t xml:space="preserve"> të tij jep këshilla, me kërkesë të çdo gjyqtari, për sjelljen më të përshtatshme, brenda dhe jashtë gjykatës, për çështje të diskutueshme të etikës; harton, publikon dhe përditëson vazhdimisht një manual informues, i cili përmban pyetje dhe përgjigje mbi dilemat etike, bazuar në standardet dhe praktikat më të mira ndërkombëtare dhe vendimet relevante të Këshillit;</w:t>
      </w:r>
      <w:r w:rsidRPr="008A6652">
        <w:rPr>
          <w:rFonts w:ascii="Times New Roman" w:hAnsi="Times New Roman" w:cs="Times New Roman"/>
          <w:sz w:val="24"/>
          <w:szCs w:val="24"/>
          <w:lang w:val="sq-AL"/>
        </w:rPr>
        <w:t xml:space="preserve"> si dhe</w:t>
      </w:r>
      <w:r w:rsidR="00926090" w:rsidRPr="008A6652">
        <w:rPr>
          <w:rFonts w:ascii="Times New Roman" w:hAnsi="Times New Roman" w:cs="Times New Roman"/>
          <w:sz w:val="24"/>
          <w:szCs w:val="24"/>
          <w:lang w:val="sq-AL"/>
        </w:rPr>
        <w:t xml:space="preserve"> kujdeset, në bashkëpunim me Shkollën e Magjistraturës, për trajnimin fillestar dhe të vazh</w:t>
      </w:r>
      <w:r w:rsidRPr="008A6652">
        <w:rPr>
          <w:rFonts w:ascii="Times New Roman" w:hAnsi="Times New Roman" w:cs="Times New Roman"/>
          <w:sz w:val="24"/>
          <w:szCs w:val="24"/>
          <w:lang w:val="sq-AL"/>
        </w:rPr>
        <w:t>dueshëm mbi çështje të etikës.</w:t>
      </w:r>
      <w:r w:rsidR="00A52002" w:rsidRPr="008A6652">
        <w:rPr>
          <w:rFonts w:ascii="Times New Roman" w:hAnsi="Times New Roman" w:cs="Times New Roman"/>
          <w:sz w:val="24"/>
          <w:szCs w:val="24"/>
          <w:lang w:val="sq-AL"/>
        </w:rPr>
        <w:t xml:space="preserve"> Aktualisht</w:t>
      </w:r>
      <w:r w:rsidR="00391CC3" w:rsidRPr="008A6652">
        <w:rPr>
          <w:rFonts w:ascii="Times New Roman" w:hAnsi="Times New Roman" w:cs="Times New Roman"/>
          <w:sz w:val="24"/>
          <w:szCs w:val="24"/>
          <w:lang w:val="sq-AL"/>
        </w:rPr>
        <w:t xml:space="preserve"> </w:t>
      </w:r>
      <w:r w:rsidR="00A52002" w:rsidRPr="008A6652">
        <w:rPr>
          <w:rFonts w:ascii="Times New Roman" w:hAnsi="Times New Roman" w:cs="Times New Roman"/>
          <w:sz w:val="24"/>
          <w:szCs w:val="24"/>
          <w:lang w:val="sq-AL"/>
        </w:rPr>
        <w:t>n</w:t>
      </w:r>
      <w:r w:rsidR="008F3384" w:rsidRPr="008A6652">
        <w:rPr>
          <w:rFonts w:ascii="Times New Roman" w:hAnsi="Times New Roman" w:cs="Times New Roman"/>
          <w:sz w:val="24"/>
          <w:szCs w:val="24"/>
          <w:lang w:val="sq-AL"/>
        </w:rPr>
        <w:t>ga Këshilltari i Etikës janë</w:t>
      </w:r>
      <w:r w:rsidR="00A52002" w:rsidRPr="008A6652">
        <w:rPr>
          <w:rFonts w:ascii="Times New Roman" w:hAnsi="Times New Roman" w:cs="Times New Roman"/>
          <w:sz w:val="24"/>
          <w:szCs w:val="24"/>
          <w:lang w:val="sq-AL"/>
        </w:rPr>
        <w:t xml:space="preserve"> publikuar </w:t>
      </w:r>
      <w:r w:rsidR="00A52002" w:rsidRPr="008A6652">
        <w:rPr>
          <w:rFonts w:ascii="Times New Roman" w:hAnsi="Times New Roman" w:cs="Times New Roman"/>
          <w:i/>
          <w:iCs/>
          <w:sz w:val="24"/>
          <w:szCs w:val="24"/>
          <w:lang w:val="sq-AL"/>
        </w:rPr>
        <w:t>dy opinione p</w:t>
      </w:r>
      <w:r w:rsidR="004E5C02" w:rsidRPr="008A6652">
        <w:rPr>
          <w:rFonts w:ascii="Times New Roman" w:hAnsi="Times New Roman" w:cs="Times New Roman"/>
          <w:i/>
          <w:iCs/>
          <w:sz w:val="24"/>
          <w:szCs w:val="24"/>
          <w:lang w:val="sq-AL"/>
        </w:rPr>
        <w:t>ër standardet etike të zbatueshme, në rastin e përdorimit të mediave sociale nga gjyqtarët</w:t>
      </w:r>
      <w:r w:rsidR="00A52002" w:rsidRPr="008A6652">
        <w:rPr>
          <w:rFonts w:ascii="Times New Roman" w:hAnsi="Times New Roman" w:cs="Times New Roman"/>
          <w:i/>
          <w:iCs/>
          <w:sz w:val="24"/>
          <w:szCs w:val="24"/>
          <w:lang w:val="sq-AL"/>
        </w:rPr>
        <w:t xml:space="preserve"> dhe për përdorimin e telefonit celular nga gjyqtari në seancë gjyqësore</w:t>
      </w:r>
      <w:r w:rsidR="00A52002" w:rsidRPr="008A6652">
        <w:rPr>
          <w:rFonts w:ascii="Times New Roman" w:hAnsi="Times New Roman" w:cs="Times New Roman"/>
          <w:sz w:val="24"/>
          <w:szCs w:val="24"/>
          <w:lang w:val="sq-AL"/>
        </w:rPr>
        <w:t>;</w:t>
      </w:r>
    </w:p>
    <w:p w14:paraId="3B0B070F" w14:textId="77777777" w:rsidR="00A52002" w:rsidRPr="008A6652" w:rsidRDefault="00A52002" w:rsidP="008A6652">
      <w:pPr>
        <w:pStyle w:val="ListParagraph"/>
        <w:jc w:val="both"/>
        <w:rPr>
          <w:rFonts w:ascii="Times New Roman" w:hAnsi="Times New Roman" w:cs="Times New Roman"/>
          <w:sz w:val="24"/>
          <w:szCs w:val="24"/>
          <w:lang w:val="sq-AL"/>
        </w:rPr>
      </w:pPr>
    </w:p>
    <w:p w14:paraId="311A8C8A" w14:textId="7270B4A5" w:rsidR="00A52002" w:rsidRPr="008A6652" w:rsidRDefault="00A52002" w:rsidP="008A6652">
      <w:pPr>
        <w:pStyle w:val="NoSpacing"/>
        <w:numPr>
          <w:ilvl w:val="0"/>
          <w:numId w:val="1"/>
        </w:numPr>
        <w:spacing w:line="276" w:lineRule="auto"/>
        <w:jc w:val="both"/>
        <w:rPr>
          <w:rFonts w:ascii="Times New Roman" w:hAnsi="Times New Roman" w:cs="Times New Roman"/>
          <w:sz w:val="24"/>
          <w:szCs w:val="24"/>
          <w:lang w:val="sq-AL"/>
        </w:rPr>
      </w:pPr>
      <w:r w:rsidRPr="008A6652">
        <w:rPr>
          <w:rFonts w:ascii="Times New Roman" w:hAnsi="Times New Roman" w:cs="Times New Roman"/>
          <w:b/>
          <w:bCs/>
          <w:i/>
          <w:iCs/>
          <w:sz w:val="24"/>
          <w:szCs w:val="24"/>
          <w:lang w:val="sq-AL"/>
        </w:rPr>
        <w:t>Veprimtarisë së Komisionit Disiplinor</w:t>
      </w:r>
      <w:r w:rsidRPr="008A6652">
        <w:rPr>
          <w:rFonts w:ascii="Times New Roman" w:hAnsi="Times New Roman" w:cs="Times New Roman"/>
          <w:sz w:val="24"/>
          <w:szCs w:val="24"/>
          <w:lang w:val="sq-AL"/>
        </w:rPr>
        <w:t>, gjatë shqyrtimit të procedimeve disiplinore të filluara nga Inspektori i Lartë i Drejtësisë.</w:t>
      </w:r>
    </w:p>
    <w:p w14:paraId="053E58CA" w14:textId="77777777" w:rsidR="004B6B2F" w:rsidRDefault="004B6B2F" w:rsidP="008A6652">
      <w:pPr>
        <w:jc w:val="both"/>
        <w:rPr>
          <w:rFonts w:ascii="Times New Roman" w:hAnsi="Times New Roman" w:cs="Times New Roman"/>
          <w:sz w:val="24"/>
          <w:szCs w:val="24"/>
          <w:lang w:val="sq-AL"/>
        </w:rPr>
      </w:pPr>
    </w:p>
    <w:p w14:paraId="628E458D" w14:textId="099EA30E" w:rsidR="00A52002" w:rsidRPr="008A6652" w:rsidRDefault="00F93FAA" w:rsidP="008A6652">
      <w:pPr>
        <w:jc w:val="both"/>
        <w:rPr>
          <w:rFonts w:ascii="Times New Roman" w:hAnsi="Times New Roman" w:cs="Times New Roman"/>
          <w:sz w:val="24"/>
          <w:szCs w:val="24"/>
          <w:lang w:val="sq-AL"/>
        </w:rPr>
      </w:pPr>
      <w:r w:rsidRPr="008A6652">
        <w:rPr>
          <w:rFonts w:ascii="Times New Roman" w:hAnsi="Times New Roman" w:cs="Times New Roman"/>
          <w:sz w:val="24"/>
          <w:szCs w:val="24"/>
          <w:lang w:val="sq-AL"/>
        </w:rPr>
        <w:t>N</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Kodin e Etik</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s Gjyq</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sore, n</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lidhje me lirin</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e shprehjes s</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gjyqtar</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ve, kufizimet e saj si dhe me p</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rdorimin e mediave sociale, parashikohet nd</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r</w:t>
      </w:r>
      <w:r w:rsidR="00377004" w:rsidRPr="008A6652">
        <w:rPr>
          <w:rFonts w:ascii="Times New Roman" w:hAnsi="Times New Roman" w:cs="Times New Roman"/>
          <w:sz w:val="24"/>
          <w:szCs w:val="24"/>
          <w:lang w:val="sq-AL"/>
        </w:rPr>
        <w:t xml:space="preserve"> </w:t>
      </w:r>
      <w:r w:rsidRPr="008A6652">
        <w:rPr>
          <w:rFonts w:ascii="Times New Roman" w:hAnsi="Times New Roman" w:cs="Times New Roman"/>
          <w:sz w:val="24"/>
          <w:szCs w:val="24"/>
          <w:lang w:val="sq-AL"/>
        </w:rPr>
        <w:t>t</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tjera se</w:t>
      </w:r>
      <w:r w:rsidR="00377004" w:rsidRPr="008A6652">
        <w:rPr>
          <w:rFonts w:ascii="Times New Roman" w:hAnsi="Times New Roman" w:cs="Times New Roman"/>
          <w:sz w:val="24"/>
          <w:szCs w:val="24"/>
          <w:lang w:val="sq-AL"/>
        </w:rPr>
        <w:t xml:space="preserve"> gjyqtari</w:t>
      </w:r>
      <w:r w:rsidRPr="008A6652">
        <w:rPr>
          <w:rFonts w:ascii="Times New Roman" w:hAnsi="Times New Roman" w:cs="Times New Roman"/>
          <w:sz w:val="24"/>
          <w:szCs w:val="24"/>
          <w:lang w:val="sq-AL"/>
        </w:rPr>
        <w:t>:</w:t>
      </w:r>
    </w:p>
    <w:p w14:paraId="5C54BB8D" w14:textId="175F06FF" w:rsidR="00377004" w:rsidRPr="008A6652" w:rsidRDefault="00911755" w:rsidP="008A6652">
      <w:pPr>
        <w:pStyle w:val="ListParagraph"/>
        <w:numPr>
          <w:ilvl w:val="0"/>
          <w:numId w:val="6"/>
        </w:numPr>
        <w:ind w:right="96"/>
        <w:jc w:val="both"/>
        <w:rPr>
          <w:rFonts w:ascii="Times New Roman" w:hAnsi="Times New Roman" w:cs="Times New Roman"/>
          <w:sz w:val="24"/>
          <w:szCs w:val="24"/>
        </w:rPr>
      </w:pPr>
      <w:r w:rsidRPr="008A6652">
        <w:rPr>
          <w:rFonts w:ascii="Times New Roman" w:eastAsia="Times New Roman" w:hAnsi="Times New Roman" w:cs="Times New Roman"/>
          <w:i/>
          <w:iCs/>
          <w:sz w:val="24"/>
          <w:szCs w:val="24"/>
        </w:rPr>
        <w:lastRenderedPageBreak/>
        <w:t xml:space="preserve">duhet të tregojë vetëpërmbajtje në mbështetjen publikisht apo shprehjen e kritikave </w:t>
      </w:r>
      <w:r w:rsidRPr="008A6652">
        <w:rPr>
          <w:rFonts w:ascii="Times New Roman" w:eastAsia="Times New Roman" w:hAnsi="Times New Roman" w:cs="Times New Roman"/>
          <w:sz w:val="24"/>
          <w:szCs w:val="24"/>
        </w:rPr>
        <w:t>të çfarëdo lloji dhe natyre ndaj pushteteve të tjera, përveç çështjeve që lidhen me reformën dhe funksionimin e giyqësorit;</w:t>
      </w:r>
    </w:p>
    <w:p w14:paraId="14087BE6" w14:textId="293BF409" w:rsidR="00377004" w:rsidRPr="008A6652" w:rsidRDefault="00911755" w:rsidP="008A6652">
      <w:pPr>
        <w:pStyle w:val="ListParagraph"/>
        <w:numPr>
          <w:ilvl w:val="0"/>
          <w:numId w:val="6"/>
        </w:numPr>
        <w:ind w:right="96"/>
        <w:jc w:val="both"/>
        <w:rPr>
          <w:rFonts w:ascii="Times New Roman" w:hAnsi="Times New Roman" w:cs="Times New Roman"/>
          <w:sz w:val="24"/>
          <w:szCs w:val="24"/>
        </w:rPr>
      </w:pPr>
      <w:r w:rsidRPr="008A6652">
        <w:rPr>
          <w:rFonts w:ascii="Times New Roman" w:eastAsia="Times New Roman" w:hAnsi="Times New Roman" w:cs="Times New Roman"/>
          <w:i/>
          <w:iCs/>
          <w:sz w:val="24"/>
          <w:szCs w:val="24"/>
        </w:rPr>
        <w:t>duhet të shmanget nga bërja e komenteve mbi çështje të diskutueshme politike apo deklarata publike,</w:t>
      </w:r>
      <w:r w:rsidRPr="008A6652">
        <w:rPr>
          <w:rFonts w:ascii="Times New Roman" w:eastAsia="Times New Roman" w:hAnsi="Times New Roman" w:cs="Times New Roman"/>
          <w:sz w:val="24"/>
          <w:szCs w:val="24"/>
        </w:rPr>
        <w:t xml:space="preserve"> të cilat mund të krijojnë përshtypjen se giyqtari është i njëanshëm ose i ndikuar në një çështje të caktuar;</w:t>
      </w:r>
    </w:p>
    <w:p w14:paraId="3B7989A6" w14:textId="77777777" w:rsidR="003A5B1B" w:rsidRPr="008A6652" w:rsidRDefault="003A5B1B" w:rsidP="008A6652">
      <w:pPr>
        <w:pStyle w:val="ListParagraph"/>
        <w:numPr>
          <w:ilvl w:val="0"/>
          <w:numId w:val="6"/>
        </w:numPr>
        <w:ind w:right="14"/>
        <w:jc w:val="both"/>
        <w:rPr>
          <w:rFonts w:ascii="Times New Roman" w:hAnsi="Times New Roman" w:cs="Times New Roman"/>
          <w:sz w:val="24"/>
          <w:szCs w:val="24"/>
        </w:rPr>
      </w:pPr>
      <w:r w:rsidRPr="008A6652">
        <w:rPr>
          <w:rFonts w:ascii="Times New Roman" w:eastAsia="Times New Roman" w:hAnsi="Times New Roman" w:cs="Times New Roman"/>
          <w:sz w:val="24"/>
          <w:szCs w:val="24"/>
        </w:rPr>
        <w:t>përpiqet në maksimum të mos cenojë besimin që publiku ka tek ai në ushtrimin e detyrës dhe në jetën e tij private;</w:t>
      </w:r>
    </w:p>
    <w:p w14:paraId="6F402243" w14:textId="2BC70653" w:rsidR="009712D9" w:rsidRPr="008A6652" w:rsidRDefault="003A5B1B" w:rsidP="008A6652">
      <w:pPr>
        <w:pStyle w:val="ListParagraph"/>
        <w:numPr>
          <w:ilvl w:val="0"/>
          <w:numId w:val="6"/>
        </w:numPr>
        <w:spacing w:after="26"/>
        <w:ind w:right="14"/>
        <w:jc w:val="both"/>
        <w:rPr>
          <w:rFonts w:ascii="Times New Roman" w:hAnsi="Times New Roman" w:cs="Times New Roman"/>
          <w:sz w:val="24"/>
          <w:szCs w:val="24"/>
        </w:rPr>
      </w:pPr>
      <w:r w:rsidRPr="008A6652">
        <w:rPr>
          <w:rFonts w:ascii="Times New Roman" w:eastAsia="Times New Roman" w:hAnsi="Times New Roman" w:cs="Times New Roman"/>
          <w:i/>
          <w:iCs/>
          <w:sz w:val="24"/>
          <w:szCs w:val="24"/>
        </w:rPr>
        <w:t>duhet të respektojë dinjitetin e funksionit</w:t>
      </w:r>
      <w:r w:rsidRPr="008A6652">
        <w:rPr>
          <w:rFonts w:ascii="Times New Roman" w:eastAsia="Times New Roman" w:hAnsi="Times New Roman" w:cs="Times New Roman"/>
          <w:sz w:val="24"/>
          <w:szCs w:val="24"/>
        </w:rPr>
        <w:t xml:space="preserve">. Si </w:t>
      </w:r>
      <w:r w:rsidR="00377004" w:rsidRPr="008A6652">
        <w:rPr>
          <w:rFonts w:ascii="Times New Roman" w:eastAsia="Times New Roman" w:hAnsi="Times New Roman" w:cs="Times New Roman"/>
          <w:sz w:val="24"/>
          <w:szCs w:val="24"/>
        </w:rPr>
        <w:t>ç</w:t>
      </w:r>
      <w:r w:rsidRPr="008A6652">
        <w:rPr>
          <w:rFonts w:ascii="Times New Roman" w:eastAsia="Times New Roman" w:hAnsi="Times New Roman" w:cs="Times New Roman"/>
          <w:sz w:val="24"/>
          <w:szCs w:val="24"/>
        </w:rPr>
        <w:t xml:space="preserve">do qytetar tjetër, ai gëzon lirinë e shprehjes, besimit, tubimit dhe organizimit, por në ushtrimin e këtyre të drejtave, ai duhet të sillet giithmonë në mënyrë të tillë që të ruajë dinjitetin e funksionit, </w:t>
      </w:r>
      <w:r w:rsidRPr="008A6652">
        <w:rPr>
          <w:rFonts w:ascii="Times New Roman" w:hAnsi="Times New Roman" w:cs="Times New Roman"/>
          <w:noProof/>
          <w:sz w:val="24"/>
          <w:szCs w:val="24"/>
          <w:lang w:val="en-US"/>
        </w:rPr>
        <w:drawing>
          <wp:inline distT="0" distB="0" distL="0" distR="0" wp14:anchorId="3387708A" wp14:editId="6DF529CF">
            <wp:extent cx="6094" cy="36580"/>
            <wp:effectExtent l="0" t="0" r="0" b="0"/>
            <wp:docPr id="36817" name="Picture 36817"/>
            <wp:cNvGraphicFramePr/>
            <a:graphic xmlns:a="http://schemas.openxmlformats.org/drawingml/2006/main">
              <a:graphicData uri="http://schemas.openxmlformats.org/drawingml/2006/picture">
                <pic:pic xmlns:pic="http://schemas.openxmlformats.org/drawingml/2006/picture">
                  <pic:nvPicPr>
                    <pic:cNvPr id="36817" name="Picture 36817"/>
                    <pic:cNvPicPr/>
                  </pic:nvPicPr>
                  <pic:blipFill>
                    <a:blip r:embed="rId9"/>
                    <a:stretch>
                      <a:fillRect/>
                    </a:stretch>
                  </pic:blipFill>
                  <pic:spPr>
                    <a:xfrm>
                      <a:off x="0" y="0"/>
                      <a:ext cx="6094" cy="36580"/>
                    </a:xfrm>
                    <a:prstGeom prst="rect">
                      <a:avLst/>
                    </a:prstGeom>
                  </pic:spPr>
                </pic:pic>
              </a:graphicData>
            </a:graphic>
          </wp:inline>
        </w:drawing>
      </w:r>
      <w:r w:rsidRPr="008A6652">
        <w:rPr>
          <w:rFonts w:ascii="Times New Roman" w:eastAsia="Times New Roman" w:hAnsi="Times New Roman" w:cs="Times New Roman"/>
          <w:sz w:val="24"/>
          <w:szCs w:val="24"/>
        </w:rPr>
        <w:t xml:space="preserve">paanshmërinë dhe pavarësinë e giyqësorit. Ai tregon po të njëjtin kujdes kur përballet me kritika apo </w:t>
      </w:r>
      <w:r w:rsidR="00377004" w:rsidRPr="008A6652">
        <w:rPr>
          <w:rFonts w:ascii="Times New Roman" w:eastAsia="Times New Roman" w:hAnsi="Times New Roman" w:cs="Times New Roman"/>
          <w:sz w:val="24"/>
          <w:szCs w:val="24"/>
        </w:rPr>
        <w:t>sulme;</w:t>
      </w:r>
    </w:p>
    <w:p w14:paraId="16DA60EB" w14:textId="7AC235C6" w:rsidR="00377004" w:rsidRPr="008A6652" w:rsidRDefault="003A5B1B" w:rsidP="008A6652">
      <w:pPr>
        <w:pStyle w:val="ListParagraph"/>
        <w:numPr>
          <w:ilvl w:val="0"/>
          <w:numId w:val="6"/>
        </w:numPr>
        <w:ind w:right="14"/>
        <w:jc w:val="both"/>
        <w:rPr>
          <w:rFonts w:ascii="Times New Roman" w:eastAsia="Times New Roman" w:hAnsi="Times New Roman" w:cs="Times New Roman"/>
          <w:sz w:val="24"/>
          <w:szCs w:val="24"/>
        </w:rPr>
      </w:pPr>
      <w:r w:rsidRPr="008A6652">
        <w:rPr>
          <w:rFonts w:ascii="Times New Roman" w:eastAsia="Times New Roman" w:hAnsi="Times New Roman" w:cs="Times New Roman"/>
          <w:i/>
          <w:iCs/>
          <w:sz w:val="24"/>
          <w:szCs w:val="24"/>
        </w:rPr>
        <w:t>duhet të shmangë shfaqjen e bindjeve të tij politike</w:t>
      </w:r>
      <w:r w:rsidRPr="008A6652">
        <w:rPr>
          <w:rFonts w:ascii="Times New Roman" w:eastAsia="Times New Roman" w:hAnsi="Times New Roman" w:cs="Times New Roman"/>
          <w:sz w:val="24"/>
          <w:szCs w:val="24"/>
        </w:rPr>
        <w:t xml:space="preserve"> edhe pse ai si </w:t>
      </w:r>
      <w:r w:rsidR="00377004" w:rsidRPr="008A6652">
        <w:rPr>
          <w:rFonts w:ascii="Times New Roman" w:eastAsia="Times New Roman" w:hAnsi="Times New Roman" w:cs="Times New Roman"/>
          <w:sz w:val="24"/>
          <w:szCs w:val="24"/>
        </w:rPr>
        <w:t>ç</w:t>
      </w:r>
      <w:r w:rsidRPr="008A6652">
        <w:rPr>
          <w:rFonts w:ascii="Times New Roman" w:eastAsia="Times New Roman" w:hAnsi="Times New Roman" w:cs="Times New Roman"/>
          <w:sz w:val="24"/>
          <w:szCs w:val="24"/>
        </w:rPr>
        <w:t xml:space="preserve">do qytetar, gëzon të drejtën për të pasur të tilla; </w:t>
      </w:r>
    </w:p>
    <w:p w14:paraId="46D0E6DA" w14:textId="552B8FC3" w:rsidR="003A5B1B" w:rsidRPr="008A6652" w:rsidRDefault="003A5B1B" w:rsidP="008A6652">
      <w:pPr>
        <w:pStyle w:val="ListParagraph"/>
        <w:numPr>
          <w:ilvl w:val="0"/>
          <w:numId w:val="6"/>
        </w:numPr>
        <w:ind w:right="14"/>
        <w:jc w:val="both"/>
        <w:rPr>
          <w:rFonts w:ascii="Times New Roman" w:hAnsi="Times New Roman" w:cs="Times New Roman"/>
          <w:sz w:val="24"/>
          <w:szCs w:val="24"/>
        </w:rPr>
      </w:pPr>
      <w:r w:rsidRPr="008A6652">
        <w:rPr>
          <w:rFonts w:ascii="Times New Roman" w:eastAsia="Times New Roman" w:hAnsi="Times New Roman" w:cs="Times New Roman"/>
          <w:i/>
          <w:iCs/>
          <w:sz w:val="24"/>
          <w:szCs w:val="24"/>
        </w:rPr>
        <w:t>duhet të shfaqë vetëpërmbajtje edhe në marrëdhëniet e tij me median</w:t>
      </w:r>
      <w:r w:rsidRPr="008A6652">
        <w:rPr>
          <w:rFonts w:ascii="Times New Roman" w:eastAsia="Times New Roman" w:hAnsi="Times New Roman" w:cs="Times New Roman"/>
          <w:sz w:val="24"/>
          <w:szCs w:val="24"/>
        </w:rPr>
        <w:t xml:space="preserve">. Për </w:t>
      </w:r>
      <w:r w:rsidR="00377004" w:rsidRPr="008A6652">
        <w:rPr>
          <w:rFonts w:ascii="Times New Roman" w:eastAsia="Times New Roman" w:hAnsi="Times New Roman" w:cs="Times New Roman"/>
          <w:sz w:val="24"/>
          <w:szCs w:val="24"/>
        </w:rPr>
        <w:t>ç</w:t>
      </w:r>
      <w:r w:rsidRPr="008A6652">
        <w:rPr>
          <w:rFonts w:ascii="Times New Roman" w:eastAsia="Times New Roman" w:hAnsi="Times New Roman" w:cs="Times New Roman"/>
          <w:sz w:val="24"/>
          <w:szCs w:val="24"/>
        </w:rPr>
        <w:t xml:space="preserve">ështje që lidhen me marrëdhëniet me median, giyqtari komunikon me giyqtarin e medias të juridiksionit përkatës, duke shmangur </w:t>
      </w:r>
      <w:r w:rsidR="00377004" w:rsidRPr="008A6652">
        <w:rPr>
          <w:rFonts w:ascii="Times New Roman" w:eastAsia="Times New Roman" w:hAnsi="Times New Roman" w:cs="Times New Roman"/>
          <w:sz w:val="24"/>
          <w:szCs w:val="24"/>
        </w:rPr>
        <w:t>ç</w:t>
      </w:r>
      <w:r w:rsidRPr="008A6652">
        <w:rPr>
          <w:rFonts w:ascii="Times New Roman" w:eastAsia="Times New Roman" w:hAnsi="Times New Roman" w:cs="Times New Roman"/>
          <w:sz w:val="24"/>
          <w:szCs w:val="24"/>
        </w:rPr>
        <w:t>do shfrytëzim të njohjeve personale me gazetarët;</w:t>
      </w:r>
    </w:p>
    <w:p w14:paraId="5735210B" w14:textId="77777777" w:rsidR="003A5B1B" w:rsidRPr="008A6652" w:rsidRDefault="003A5B1B" w:rsidP="008A6652">
      <w:pPr>
        <w:pStyle w:val="ListParagraph"/>
        <w:numPr>
          <w:ilvl w:val="0"/>
          <w:numId w:val="6"/>
        </w:numPr>
        <w:ind w:right="14"/>
        <w:jc w:val="both"/>
        <w:rPr>
          <w:rFonts w:ascii="Times New Roman" w:hAnsi="Times New Roman" w:cs="Times New Roman"/>
          <w:sz w:val="24"/>
          <w:szCs w:val="24"/>
        </w:rPr>
      </w:pPr>
      <w:r w:rsidRPr="008A6652">
        <w:rPr>
          <w:rFonts w:ascii="Times New Roman" w:eastAsia="Times New Roman" w:hAnsi="Times New Roman" w:cs="Times New Roman"/>
          <w:i/>
          <w:iCs/>
          <w:sz w:val="24"/>
          <w:szCs w:val="24"/>
        </w:rPr>
        <w:t>vetëpërmbahet dhe nuk i komenton publikisht vendimet e tij</w:t>
      </w:r>
      <w:r w:rsidRPr="008A6652">
        <w:rPr>
          <w:rFonts w:ascii="Times New Roman" w:eastAsia="Times New Roman" w:hAnsi="Times New Roman" w:cs="Times New Roman"/>
          <w:sz w:val="24"/>
          <w:szCs w:val="24"/>
        </w:rPr>
        <w:t>, edhe nëse ato kritikohen nga media apo akademikë, ose prishen nga gjykatat më të larta. Gjyqtari e shpreh mendimin e tij vetëm në arsyetimin e vendimit të marrë;</w:t>
      </w:r>
    </w:p>
    <w:p w14:paraId="2C4199C2" w14:textId="77777777" w:rsidR="003A5B1B" w:rsidRPr="008A6652" w:rsidRDefault="003A5B1B" w:rsidP="008A6652">
      <w:pPr>
        <w:pStyle w:val="ListParagraph"/>
        <w:numPr>
          <w:ilvl w:val="0"/>
          <w:numId w:val="6"/>
        </w:numPr>
        <w:ind w:right="14"/>
        <w:jc w:val="both"/>
        <w:rPr>
          <w:rFonts w:ascii="Times New Roman" w:hAnsi="Times New Roman" w:cs="Times New Roman"/>
          <w:sz w:val="24"/>
          <w:szCs w:val="24"/>
        </w:rPr>
      </w:pPr>
      <w:r w:rsidRPr="008A6652">
        <w:rPr>
          <w:rFonts w:ascii="Times New Roman" w:eastAsia="Times New Roman" w:hAnsi="Times New Roman" w:cs="Times New Roman"/>
          <w:sz w:val="24"/>
          <w:szCs w:val="24"/>
        </w:rPr>
        <w:t>nuk duhet të publikojë, në asnjë formë, si kontribut personal apo akademik, vendimet giyqësore të dhëna prej tij si giyqtar i vetëm apo si pjesë e trupës gjyqësore, me përjashtim të rastit kur pjesë të vendimit citohen për qëllime debati akademik, sipas rregullave të referimit;</w:t>
      </w:r>
    </w:p>
    <w:p w14:paraId="6BB47D7E" w14:textId="0B9F18CF" w:rsidR="003A5B1B" w:rsidRPr="008A6652" w:rsidRDefault="003A5B1B" w:rsidP="008A6652">
      <w:pPr>
        <w:pStyle w:val="ListParagraph"/>
        <w:numPr>
          <w:ilvl w:val="0"/>
          <w:numId w:val="6"/>
        </w:numPr>
        <w:ind w:right="14"/>
        <w:jc w:val="both"/>
        <w:rPr>
          <w:rFonts w:ascii="Times New Roman" w:hAnsi="Times New Roman" w:cs="Times New Roman"/>
          <w:sz w:val="24"/>
          <w:szCs w:val="24"/>
        </w:rPr>
      </w:pPr>
      <w:r w:rsidRPr="008A6652">
        <w:rPr>
          <w:rFonts w:ascii="Times New Roman" w:eastAsia="Times New Roman" w:hAnsi="Times New Roman" w:cs="Times New Roman"/>
          <w:sz w:val="24"/>
          <w:szCs w:val="24"/>
        </w:rPr>
        <w:t xml:space="preserve">mund të marrë pjesë në aktivitete që lidhen me sistemin gjyqësor </w:t>
      </w:r>
      <w:r w:rsidRPr="008A6652">
        <w:rPr>
          <w:rFonts w:ascii="Times New Roman" w:eastAsia="Times New Roman" w:hAnsi="Times New Roman" w:cs="Times New Roman"/>
          <w:i/>
          <w:iCs/>
          <w:sz w:val="24"/>
          <w:szCs w:val="24"/>
        </w:rPr>
        <w:t>dhe mund të bëjë vetëm deklarata të përgjithshme në kuadër të pjesëmarrjes në këto aktivitete</w:t>
      </w:r>
      <w:r w:rsidRPr="008A6652">
        <w:rPr>
          <w:rFonts w:ascii="Times New Roman" w:eastAsia="Times New Roman" w:hAnsi="Times New Roman" w:cs="Times New Roman"/>
          <w:sz w:val="24"/>
          <w:szCs w:val="24"/>
        </w:rPr>
        <w:t>. Gjyqtari mund të marrë pjesë edhe në aktivitete që nxitin vlerat qytetare, edukuese, fetare, bamirésie, si dhe mund té b</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je deklarata</w:t>
      </w:r>
      <w:r w:rsidR="00377004" w:rsidRPr="008A6652">
        <w:rPr>
          <w:rFonts w:ascii="Times New Roman" w:eastAsia="Times New Roman" w:hAnsi="Times New Roman" w:cs="Times New Roman"/>
          <w:sz w:val="24"/>
          <w:szCs w:val="24"/>
        </w:rPr>
        <w:t xml:space="preserve"> t</w:t>
      </w:r>
      <w:r w:rsidR="008771D4" w:rsidRPr="008A6652">
        <w:rPr>
          <w:rFonts w:ascii="Times New Roman" w:eastAsia="Times New Roman" w:hAnsi="Times New Roman" w:cs="Times New Roman"/>
          <w:sz w:val="24"/>
          <w:szCs w:val="24"/>
        </w:rPr>
        <w:t>ë</w:t>
      </w:r>
      <w:r w:rsidR="00377004" w:rsidRPr="008A6652">
        <w:rPr>
          <w:rFonts w:ascii="Times New Roman" w:eastAsia="Times New Roman" w:hAnsi="Times New Roman" w:cs="Times New Roman"/>
          <w:sz w:val="24"/>
          <w:szCs w:val="24"/>
        </w:rPr>
        <w:t xml:space="preserve"> </w:t>
      </w:r>
      <w:r w:rsidRPr="008A6652">
        <w:rPr>
          <w:rFonts w:ascii="Times New Roman" w:eastAsia="Times New Roman" w:hAnsi="Times New Roman" w:cs="Times New Roman"/>
          <w:sz w:val="24"/>
          <w:szCs w:val="24"/>
        </w:rPr>
        <w:t>p</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rgjithshme vet</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m n</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 xml:space="preserve"> kuad</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r t</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 xml:space="preserve"> pjesemarrjes n</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 xml:space="preserve"> k</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to aktivitete, por pa c</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nuar pavar</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sin</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 xml:space="preserve"> dhe paanshm</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riné e gjyq</w:t>
      </w:r>
      <w:r w:rsidR="008771D4" w:rsidRPr="008A6652">
        <w:rPr>
          <w:rFonts w:ascii="Times New Roman" w:eastAsia="Times New Roman" w:hAnsi="Times New Roman" w:cs="Times New Roman"/>
          <w:sz w:val="24"/>
          <w:szCs w:val="24"/>
        </w:rPr>
        <w:t>ë</w:t>
      </w:r>
      <w:r w:rsidRPr="008A6652">
        <w:rPr>
          <w:rFonts w:ascii="Times New Roman" w:eastAsia="Times New Roman" w:hAnsi="Times New Roman" w:cs="Times New Roman"/>
          <w:sz w:val="24"/>
          <w:szCs w:val="24"/>
        </w:rPr>
        <w:t>sorit;</w:t>
      </w:r>
    </w:p>
    <w:p w14:paraId="063F38B2" w14:textId="41496E6A" w:rsidR="003A5B1B" w:rsidRPr="008A6652" w:rsidRDefault="003A5B1B" w:rsidP="008A6652">
      <w:pPr>
        <w:pStyle w:val="ListParagraph"/>
        <w:numPr>
          <w:ilvl w:val="0"/>
          <w:numId w:val="6"/>
        </w:numPr>
        <w:ind w:right="14"/>
        <w:jc w:val="both"/>
        <w:rPr>
          <w:rFonts w:ascii="Times New Roman" w:hAnsi="Times New Roman" w:cs="Times New Roman"/>
          <w:i/>
          <w:iCs/>
          <w:sz w:val="24"/>
          <w:szCs w:val="24"/>
        </w:rPr>
      </w:pPr>
      <w:r w:rsidRPr="008A6652">
        <w:rPr>
          <w:rFonts w:ascii="Times New Roman" w:eastAsia="Times New Roman" w:hAnsi="Times New Roman" w:cs="Times New Roman"/>
          <w:i/>
          <w:iCs/>
          <w:sz w:val="24"/>
          <w:szCs w:val="24"/>
        </w:rPr>
        <w:t>shfaq vet</w:t>
      </w:r>
      <w:r w:rsidR="008771D4" w:rsidRPr="008A6652">
        <w:rPr>
          <w:rFonts w:ascii="Times New Roman" w:eastAsia="Times New Roman" w:hAnsi="Times New Roman" w:cs="Times New Roman"/>
          <w:i/>
          <w:iCs/>
          <w:sz w:val="24"/>
          <w:szCs w:val="24"/>
        </w:rPr>
        <w:t>ë</w:t>
      </w:r>
      <w:r w:rsidRPr="008A6652">
        <w:rPr>
          <w:rFonts w:ascii="Times New Roman" w:eastAsia="Times New Roman" w:hAnsi="Times New Roman" w:cs="Times New Roman"/>
          <w:i/>
          <w:iCs/>
          <w:sz w:val="24"/>
          <w:szCs w:val="24"/>
        </w:rPr>
        <w:t>p</w:t>
      </w:r>
      <w:r w:rsidR="008771D4" w:rsidRPr="008A6652">
        <w:rPr>
          <w:rFonts w:ascii="Times New Roman" w:eastAsia="Times New Roman" w:hAnsi="Times New Roman" w:cs="Times New Roman"/>
          <w:i/>
          <w:iCs/>
          <w:sz w:val="24"/>
          <w:szCs w:val="24"/>
        </w:rPr>
        <w:t>ë</w:t>
      </w:r>
      <w:r w:rsidRPr="008A6652">
        <w:rPr>
          <w:rFonts w:ascii="Times New Roman" w:eastAsia="Times New Roman" w:hAnsi="Times New Roman" w:cs="Times New Roman"/>
          <w:i/>
          <w:iCs/>
          <w:sz w:val="24"/>
          <w:szCs w:val="24"/>
        </w:rPr>
        <w:t>rmbajtje n</w:t>
      </w:r>
      <w:r w:rsidR="008771D4" w:rsidRPr="008A6652">
        <w:rPr>
          <w:rFonts w:ascii="Times New Roman" w:eastAsia="Times New Roman" w:hAnsi="Times New Roman" w:cs="Times New Roman"/>
          <w:i/>
          <w:iCs/>
          <w:sz w:val="24"/>
          <w:szCs w:val="24"/>
        </w:rPr>
        <w:t>ë</w:t>
      </w:r>
      <w:r w:rsidRPr="008A6652">
        <w:rPr>
          <w:rFonts w:ascii="Times New Roman" w:eastAsia="Times New Roman" w:hAnsi="Times New Roman" w:cs="Times New Roman"/>
          <w:i/>
          <w:iCs/>
          <w:sz w:val="24"/>
          <w:szCs w:val="24"/>
        </w:rPr>
        <w:t xml:space="preserve"> p</w:t>
      </w:r>
      <w:r w:rsidR="008771D4" w:rsidRPr="008A6652">
        <w:rPr>
          <w:rFonts w:ascii="Times New Roman" w:eastAsia="Times New Roman" w:hAnsi="Times New Roman" w:cs="Times New Roman"/>
          <w:i/>
          <w:iCs/>
          <w:sz w:val="24"/>
          <w:szCs w:val="24"/>
        </w:rPr>
        <w:t>ë</w:t>
      </w:r>
      <w:r w:rsidRPr="008A6652">
        <w:rPr>
          <w:rFonts w:ascii="Times New Roman" w:eastAsia="Times New Roman" w:hAnsi="Times New Roman" w:cs="Times New Roman"/>
          <w:i/>
          <w:iCs/>
          <w:sz w:val="24"/>
          <w:szCs w:val="24"/>
        </w:rPr>
        <w:t>rdorimin e medias dhe rrjeteve sociale;</w:t>
      </w:r>
    </w:p>
    <w:p w14:paraId="5D8A962A" w14:textId="62054F66" w:rsidR="00911755" w:rsidRPr="008A6652" w:rsidRDefault="00131427" w:rsidP="008A6652">
      <w:pPr>
        <w:pStyle w:val="ListParagraph"/>
        <w:numPr>
          <w:ilvl w:val="0"/>
          <w:numId w:val="6"/>
        </w:numPr>
        <w:spacing w:after="291"/>
        <w:ind w:right="14"/>
        <w:jc w:val="both"/>
        <w:rPr>
          <w:rFonts w:ascii="Times New Roman" w:hAnsi="Times New Roman" w:cs="Times New Roman"/>
          <w:sz w:val="24"/>
          <w:szCs w:val="24"/>
        </w:rPr>
      </w:pPr>
      <w:r w:rsidRPr="008A6652">
        <w:rPr>
          <w:rFonts w:ascii="Times New Roman" w:eastAsia="Times New Roman" w:hAnsi="Times New Roman" w:cs="Times New Roman"/>
          <w:i/>
          <w:iCs/>
          <w:sz w:val="24"/>
          <w:szCs w:val="24"/>
        </w:rPr>
        <w:t>duhet të përcjellë tek giyqtari i medias në mënyrë transparente dhe jodiskriminuese</w:t>
      </w:r>
      <w:r w:rsidRPr="008A6652">
        <w:rPr>
          <w:rFonts w:ascii="Times New Roman" w:eastAsia="Times New Roman" w:hAnsi="Times New Roman" w:cs="Times New Roman"/>
          <w:sz w:val="24"/>
          <w:szCs w:val="24"/>
        </w:rPr>
        <w:t xml:space="preserve"> të gjitha informacionet që ky i fundit ndan me median dhe publikun.</w:t>
      </w:r>
    </w:p>
    <w:p w14:paraId="6C42FF03" w14:textId="5FE5DA09" w:rsidR="009F4B65" w:rsidRPr="008A6652" w:rsidRDefault="00C503D0" w:rsidP="008A6652">
      <w:pPr>
        <w:jc w:val="both"/>
        <w:rPr>
          <w:rFonts w:ascii="Times New Roman" w:hAnsi="Times New Roman" w:cs="Times New Roman"/>
          <w:sz w:val="24"/>
          <w:szCs w:val="24"/>
          <w:lang w:val="sq-AL"/>
        </w:rPr>
      </w:pPr>
      <w:r w:rsidRPr="008A6652">
        <w:rPr>
          <w:rFonts w:ascii="Times New Roman" w:hAnsi="Times New Roman" w:cs="Times New Roman"/>
          <w:sz w:val="24"/>
          <w:szCs w:val="24"/>
          <w:lang w:val="sq-AL"/>
        </w:rPr>
        <w:t>Nd</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rsa n</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opinionin e dh</w:t>
      </w:r>
      <w:r w:rsidR="00BA4EC3">
        <w:rPr>
          <w:rFonts w:ascii="Times New Roman" w:hAnsi="Times New Roman" w:cs="Times New Roman"/>
          <w:sz w:val="24"/>
          <w:szCs w:val="24"/>
          <w:lang w:val="sq-AL"/>
        </w:rPr>
        <w:t>ë</w:t>
      </w:r>
      <w:r w:rsidRPr="008A6652">
        <w:rPr>
          <w:rFonts w:ascii="Times New Roman" w:hAnsi="Times New Roman" w:cs="Times New Roman"/>
          <w:sz w:val="24"/>
          <w:szCs w:val="24"/>
          <w:lang w:val="sq-AL"/>
        </w:rPr>
        <w:t>n</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nga K</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shilltari i Etik</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s, n</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lidhje me</w:t>
      </w:r>
      <w:r w:rsidR="008A2965">
        <w:rPr>
          <w:rFonts w:ascii="Times New Roman" w:hAnsi="Times New Roman" w:cs="Times New Roman"/>
          <w:sz w:val="24"/>
          <w:szCs w:val="24"/>
          <w:lang w:val="sq-AL"/>
        </w:rPr>
        <w:t xml:space="preserve"> kufijt</w:t>
      </w:r>
      <w:r w:rsidR="00F65691">
        <w:rPr>
          <w:rFonts w:ascii="Times New Roman" w:hAnsi="Times New Roman" w:cs="Times New Roman"/>
          <w:sz w:val="24"/>
          <w:szCs w:val="24"/>
          <w:lang w:val="sq-AL"/>
        </w:rPr>
        <w:t>ë</w:t>
      </w:r>
      <w:r w:rsidR="008A2965">
        <w:rPr>
          <w:rFonts w:ascii="Times New Roman" w:hAnsi="Times New Roman" w:cs="Times New Roman"/>
          <w:sz w:val="24"/>
          <w:szCs w:val="24"/>
          <w:lang w:val="sq-AL"/>
        </w:rPr>
        <w:t xml:space="preserve"> e</w:t>
      </w:r>
      <w:r w:rsidRPr="008A6652">
        <w:rPr>
          <w:rFonts w:ascii="Times New Roman" w:hAnsi="Times New Roman" w:cs="Times New Roman"/>
          <w:sz w:val="24"/>
          <w:szCs w:val="24"/>
          <w:lang w:val="sq-AL"/>
        </w:rPr>
        <w:t xml:space="preserve"> p</w:t>
      </w:r>
      <w:r w:rsidR="008771D4" w:rsidRPr="008A6652">
        <w:rPr>
          <w:rFonts w:ascii="Times New Roman" w:hAnsi="Times New Roman" w:cs="Times New Roman"/>
          <w:sz w:val="24"/>
          <w:szCs w:val="24"/>
          <w:lang w:val="sq-AL"/>
        </w:rPr>
        <w:t>ë</w:t>
      </w:r>
      <w:r w:rsidR="008A2965">
        <w:rPr>
          <w:rFonts w:ascii="Times New Roman" w:hAnsi="Times New Roman" w:cs="Times New Roman"/>
          <w:sz w:val="24"/>
          <w:szCs w:val="24"/>
          <w:lang w:val="sq-AL"/>
        </w:rPr>
        <w:t>rdorimit t</w:t>
      </w:r>
      <w:r w:rsidR="00F65691">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w:t>
      </w:r>
      <w:r w:rsidR="008A2965">
        <w:rPr>
          <w:rFonts w:ascii="Times New Roman" w:hAnsi="Times New Roman" w:cs="Times New Roman"/>
          <w:sz w:val="24"/>
          <w:szCs w:val="24"/>
          <w:lang w:val="sq-AL"/>
        </w:rPr>
        <w:t>rrjeteve/</w:t>
      </w:r>
      <w:r w:rsidRPr="008A6652">
        <w:rPr>
          <w:rFonts w:ascii="Times New Roman" w:hAnsi="Times New Roman" w:cs="Times New Roman"/>
          <w:sz w:val="24"/>
          <w:szCs w:val="24"/>
          <w:lang w:val="sq-AL"/>
        </w:rPr>
        <w:t>mediave sociale nga gjyqtar</w:t>
      </w:r>
      <w:r w:rsidR="008771D4" w:rsidRPr="008A6652">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t citohet se: </w:t>
      </w:r>
    </w:p>
    <w:p w14:paraId="3FC239CD" w14:textId="30851FA5" w:rsidR="00991058" w:rsidRPr="00DF5DBB" w:rsidRDefault="008A6652" w:rsidP="008A6652">
      <w:pPr>
        <w:ind w:left="14"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w:t>
      </w:r>
      <w:r w:rsidR="002636C8">
        <w:rPr>
          <w:rFonts w:ascii="Times New Roman" w:eastAsia="Times New Roman" w:hAnsi="Times New Roman" w:cs="Times New Roman"/>
          <w:i/>
          <w:iCs/>
          <w:sz w:val="24"/>
          <w:szCs w:val="24"/>
        </w:rPr>
        <w:t xml:space="preserve">- </w:t>
      </w:r>
      <w:r w:rsidR="00991058" w:rsidRPr="00DF5DBB">
        <w:rPr>
          <w:rFonts w:ascii="Times New Roman" w:eastAsia="Times New Roman" w:hAnsi="Times New Roman" w:cs="Times New Roman"/>
          <w:i/>
          <w:iCs/>
          <w:sz w:val="24"/>
          <w:szCs w:val="24"/>
        </w:rPr>
        <w:t>Kodi i Etikës Gjyqësore nuk ndalon përdorimin e mediave/rrjeteve sociale, por kërkon nga gjyqtarët të tregojnë vetëpërmbajtje (pika 9, shkronja 'k'). Kjo do të thotë se, gjyqtarët mund të përdorin mediat/rrjetet sociale për të bërë deklarata në lidhje me ligjin, sistemin ligjor ose administrimin e drejtësisë, por duhet të marrin në konsideratë sa më poshtë kur postojnë një koment apo nëse komunikojnë virtualisht me persona të tjerë në internet</w:t>
      </w:r>
      <w:r w:rsidRPr="00DF5DBB">
        <w:rPr>
          <w:rFonts w:ascii="Times New Roman" w:eastAsia="Times New Roman" w:hAnsi="Times New Roman" w:cs="Times New Roman"/>
          <w:i/>
          <w:iCs/>
          <w:sz w:val="24"/>
          <w:szCs w:val="24"/>
        </w:rPr>
        <w:t>:</w:t>
      </w:r>
    </w:p>
    <w:p w14:paraId="1930437E" w14:textId="760D6789" w:rsidR="00991058" w:rsidRPr="00DF5DBB" w:rsidRDefault="00991058" w:rsidP="00B766D5">
      <w:pPr>
        <w:pStyle w:val="ListParagraph"/>
        <w:numPr>
          <w:ilvl w:val="0"/>
          <w:numId w:val="12"/>
        </w:numPr>
        <w:ind w:right="14"/>
        <w:jc w:val="both"/>
        <w:rPr>
          <w:rFonts w:ascii="Times New Roman" w:hAnsi="Times New Roman" w:cs="Times New Roman"/>
          <w:i/>
          <w:iCs/>
          <w:sz w:val="24"/>
          <w:szCs w:val="24"/>
        </w:rPr>
      </w:pPr>
      <w:r w:rsidRPr="008A2965">
        <w:rPr>
          <w:rFonts w:ascii="Times New Roman" w:eastAsia="Times New Roman" w:hAnsi="Times New Roman" w:cs="Times New Roman"/>
          <w:b/>
          <w:i/>
          <w:iCs/>
          <w:sz w:val="24"/>
          <w:szCs w:val="24"/>
        </w:rPr>
        <w:lastRenderedPageBreak/>
        <w:t xml:space="preserve">të njëjtat standarde </w:t>
      </w:r>
      <w:r w:rsidRPr="00DF5DBB">
        <w:rPr>
          <w:rFonts w:ascii="Times New Roman" w:eastAsia="Times New Roman" w:hAnsi="Times New Roman" w:cs="Times New Roman"/>
          <w:i/>
          <w:iCs/>
          <w:sz w:val="24"/>
          <w:szCs w:val="24"/>
        </w:rPr>
        <w:t xml:space="preserve">për komunikimet gjyqësore që zbatohen gjatë ushtrimit të funksionit, duhet </w:t>
      </w:r>
      <w:r w:rsidRPr="00DF5DBB">
        <w:rPr>
          <w:i/>
          <w:iCs/>
          <w:noProof/>
          <w:lang w:val="en-US"/>
        </w:rPr>
        <w:drawing>
          <wp:inline distT="0" distB="0" distL="0" distR="0" wp14:anchorId="5D6A8EEE" wp14:editId="5BFA399E">
            <wp:extent cx="3048" cy="3048"/>
            <wp:effectExtent l="0" t="0" r="0" b="0"/>
            <wp:docPr id="19217" name="Picture 19217"/>
            <wp:cNvGraphicFramePr/>
            <a:graphic xmlns:a="http://schemas.openxmlformats.org/drawingml/2006/main">
              <a:graphicData uri="http://schemas.openxmlformats.org/drawingml/2006/picture">
                <pic:pic xmlns:pic="http://schemas.openxmlformats.org/drawingml/2006/picture">
                  <pic:nvPicPr>
                    <pic:cNvPr id="19217" name="Picture 19217"/>
                    <pic:cNvPicPr/>
                  </pic:nvPicPr>
                  <pic:blipFill>
                    <a:blip r:embed="rId10"/>
                    <a:stretch>
                      <a:fillRect/>
                    </a:stretch>
                  </pic:blipFill>
                  <pic:spPr>
                    <a:xfrm>
                      <a:off x="0" y="0"/>
                      <a:ext cx="3048" cy="3048"/>
                    </a:xfrm>
                    <a:prstGeom prst="rect">
                      <a:avLst/>
                    </a:prstGeom>
                  </pic:spPr>
                </pic:pic>
              </a:graphicData>
            </a:graphic>
          </wp:inline>
        </w:drawing>
      </w:r>
      <w:r w:rsidRPr="00DF5DBB">
        <w:rPr>
          <w:rFonts w:ascii="Times New Roman" w:eastAsia="Times New Roman" w:hAnsi="Times New Roman" w:cs="Times New Roman"/>
          <w:i/>
          <w:iCs/>
          <w:sz w:val="24"/>
          <w:szCs w:val="24"/>
        </w:rPr>
        <w:t>të zbatohen me të njëjtën forcë edhe për deklaratat/komentet/komunikimet në internet dhe postimet në mediat sociale;</w:t>
      </w:r>
    </w:p>
    <w:p w14:paraId="6B9A0054" w14:textId="651B66F0" w:rsidR="00991058" w:rsidRPr="00DF5DBB" w:rsidRDefault="00991058" w:rsidP="00B766D5">
      <w:pPr>
        <w:numPr>
          <w:ilvl w:val="0"/>
          <w:numId w:val="12"/>
        </w:numPr>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për shkak të mungesës së kontrollit mbi shpërndarjen dhe qëndrueshmërinë e deklaratave/komenteve/komunikimeve në internet, </w:t>
      </w:r>
      <w:r w:rsidRPr="008A2965">
        <w:rPr>
          <w:rFonts w:ascii="Times New Roman" w:eastAsia="Times New Roman" w:hAnsi="Times New Roman" w:cs="Times New Roman"/>
          <w:b/>
          <w:i/>
          <w:iCs/>
          <w:sz w:val="24"/>
          <w:szCs w:val="24"/>
        </w:rPr>
        <w:t>gjyqtarët duhet të tregojnë kujdes e vetëpërmbajtje,</w:t>
      </w:r>
      <w:r w:rsidRPr="00DF5DBB">
        <w:rPr>
          <w:rFonts w:ascii="Times New Roman" w:eastAsia="Times New Roman" w:hAnsi="Times New Roman" w:cs="Times New Roman"/>
          <w:i/>
          <w:iCs/>
          <w:sz w:val="24"/>
          <w:szCs w:val="24"/>
        </w:rPr>
        <w:t xml:space="preserve"> si dhe duhet të marrin në konsideratë përhapjen e gjerë që informacioni mund të ketë në internet, që jo domosdoshmërish</w:t>
      </w:r>
      <w:r w:rsidR="008A6652" w:rsidRPr="00DF5DBB">
        <w:rPr>
          <w:rFonts w:ascii="Times New Roman" w:eastAsia="Times New Roman" w:hAnsi="Times New Roman" w:cs="Times New Roman"/>
          <w:i/>
          <w:iCs/>
          <w:sz w:val="24"/>
          <w:szCs w:val="24"/>
        </w:rPr>
        <w:t>t</w:t>
      </w:r>
      <w:r w:rsidRPr="00DF5DBB">
        <w:rPr>
          <w:rFonts w:ascii="Times New Roman" w:eastAsia="Times New Roman" w:hAnsi="Times New Roman" w:cs="Times New Roman"/>
          <w:i/>
          <w:iCs/>
          <w:sz w:val="24"/>
          <w:szCs w:val="24"/>
        </w:rPr>
        <w:t xml:space="preserve"> mund të përfshijë vetëm 'miqtë virtualë' e gjyqtarit (pavarësisht kushteve të privatësisë që gjyqtari mund të ketë vënë);</w:t>
      </w:r>
    </w:p>
    <w:p w14:paraId="0E0B8244" w14:textId="77777777" w:rsidR="00991058" w:rsidRPr="00DF5DBB" w:rsidRDefault="00991058" w:rsidP="00B766D5">
      <w:pPr>
        <w:numPr>
          <w:ilvl w:val="0"/>
          <w:numId w:val="12"/>
        </w:numPr>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ndërsa deklaratat në lidhje me ligjin, sistemin ligjor ose administrimin e drejtësisë janë përgjithësisht të lejueshme, gjyqtarët </w:t>
      </w:r>
      <w:r w:rsidRPr="000A16F3">
        <w:rPr>
          <w:rFonts w:ascii="Times New Roman" w:eastAsia="Times New Roman" w:hAnsi="Times New Roman" w:cs="Times New Roman"/>
          <w:b/>
          <w:i/>
          <w:iCs/>
          <w:sz w:val="24"/>
          <w:szCs w:val="24"/>
        </w:rPr>
        <w:t xml:space="preserve">nuk mund të përfshihen në komente të ndaluara shoqërore </w:t>
      </w:r>
      <w:r w:rsidRPr="000A16F3">
        <w:rPr>
          <w:rFonts w:ascii="Times New Roman" w:hAnsi="Times New Roman" w:cs="Times New Roman"/>
          <w:b/>
          <w:i/>
          <w:iCs/>
          <w:noProof/>
          <w:sz w:val="24"/>
          <w:szCs w:val="24"/>
          <w:lang w:val="en-US"/>
        </w:rPr>
        <w:drawing>
          <wp:inline distT="0" distB="0" distL="0" distR="0" wp14:anchorId="29815797" wp14:editId="6209F2A0">
            <wp:extent cx="3048" cy="3049"/>
            <wp:effectExtent l="0" t="0" r="0" b="0"/>
            <wp:docPr id="19220" name="Picture 19220"/>
            <wp:cNvGraphicFramePr/>
            <a:graphic xmlns:a="http://schemas.openxmlformats.org/drawingml/2006/main">
              <a:graphicData uri="http://schemas.openxmlformats.org/drawingml/2006/picture">
                <pic:pic xmlns:pic="http://schemas.openxmlformats.org/drawingml/2006/picture">
                  <pic:nvPicPr>
                    <pic:cNvPr id="19220" name="Picture 19220"/>
                    <pic:cNvPicPr/>
                  </pic:nvPicPr>
                  <pic:blipFill>
                    <a:blip r:embed="rId11"/>
                    <a:stretch>
                      <a:fillRect/>
                    </a:stretch>
                  </pic:blipFill>
                  <pic:spPr>
                    <a:xfrm>
                      <a:off x="0" y="0"/>
                      <a:ext cx="3048" cy="3049"/>
                    </a:xfrm>
                    <a:prstGeom prst="rect">
                      <a:avLst/>
                    </a:prstGeom>
                  </pic:spPr>
                </pic:pic>
              </a:graphicData>
            </a:graphic>
          </wp:inline>
        </w:drawing>
      </w:r>
      <w:r w:rsidRPr="000A16F3">
        <w:rPr>
          <w:rFonts w:ascii="Times New Roman" w:eastAsia="Times New Roman" w:hAnsi="Times New Roman" w:cs="Times New Roman"/>
          <w:b/>
          <w:i/>
          <w:iCs/>
          <w:sz w:val="24"/>
          <w:szCs w:val="24"/>
        </w:rPr>
        <w:t>ose politike në mediat sociale;</w:t>
      </w:r>
      <w:r w:rsidRPr="00DF5DBB">
        <w:rPr>
          <w:rFonts w:ascii="Times New Roman" w:eastAsia="Times New Roman" w:hAnsi="Times New Roman" w:cs="Times New Roman"/>
          <w:i/>
          <w:iCs/>
          <w:sz w:val="24"/>
          <w:szCs w:val="24"/>
        </w:rPr>
        <w:t xml:space="preserve"> dhe</w:t>
      </w:r>
    </w:p>
    <w:p w14:paraId="50535B4F" w14:textId="7BEC3A4A" w:rsidR="008A6652" w:rsidRPr="002636C8" w:rsidRDefault="00991058" w:rsidP="002636C8">
      <w:pPr>
        <w:numPr>
          <w:ilvl w:val="0"/>
          <w:numId w:val="12"/>
        </w:numPr>
        <w:spacing w:after="285"/>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gjyqtarët duhet të </w:t>
      </w:r>
      <w:r w:rsidRPr="000A16F3">
        <w:rPr>
          <w:rFonts w:ascii="Times New Roman" w:eastAsia="Times New Roman" w:hAnsi="Times New Roman" w:cs="Times New Roman"/>
          <w:b/>
          <w:i/>
          <w:iCs/>
          <w:sz w:val="24"/>
          <w:szCs w:val="24"/>
        </w:rPr>
        <w:t>vlerësojnë me kujdes se çfarë synojnë të postojnë dhe të monitorojnë vazhdimisht komunikimet dhe postimet</w:t>
      </w:r>
      <w:r w:rsidRPr="00DF5DBB">
        <w:rPr>
          <w:rFonts w:ascii="Times New Roman" w:eastAsia="Times New Roman" w:hAnsi="Times New Roman" w:cs="Times New Roman"/>
          <w:i/>
          <w:iCs/>
          <w:sz w:val="24"/>
          <w:szCs w:val="24"/>
        </w:rPr>
        <w:t xml:space="preserve"> e tyre në media sociale, për të siguruar besimin e publikut në integritetin, pavarësinë dhe paanësinë e gjyqësorit.</w:t>
      </w:r>
    </w:p>
    <w:p w14:paraId="25CA9572" w14:textId="0C7BCECC" w:rsidR="002B77A3" w:rsidRPr="002636C8" w:rsidRDefault="002B77A3" w:rsidP="002636C8">
      <w:pPr>
        <w:pStyle w:val="ListParagraph"/>
        <w:numPr>
          <w:ilvl w:val="0"/>
          <w:numId w:val="14"/>
        </w:numPr>
        <w:spacing w:after="226"/>
        <w:ind w:right="14"/>
        <w:jc w:val="both"/>
        <w:rPr>
          <w:rFonts w:ascii="Times New Roman" w:eastAsia="Times New Roman" w:hAnsi="Times New Roman" w:cs="Times New Roman"/>
          <w:i/>
          <w:iCs/>
          <w:sz w:val="24"/>
          <w:szCs w:val="24"/>
        </w:rPr>
      </w:pPr>
      <w:r w:rsidRPr="00DF5DBB">
        <w:rPr>
          <w:noProof/>
          <w:lang w:val="en-US"/>
        </w:rPr>
        <w:drawing>
          <wp:anchor distT="0" distB="0" distL="114300" distR="114300" simplePos="0" relativeHeight="251659264" behindDoc="0" locked="0" layoutInCell="1" allowOverlap="0" wp14:anchorId="67D3FBCC" wp14:editId="4A6FA297">
            <wp:simplePos x="0" y="0"/>
            <wp:positionH relativeFrom="page">
              <wp:posOffset>3081528</wp:posOffset>
            </wp:positionH>
            <wp:positionV relativeFrom="page">
              <wp:posOffset>533487</wp:posOffset>
            </wp:positionV>
            <wp:extent cx="3049" cy="3049"/>
            <wp:effectExtent l="0" t="0" r="0" b="0"/>
            <wp:wrapTopAndBottom/>
            <wp:docPr id="19214" name="Picture 19214"/>
            <wp:cNvGraphicFramePr/>
            <a:graphic xmlns:a="http://schemas.openxmlformats.org/drawingml/2006/main">
              <a:graphicData uri="http://schemas.openxmlformats.org/drawingml/2006/picture">
                <pic:pic xmlns:pic="http://schemas.openxmlformats.org/drawingml/2006/picture">
                  <pic:nvPicPr>
                    <pic:cNvPr id="19214" name="Picture 19214"/>
                    <pic:cNvPicPr/>
                  </pic:nvPicPr>
                  <pic:blipFill>
                    <a:blip r:embed="rId12"/>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0288" behindDoc="0" locked="0" layoutInCell="1" allowOverlap="0" wp14:anchorId="37BD60C2" wp14:editId="7735CD83">
            <wp:simplePos x="0" y="0"/>
            <wp:positionH relativeFrom="page">
              <wp:posOffset>6751320</wp:posOffset>
            </wp:positionH>
            <wp:positionV relativeFrom="page">
              <wp:posOffset>1996766</wp:posOffset>
            </wp:positionV>
            <wp:extent cx="3049" cy="3049"/>
            <wp:effectExtent l="0" t="0" r="0" b="0"/>
            <wp:wrapSquare wrapText="bothSides"/>
            <wp:docPr id="19216" name="Picture 19216"/>
            <wp:cNvGraphicFramePr/>
            <a:graphic xmlns:a="http://schemas.openxmlformats.org/drawingml/2006/main">
              <a:graphicData uri="http://schemas.openxmlformats.org/drawingml/2006/picture">
                <pic:pic xmlns:pic="http://schemas.openxmlformats.org/drawingml/2006/picture">
                  <pic:nvPicPr>
                    <pic:cNvPr id="19216" name="Picture 19216"/>
                    <pic:cNvPicPr/>
                  </pic:nvPicPr>
                  <pic:blipFill>
                    <a:blip r:embed="rId13"/>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1312" behindDoc="0" locked="0" layoutInCell="1" allowOverlap="0" wp14:anchorId="661A0F07" wp14:editId="10BF63E0">
            <wp:simplePos x="0" y="0"/>
            <wp:positionH relativeFrom="page">
              <wp:posOffset>6757416</wp:posOffset>
            </wp:positionH>
            <wp:positionV relativeFrom="page">
              <wp:posOffset>3880738</wp:posOffset>
            </wp:positionV>
            <wp:extent cx="3048" cy="3049"/>
            <wp:effectExtent l="0" t="0" r="0" b="0"/>
            <wp:wrapSquare wrapText="bothSides"/>
            <wp:docPr id="19219" name="Picture 19219"/>
            <wp:cNvGraphicFramePr/>
            <a:graphic xmlns:a="http://schemas.openxmlformats.org/drawingml/2006/main">
              <a:graphicData uri="http://schemas.openxmlformats.org/drawingml/2006/picture">
                <pic:pic xmlns:pic="http://schemas.openxmlformats.org/drawingml/2006/picture">
                  <pic:nvPicPr>
                    <pic:cNvPr id="19219" name="Picture 19219"/>
                    <pic:cNvPicPr/>
                  </pic:nvPicPr>
                  <pic:blipFill>
                    <a:blip r:embed="rId14"/>
                    <a:stretch>
                      <a:fillRect/>
                    </a:stretch>
                  </pic:blipFill>
                  <pic:spPr>
                    <a:xfrm>
                      <a:off x="0" y="0"/>
                      <a:ext cx="3048" cy="3049"/>
                    </a:xfrm>
                    <a:prstGeom prst="rect">
                      <a:avLst/>
                    </a:prstGeom>
                  </pic:spPr>
                </pic:pic>
              </a:graphicData>
            </a:graphic>
          </wp:anchor>
        </w:drawing>
      </w:r>
      <w:r w:rsidRPr="00DF5DBB">
        <w:rPr>
          <w:noProof/>
          <w:lang w:val="en-US"/>
        </w:rPr>
        <w:drawing>
          <wp:anchor distT="0" distB="0" distL="114300" distR="114300" simplePos="0" relativeHeight="251662336" behindDoc="0" locked="0" layoutInCell="1" allowOverlap="0" wp14:anchorId="1967442C" wp14:editId="29AEFD83">
            <wp:simplePos x="0" y="0"/>
            <wp:positionH relativeFrom="page">
              <wp:posOffset>6760464</wp:posOffset>
            </wp:positionH>
            <wp:positionV relativeFrom="page">
              <wp:posOffset>3295426</wp:posOffset>
            </wp:positionV>
            <wp:extent cx="3048" cy="3049"/>
            <wp:effectExtent l="0" t="0" r="0" b="0"/>
            <wp:wrapSquare wrapText="bothSides"/>
            <wp:docPr id="19218" name="Picture 19218"/>
            <wp:cNvGraphicFramePr/>
            <a:graphic xmlns:a="http://schemas.openxmlformats.org/drawingml/2006/main">
              <a:graphicData uri="http://schemas.openxmlformats.org/drawingml/2006/picture">
                <pic:pic xmlns:pic="http://schemas.openxmlformats.org/drawingml/2006/picture">
                  <pic:nvPicPr>
                    <pic:cNvPr id="19218" name="Picture 19218"/>
                    <pic:cNvPicPr/>
                  </pic:nvPicPr>
                  <pic:blipFill>
                    <a:blip r:embed="rId15"/>
                    <a:stretch>
                      <a:fillRect/>
                    </a:stretch>
                  </pic:blipFill>
                  <pic:spPr>
                    <a:xfrm>
                      <a:off x="0" y="0"/>
                      <a:ext cx="3048" cy="3049"/>
                    </a:xfrm>
                    <a:prstGeom prst="rect">
                      <a:avLst/>
                    </a:prstGeom>
                  </pic:spPr>
                </pic:pic>
              </a:graphicData>
            </a:graphic>
          </wp:anchor>
        </w:drawing>
      </w:r>
      <w:r w:rsidRPr="00DF5DBB">
        <w:rPr>
          <w:noProof/>
          <w:lang w:val="en-US"/>
        </w:rPr>
        <w:drawing>
          <wp:anchor distT="0" distB="0" distL="114300" distR="114300" simplePos="0" relativeHeight="251663360" behindDoc="0" locked="0" layoutInCell="1" allowOverlap="0" wp14:anchorId="394066E7" wp14:editId="76B87D5D">
            <wp:simplePos x="0" y="0"/>
            <wp:positionH relativeFrom="page">
              <wp:posOffset>6751320</wp:posOffset>
            </wp:positionH>
            <wp:positionV relativeFrom="page">
              <wp:posOffset>5350114</wp:posOffset>
            </wp:positionV>
            <wp:extent cx="3049" cy="3049"/>
            <wp:effectExtent l="0" t="0" r="0" b="0"/>
            <wp:wrapSquare wrapText="bothSides"/>
            <wp:docPr id="19221" name="Picture 19221"/>
            <wp:cNvGraphicFramePr/>
            <a:graphic xmlns:a="http://schemas.openxmlformats.org/drawingml/2006/main">
              <a:graphicData uri="http://schemas.openxmlformats.org/drawingml/2006/picture">
                <pic:pic xmlns:pic="http://schemas.openxmlformats.org/drawingml/2006/picture">
                  <pic:nvPicPr>
                    <pic:cNvPr id="19221" name="Picture 19221"/>
                    <pic:cNvPicPr/>
                  </pic:nvPicPr>
                  <pic:blipFill>
                    <a:blip r:embed="rId16"/>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4384" behindDoc="0" locked="0" layoutInCell="1" allowOverlap="0" wp14:anchorId="1EAE43A3" wp14:editId="1E657898">
            <wp:simplePos x="0" y="0"/>
            <wp:positionH relativeFrom="page">
              <wp:posOffset>990600</wp:posOffset>
            </wp:positionH>
            <wp:positionV relativeFrom="page">
              <wp:posOffset>6685356</wp:posOffset>
            </wp:positionV>
            <wp:extent cx="3048" cy="3049"/>
            <wp:effectExtent l="0" t="0" r="0" b="0"/>
            <wp:wrapSquare wrapText="bothSides"/>
            <wp:docPr id="19222" name="Picture 19222"/>
            <wp:cNvGraphicFramePr/>
            <a:graphic xmlns:a="http://schemas.openxmlformats.org/drawingml/2006/main">
              <a:graphicData uri="http://schemas.openxmlformats.org/drawingml/2006/picture">
                <pic:pic xmlns:pic="http://schemas.openxmlformats.org/drawingml/2006/picture">
                  <pic:nvPicPr>
                    <pic:cNvPr id="19222" name="Picture 19222"/>
                    <pic:cNvPicPr/>
                  </pic:nvPicPr>
                  <pic:blipFill>
                    <a:blip r:embed="rId17"/>
                    <a:stretch>
                      <a:fillRect/>
                    </a:stretch>
                  </pic:blipFill>
                  <pic:spPr>
                    <a:xfrm>
                      <a:off x="0" y="0"/>
                      <a:ext cx="3048" cy="3049"/>
                    </a:xfrm>
                    <a:prstGeom prst="rect">
                      <a:avLst/>
                    </a:prstGeom>
                  </pic:spPr>
                </pic:pic>
              </a:graphicData>
            </a:graphic>
          </wp:anchor>
        </w:drawing>
      </w:r>
      <w:r w:rsidRPr="00DF5DBB">
        <w:rPr>
          <w:noProof/>
          <w:lang w:val="en-US"/>
        </w:rPr>
        <w:drawing>
          <wp:anchor distT="0" distB="0" distL="114300" distR="114300" simplePos="0" relativeHeight="251665408" behindDoc="0" locked="0" layoutInCell="1" allowOverlap="0" wp14:anchorId="35D0116C" wp14:editId="0A392A8A">
            <wp:simplePos x="0" y="0"/>
            <wp:positionH relativeFrom="page">
              <wp:posOffset>6769608</wp:posOffset>
            </wp:positionH>
            <wp:positionV relativeFrom="page">
              <wp:posOffset>6715841</wp:posOffset>
            </wp:positionV>
            <wp:extent cx="3049" cy="3049"/>
            <wp:effectExtent l="0" t="0" r="0" b="0"/>
            <wp:wrapSquare wrapText="bothSides"/>
            <wp:docPr id="19223" name="Picture 19223"/>
            <wp:cNvGraphicFramePr/>
            <a:graphic xmlns:a="http://schemas.openxmlformats.org/drawingml/2006/main">
              <a:graphicData uri="http://schemas.openxmlformats.org/drawingml/2006/picture">
                <pic:pic xmlns:pic="http://schemas.openxmlformats.org/drawingml/2006/picture">
                  <pic:nvPicPr>
                    <pic:cNvPr id="19223" name="Picture 19223"/>
                    <pic:cNvPicPr/>
                  </pic:nvPicPr>
                  <pic:blipFill>
                    <a:blip r:embed="rId15"/>
                    <a:stretch>
                      <a:fillRect/>
                    </a:stretch>
                  </pic:blipFill>
                  <pic:spPr>
                    <a:xfrm>
                      <a:off x="0" y="0"/>
                      <a:ext cx="3049" cy="3049"/>
                    </a:xfrm>
                    <a:prstGeom prst="rect">
                      <a:avLst/>
                    </a:prstGeom>
                  </pic:spPr>
                </pic:pic>
              </a:graphicData>
            </a:graphic>
          </wp:anchor>
        </w:drawing>
      </w:r>
      <w:r w:rsidRPr="00DF5DBB">
        <w:rPr>
          <w:noProof/>
          <w:lang w:val="en-US"/>
        </w:rPr>
        <w:drawing>
          <wp:anchor distT="0" distB="0" distL="114300" distR="114300" simplePos="0" relativeHeight="251666432" behindDoc="0" locked="0" layoutInCell="1" allowOverlap="0" wp14:anchorId="4E219C7D" wp14:editId="7A7D55A0">
            <wp:simplePos x="0" y="0"/>
            <wp:positionH relativeFrom="page">
              <wp:posOffset>6766560</wp:posOffset>
            </wp:positionH>
            <wp:positionV relativeFrom="page">
              <wp:posOffset>7584663</wp:posOffset>
            </wp:positionV>
            <wp:extent cx="3048" cy="3048"/>
            <wp:effectExtent l="0" t="0" r="0" b="0"/>
            <wp:wrapSquare wrapText="bothSides"/>
            <wp:docPr id="19224" name="Picture 19224"/>
            <wp:cNvGraphicFramePr/>
            <a:graphic xmlns:a="http://schemas.openxmlformats.org/drawingml/2006/main">
              <a:graphicData uri="http://schemas.openxmlformats.org/drawingml/2006/picture">
                <pic:pic xmlns:pic="http://schemas.openxmlformats.org/drawingml/2006/picture">
                  <pic:nvPicPr>
                    <pic:cNvPr id="19224" name="Picture 19224"/>
                    <pic:cNvPicPr/>
                  </pic:nvPicPr>
                  <pic:blipFill>
                    <a:blip r:embed="rId10"/>
                    <a:stretch>
                      <a:fillRect/>
                    </a:stretch>
                  </pic:blipFill>
                  <pic:spPr>
                    <a:xfrm>
                      <a:off x="0" y="0"/>
                      <a:ext cx="3048" cy="3048"/>
                    </a:xfrm>
                    <a:prstGeom prst="rect">
                      <a:avLst/>
                    </a:prstGeom>
                  </pic:spPr>
                </pic:pic>
              </a:graphicData>
            </a:graphic>
          </wp:anchor>
        </w:drawing>
      </w:r>
      <w:r w:rsidRPr="00DF5DBB">
        <w:rPr>
          <w:noProof/>
          <w:lang w:val="en-US"/>
        </w:rPr>
        <w:drawing>
          <wp:anchor distT="0" distB="0" distL="114300" distR="114300" simplePos="0" relativeHeight="251667456" behindDoc="0" locked="0" layoutInCell="1" allowOverlap="0" wp14:anchorId="354AE2BF" wp14:editId="14E98A89">
            <wp:simplePos x="0" y="0"/>
            <wp:positionH relativeFrom="page">
              <wp:posOffset>6781800</wp:posOffset>
            </wp:positionH>
            <wp:positionV relativeFrom="page">
              <wp:posOffset>8340690</wp:posOffset>
            </wp:positionV>
            <wp:extent cx="3048" cy="3048"/>
            <wp:effectExtent l="0" t="0" r="0" b="0"/>
            <wp:wrapSquare wrapText="bothSides"/>
            <wp:docPr id="19225" name="Picture 19225"/>
            <wp:cNvGraphicFramePr/>
            <a:graphic xmlns:a="http://schemas.openxmlformats.org/drawingml/2006/main">
              <a:graphicData uri="http://schemas.openxmlformats.org/drawingml/2006/picture">
                <pic:pic xmlns:pic="http://schemas.openxmlformats.org/drawingml/2006/picture">
                  <pic:nvPicPr>
                    <pic:cNvPr id="19225" name="Picture 19225"/>
                    <pic:cNvPicPr/>
                  </pic:nvPicPr>
                  <pic:blipFill>
                    <a:blip r:embed="rId18"/>
                    <a:stretch>
                      <a:fillRect/>
                    </a:stretch>
                  </pic:blipFill>
                  <pic:spPr>
                    <a:xfrm>
                      <a:off x="0" y="0"/>
                      <a:ext cx="3048" cy="3048"/>
                    </a:xfrm>
                    <a:prstGeom prst="rect">
                      <a:avLst/>
                    </a:prstGeom>
                  </pic:spPr>
                </pic:pic>
              </a:graphicData>
            </a:graphic>
          </wp:anchor>
        </w:drawing>
      </w:r>
      <w:r w:rsidRPr="002636C8">
        <w:rPr>
          <w:rFonts w:ascii="Times New Roman" w:eastAsia="Times New Roman" w:hAnsi="Times New Roman" w:cs="Times New Roman"/>
          <w:i/>
          <w:iCs/>
          <w:sz w:val="24"/>
          <w:szCs w:val="24"/>
        </w:rPr>
        <w:t>Mediat sociale janë bërë një formë e përhapur e komunikimit dhe socializimit në jetën e</w:t>
      </w:r>
      <w:r w:rsidR="008A6652" w:rsidRPr="002636C8">
        <w:rPr>
          <w:rFonts w:ascii="Times New Roman" w:hAnsi="Times New Roman" w:cs="Times New Roman"/>
          <w:i/>
          <w:iCs/>
          <w:sz w:val="24"/>
          <w:szCs w:val="24"/>
        </w:rPr>
        <w:t xml:space="preserve"> </w:t>
      </w:r>
      <w:r w:rsidRPr="002636C8">
        <w:rPr>
          <w:rFonts w:ascii="Times New Roman" w:eastAsia="Times New Roman" w:hAnsi="Times New Roman" w:cs="Times New Roman"/>
          <w:i/>
          <w:iCs/>
          <w:sz w:val="24"/>
          <w:szCs w:val="24"/>
        </w:rPr>
        <w:t xml:space="preserve">përditshme. Mediat sociale përdoren zakonisht për të shkëmbyer informacione, për t'u lidhur me rrjetin, për t'u lidhur me miqtë dhe për të shprehur mendimet. Gjyqtarët nuk bëjnë përjashtim dhe as nuk mund t'ju kërkohet ndalimi i përdorimit të rrjeteve sociale, si në aspektin profesional ashtu edhe në atë personal. Por, duhet mbajtur në konsideratë fakti se, përdorimi i mediave apo rrjeteve sociale, rregullohet nga të njëjtat rregulla që rregullojnë deklaratat apo komunikimet e bëra në çdo kontekst tjetër. </w:t>
      </w:r>
      <w:r w:rsidRPr="002636C8">
        <w:rPr>
          <w:rFonts w:ascii="Times New Roman" w:eastAsia="Times New Roman" w:hAnsi="Times New Roman" w:cs="Times New Roman"/>
          <w:b/>
          <w:i/>
          <w:iCs/>
          <w:sz w:val="24"/>
          <w:szCs w:val="24"/>
        </w:rPr>
        <w:t>Kjo do të thotë se Kodi i Etikës do të gjejë të njëjtin zbatim si për sjelljen apo komunikimet 'tradicionale' (sjellja e tij zyrtare apo private), ashtu edhe për sjelljen apo komunikimet në internet</w:t>
      </w:r>
      <w:r w:rsidRPr="002636C8">
        <w:rPr>
          <w:rFonts w:ascii="Times New Roman" w:eastAsia="Times New Roman" w:hAnsi="Times New Roman" w:cs="Times New Roman"/>
          <w:i/>
          <w:iCs/>
          <w:sz w:val="24"/>
          <w:szCs w:val="24"/>
        </w:rPr>
        <w:t>. Në këtë vështrim, gjyqtari duhet të ruajë dinjitetin, të garantojë pavarësinë e gjyqësorit dhe paanësinë e tij, të ketë në konsideratë përgjegjësitë e funksionit që ushtron, të shmangë çdo sjellje të pahijshme dhe të tregojë vetëpërmbajtje në aktivitetet e tij — edhe gjatë komunikimeve në internet apo në përdorimin</w:t>
      </w:r>
      <w:r w:rsidR="008A6652" w:rsidRPr="002636C8">
        <w:rPr>
          <w:rFonts w:ascii="Times New Roman" w:eastAsia="Times New Roman" w:hAnsi="Times New Roman" w:cs="Times New Roman"/>
          <w:i/>
          <w:iCs/>
          <w:sz w:val="24"/>
          <w:szCs w:val="24"/>
        </w:rPr>
        <w:t xml:space="preserve"> </w:t>
      </w:r>
      <w:r w:rsidRPr="002636C8">
        <w:rPr>
          <w:rFonts w:ascii="Times New Roman" w:eastAsia="Times New Roman" w:hAnsi="Times New Roman" w:cs="Times New Roman"/>
          <w:i/>
          <w:iCs/>
          <w:sz w:val="24"/>
          <w:szCs w:val="24"/>
        </w:rPr>
        <w:t xml:space="preserve"> </w:t>
      </w:r>
      <w:r w:rsidR="008A6652" w:rsidRPr="002636C8">
        <w:rPr>
          <w:rFonts w:ascii="Times New Roman" w:eastAsia="Times New Roman" w:hAnsi="Times New Roman" w:cs="Times New Roman"/>
          <w:i/>
          <w:iCs/>
          <w:sz w:val="24"/>
          <w:szCs w:val="24"/>
        </w:rPr>
        <w:t xml:space="preserve">e </w:t>
      </w:r>
      <w:r w:rsidRPr="002636C8">
        <w:rPr>
          <w:rFonts w:ascii="Times New Roman" w:eastAsia="Times New Roman" w:hAnsi="Times New Roman" w:cs="Times New Roman"/>
          <w:i/>
          <w:iCs/>
          <w:sz w:val="24"/>
          <w:szCs w:val="24"/>
        </w:rPr>
        <w:t>mediave/rrjeteve sociale.</w:t>
      </w:r>
    </w:p>
    <w:p w14:paraId="12C5BE7C" w14:textId="77777777" w:rsidR="00CD1D61" w:rsidRPr="00DF5DBB" w:rsidRDefault="00CD1D61" w:rsidP="008A6652">
      <w:pPr>
        <w:pStyle w:val="ListParagraph"/>
        <w:spacing w:after="0" w:line="278" w:lineRule="auto"/>
        <w:ind w:left="14"/>
        <w:jc w:val="both"/>
        <w:rPr>
          <w:rFonts w:ascii="Times New Roman" w:eastAsia="Times New Roman" w:hAnsi="Times New Roman" w:cs="Times New Roman"/>
          <w:i/>
          <w:iCs/>
          <w:sz w:val="24"/>
          <w:szCs w:val="24"/>
        </w:rPr>
      </w:pPr>
    </w:p>
    <w:p w14:paraId="7FAE0A4C" w14:textId="2ECAC203" w:rsidR="00CD1D61" w:rsidRPr="002C691C" w:rsidRDefault="00CD1D61" w:rsidP="002C691C">
      <w:pPr>
        <w:pStyle w:val="ListParagraph"/>
        <w:numPr>
          <w:ilvl w:val="0"/>
          <w:numId w:val="14"/>
        </w:numPr>
        <w:spacing w:after="286"/>
        <w:ind w:right="14"/>
        <w:jc w:val="both"/>
        <w:rPr>
          <w:rFonts w:ascii="Times New Roman" w:hAnsi="Times New Roman" w:cs="Times New Roman"/>
          <w:i/>
          <w:iCs/>
          <w:sz w:val="24"/>
          <w:szCs w:val="24"/>
        </w:rPr>
      </w:pPr>
      <w:r w:rsidRPr="002636C8">
        <w:rPr>
          <w:rFonts w:ascii="Times New Roman" w:eastAsia="Times New Roman" w:hAnsi="Times New Roman" w:cs="Times New Roman"/>
          <w:i/>
          <w:iCs/>
          <w:sz w:val="24"/>
          <w:szCs w:val="24"/>
        </w:rPr>
        <w:t xml:space="preserve">Mediat sociale janë një mjet i fuqishëm për krijimin dhe mbajtjen e lidhjeve personale dhe profesionale, krijon mundësi për gjyqësorin të jetë i aksesueshëm nga shoqëria, ndaj duhet </w:t>
      </w:r>
      <w:r w:rsidRPr="00C66BE8">
        <w:rPr>
          <w:rFonts w:ascii="Times New Roman" w:eastAsia="Times New Roman" w:hAnsi="Times New Roman" w:cs="Times New Roman"/>
          <w:b/>
          <w:i/>
          <w:iCs/>
          <w:sz w:val="24"/>
          <w:szCs w:val="24"/>
        </w:rPr>
        <w:t>parë edhe si një mundësi e mirë për rritjen e besimit të publikut tek gjyqësori në përgjithësi</w:t>
      </w:r>
      <w:r w:rsidRPr="002636C8">
        <w:rPr>
          <w:rFonts w:ascii="Times New Roman" w:eastAsia="Times New Roman" w:hAnsi="Times New Roman" w:cs="Times New Roman"/>
          <w:i/>
          <w:iCs/>
          <w:sz w:val="24"/>
          <w:szCs w:val="24"/>
        </w:rPr>
        <w:t>. Pra, gjyqtarët nuk mund dhe nuk duhet të izolohen në jetën e tyre private apo nga komunikimi virtual. Por, nga ana tjetër, gjyqtarët duhet të presin që të jenë subjekt i vëzhgimit të vazhdueshëm publik dhe për këtë arsye duhet të pranojnë kufizime në sjelljen e tyre që mund të shihen si të rënda.</w:t>
      </w:r>
      <w:r w:rsidR="002C691C">
        <w:rPr>
          <w:rFonts w:ascii="Times New Roman" w:eastAsia="Times New Roman" w:hAnsi="Times New Roman" w:cs="Times New Roman"/>
          <w:i/>
          <w:iCs/>
          <w:sz w:val="24"/>
          <w:szCs w:val="24"/>
        </w:rPr>
        <w:t xml:space="preserve"> </w:t>
      </w:r>
      <w:r w:rsidRPr="00DF5DBB">
        <w:rPr>
          <w:noProof/>
          <w:lang w:val="en-US"/>
        </w:rPr>
        <w:drawing>
          <wp:anchor distT="0" distB="0" distL="114300" distR="114300" simplePos="0" relativeHeight="251669504" behindDoc="0" locked="0" layoutInCell="1" allowOverlap="0" wp14:anchorId="43E19866" wp14:editId="55A14B22">
            <wp:simplePos x="0" y="0"/>
            <wp:positionH relativeFrom="page">
              <wp:posOffset>1088136</wp:posOffset>
            </wp:positionH>
            <wp:positionV relativeFrom="page">
              <wp:posOffset>9024815</wp:posOffset>
            </wp:positionV>
            <wp:extent cx="3048" cy="3049"/>
            <wp:effectExtent l="0" t="0" r="0" b="0"/>
            <wp:wrapSquare wrapText="bothSides"/>
            <wp:docPr id="23374" name="Picture 23374"/>
            <wp:cNvGraphicFramePr/>
            <a:graphic xmlns:a="http://schemas.openxmlformats.org/drawingml/2006/main">
              <a:graphicData uri="http://schemas.openxmlformats.org/drawingml/2006/picture">
                <pic:pic xmlns:pic="http://schemas.openxmlformats.org/drawingml/2006/picture">
                  <pic:nvPicPr>
                    <pic:cNvPr id="23374" name="Picture 23374"/>
                    <pic:cNvPicPr/>
                  </pic:nvPicPr>
                  <pic:blipFill>
                    <a:blip r:embed="rId19"/>
                    <a:stretch>
                      <a:fillRect/>
                    </a:stretch>
                  </pic:blipFill>
                  <pic:spPr>
                    <a:xfrm>
                      <a:off x="0" y="0"/>
                      <a:ext cx="3048" cy="3049"/>
                    </a:xfrm>
                    <a:prstGeom prst="rect">
                      <a:avLst/>
                    </a:prstGeom>
                  </pic:spPr>
                </pic:pic>
              </a:graphicData>
            </a:graphic>
          </wp:anchor>
        </w:drawing>
      </w:r>
      <w:r w:rsidRPr="002C691C">
        <w:rPr>
          <w:rFonts w:ascii="Times New Roman" w:eastAsia="Times New Roman" w:hAnsi="Times New Roman" w:cs="Times New Roman"/>
          <w:i/>
          <w:iCs/>
          <w:sz w:val="24"/>
          <w:szCs w:val="24"/>
        </w:rPr>
        <w:t xml:space="preserve">Thënë kjo, gjyqtarët duhet të kenë kujdes dhe të </w:t>
      </w:r>
      <w:r w:rsidRPr="002C691C">
        <w:rPr>
          <w:rFonts w:ascii="Times New Roman" w:eastAsia="Times New Roman" w:hAnsi="Times New Roman" w:cs="Times New Roman"/>
          <w:b/>
          <w:i/>
          <w:iCs/>
          <w:sz w:val="24"/>
          <w:szCs w:val="24"/>
        </w:rPr>
        <w:t>analizojnë mënyrën se si publiku mund ta perceptojë aktivitetin e tyre në mediat/rrjetet sociale</w:t>
      </w:r>
      <w:r w:rsidRPr="002C691C">
        <w:rPr>
          <w:rFonts w:ascii="Times New Roman" w:eastAsia="Times New Roman" w:hAnsi="Times New Roman" w:cs="Times New Roman"/>
          <w:i/>
          <w:iCs/>
          <w:sz w:val="24"/>
          <w:szCs w:val="24"/>
        </w:rPr>
        <w:t xml:space="preserve"> dhe të për</w:t>
      </w:r>
      <w:r w:rsidR="002C691C">
        <w:rPr>
          <w:rFonts w:ascii="Times New Roman" w:eastAsia="Times New Roman" w:hAnsi="Times New Roman" w:cs="Times New Roman"/>
          <w:i/>
          <w:iCs/>
          <w:sz w:val="24"/>
          <w:szCs w:val="24"/>
        </w:rPr>
        <w:t>mbahen nga c</w:t>
      </w:r>
      <w:r w:rsidRPr="002C691C">
        <w:rPr>
          <w:rFonts w:ascii="Times New Roman" w:eastAsia="Times New Roman" w:hAnsi="Times New Roman" w:cs="Times New Roman"/>
          <w:i/>
          <w:iCs/>
          <w:sz w:val="24"/>
          <w:szCs w:val="24"/>
        </w:rPr>
        <w:t xml:space="preserve">do deklaratë apo komunikim në internet që vë në dyshim paanësinë e gjyqësorit apo të ketë sjellje të papërshtatshme, që mund të krijojnë dyshime të arsyeshme në lidhje me integritetin, paanshmërinë ose kompetencën e tij në trajtimin e </w:t>
      </w:r>
      <w:r w:rsidR="002C2EAA" w:rsidRPr="002C691C">
        <w:rPr>
          <w:rFonts w:ascii="Times New Roman" w:eastAsia="Times New Roman" w:hAnsi="Times New Roman" w:cs="Times New Roman"/>
          <w:i/>
          <w:iCs/>
          <w:sz w:val="24"/>
          <w:szCs w:val="24"/>
        </w:rPr>
        <w:t>ç</w:t>
      </w:r>
      <w:r w:rsidRPr="002C691C">
        <w:rPr>
          <w:rFonts w:ascii="Times New Roman" w:eastAsia="Times New Roman" w:hAnsi="Times New Roman" w:cs="Times New Roman"/>
          <w:i/>
          <w:iCs/>
          <w:sz w:val="24"/>
          <w:szCs w:val="24"/>
        </w:rPr>
        <w:t xml:space="preserve">ështjeve të caktuara. Nga ky këndvështrim, gjyqtarët duhet të konsiderojnë me kujdes nëse miqësitë në internet ose pjesëmarrja në grupe ose forume të caktuara në internet, mund të krijojnë dyshime apo mund të sugjerojnë që ata kanë lejuar 'familjen, shoqërinë, politikën ose marrëdhëniet ndër-personale', për të ndikuar në gjykimin e tyre ose për të </w:t>
      </w:r>
      <w:r w:rsidRPr="002C691C">
        <w:rPr>
          <w:rFonts w:ascii="Times New Roman" w:eastAsia="Times New Roman" w:hAnsi="Times New Roman" w:cs="Times New Roman"/>
          <w:i/>
          <w:iCs/>
          <w:sz w:val="24"/>
          <w:szCs w:val="24"/>
        </w:rPr>
        <w:lastRenderedPageBreak/>
        <w:t>dhënë përshtypjen se dikush është në një pozitë të veęantë për të ndikuar tek ata. Kujdes i ve</w:t>
      </w:r>
      <w:r w:rsidR="002C2EAA" w:rsidRPr="002C691C">
        <w:rPr>
          <w:rFonts w:ascii="Times New Roman" w:eastAsia="Times New Roman" w:hAnsi="Times New Roman" w:cs="Times New Roman"/>
          <w:i/>
          <w:iCs/>
          <w:sz w:val="24"/>
          <w:szCs w:val="24"/>
        </w:rPr>
        <w:t>ç</w:t>
      </w:r>
      <w:r w:rsidRPr="002C691C">
        <w:rPr>
          <w:rFonts w:ascii="Times New Roman" w:eastAsia="Times New Roman" w:hAnsi="Times New Roman" w:cs="Times New Roman"/>
          <w:i/>
          <w:iCs/>
          <w:sz w:val="24"/>
          <w:szCs w:val="24"/>
        </w:rPr>
        <w:t xml:space="preserve">antë </w:t>
      </w:r>
      <w:r w:rsidRPr="00DF5DBB">
        <w:rPr>
          <w:noProof/>
          <w:lang w:val="en-US"/>
        </w:rPr>
        <w:drawing>
          <wp:inline distT="0" distB="0" distL="0" distR="0" wp14:anchorId="0D348B3D" wp14:editId="33CE506B">
            <wp:extent cx="3048" cy="3049"/>
            <wp:effectExtent l="0" t="0" r="0" b="0"/>
            <wp:docPr id="23373" name="Picture 23373"/>
            <wp:cNvGraphicFramePr/>
            <a:graphic xmlns:a="http://schemas.openxmlformats.org/drawingml/2006/main">
              <a:graphicData uri="http://schemas.openxmlformats.org/drawingml/2006/picture">
                <pic:pic xmlns:pic="http://schemas.openxmlformats.org/drawingml/2006/picture">
                  <pic:nvPicPr>
                    <pic:cNvPr id="23373" name="Picture 23373"/>
                    <pic:cNvPicPr/>
                  </pic:nvPicPr>
                  <pic:blipFill>
                    <a:blip r:embed="rId20"/>
                    <a:stretch>
                      <a:fillRect/>
                    </a:stretch>
                  </pic:blipFill>
                  <pic:spPr>
                    <a:xfrm>
                      <a:off x="0" y="0"/>
                      <a:ext cx="3048" cy="3049"/>
                    </a:xfrm>
                    <a:prstGeom prst="rect">
                      <a:avLst/>
                    </a:prstGeom>
                  </pic:spPr>
                </pic:pic>
              </a:graphicData>
            </a:graphic>
          </wp:inline>
        </w:drawing>
      </w:r>
      <w:r w:rsidRPr="002C691C">
        <w:rPr>
          <w:rFonts w:ascii="Times New Roman" w:eastAsia="Times New Roman" w:hAnsi="Times New Roman" w:cs="Times New Roman"/>
          <w:i/>
          <w:iCs/>
          <w:sz w:val="24"/>
          <w:szCs w:val="24"/>
        </w:rPr>
        <w:t xml:space="preserve">duhet treguar me 'miqësitë virtuale' në internet, veęanërisht me avokatët në </w:t>
      </w:r>
      <w:r w:rsidR="002C2EAA" w:rsidRPr="002C691C">
        <w:rPr>
          <w:rFonts w:ascii="Times New Roman" w:eastAsia="Times New Roman" w:hAnsi="Times New Roman" w:cs="Times New Roman"/>
          <w:i/>
          <w:iCs/>
          <w:sz w:val="24"/>
          <w:szCs w:val="24"/>
        </w:rPr>
        <w:t>ç</w:t>
      </w:r>
      <w:r w:rsidRPr="002C691C">
        <w:rPr>
          <w:rFonts w:ascii="Times New Roman" w:eastAsia="Times New Roman" w:hAnsi="Times New Roman" w:cs="Times New Roman"/>
          <w:i/>
          <w:iCs/>
          <w:sz w:val="24"/>
          <w:szCs w:val="24"/>
        </w:rPr>
        <w:t>ështje të cilat gjyqtari i ka në gjykim apo në pritje për tu gjykuar. Gjyqtarët duhet të tregojnë kujdes edhe nëse 'pëlqejnë' një postim, një deklaratë apo reklamimet e produkteve të një biznesi.</w:t>
      </w:r>
    </w:p>
    <w:p w14:paraId="44FE4B7C" w14:textId="1BA5CBA2" w:rsidR="003140E5" w:rsidRPr="002C691C" w:rsidRDefault="00CD1D61" w:rsidP="002C691C">
      <w:pPr>
        <w:pStyle w:val="ListParagraph"/>
        <w:numPr>
          <w:ilvl w:val="0"/>
          <w:numId w:val="14"/>
        </w:numPr>
        <w:jc w:val="both"/>
        <w:rPr>
          <w:rFonts w:ascii="Times New Roman" w:eastAsia="Times New Roman" w:hAnsi="Times New Roman" w:cs="Times New Roman"/>
          <w:i/>
          <w:iCs/>
          <w:sz w:val="24"/>
          <w:szCs w:val="24"/>
        </w:rPr>
      </w:pPr>
      <w:r w:rsidRPr="002C691C">
        <w:rPr>
          <w:rFonts w:ascii="Times New Roman" w:eastAsia="Times New Roman" w:hAnsi="Times New Roman" w:cs="Times New Roman"/>
          <w:i/>
          <w:iCs/>
          <w:sz w:val="24"/>
          <w:szCs w:val="24"/>
        </w:rPr>
        <w:t xml:space="preserve">Gjyqtarët duhet të kenë në konsideratë se komunikimet apo deklaratat e tyre në rrjetet apo mediat sociale mund të kenë një përhapje dhe audiencë më të gjerë, pavarësisht nga kufizimet e privatësisë që një gjyqtar mund të ketë zbatuar. Kjo për shkak të natyrës dhe mënyrës sesi funksionon teknologjia, ku për përdoruesit e mediave/rrjeteve sociale nganjëherë është shumë e vështirë të kuptohen ndryshimet që ato realizojnë me kalimin e kohës. Standardet ndërkombëtare kanë vënë theksin në faktin se, </w:t>
      </w:r>
      <w:r w:rsidRPr="002C691C">
        <w:rPr>
          <w:rFonts w:ascii="Times New Roman" w:eastAsia="Times New Roman" w:hAnsi="Times New Roman" w:cs="Times New Roman"/>
          <w:b/>
          <w:i/>
          <w:iCs/>
          <w:sz w:val="24"/>
          <w:szCs w:val="24"/>
        </w:rPr>
        <w:t>qëllimi i gjyqtarit për të mbajtur komentet private në mediat/rrjetet sociale nuk justifikon sjelljen e pahijshme</w:t>
      </w:r>
      <w:r w:rsidRPr="002C691C">
        <w:rPr>
          <w:rFonts w:ascii="Times New Roman" w:eastAsia="Times New Roman" w:hAnsi="Times New Roman" w:cs="Times New Roman"/>
          <w:i/>
          <w:iCs/>
          <w:sz w:val="24"/>
          <w:szCs w:val="24"/>
        </w:rPr>
        <w:t xml:space="preserve"> sociale, ndërkohë që edhe </w:t>
      </w:r>
      <w:r w:rsidRPr="002C691C">
        <w:rPr>
          <w:rFonts w:ascii="Times New Roman" w:eastAsia="Times New Roman" w:hAnsi="Times New Roman" w:cs="Times New Roman"/>
          <w:b/>
          <w:i/>
          <w:iCs/>
          <w:sz w:val="24"/>
          <w:szCs w:val="24"/>
        </w:rPr>
        <w:t>mungesa e njohurive të gjyqtarit në lidhje me mënyrën e heqjes së përmbajtjes nga faqja e mediave/rrjeteve sociale nuk justifikon shkeljet e kodit të Etikës.</w:t>
      </w:r>
      <w:r w:rsidRPr="002C691C">
        <w:rPr>
          <w:rFonts w:ascii="Times New Roman" w:eastAsia="Times New Roman" w:hAnsi="Times New Roman" w:cs="Times New Roman"/>
          <w:i/>
          <w:iCs/>
          <w:sz w:val="24"/>
          <w:szCs w:val="24"/>
        </w:rPr>
        <w:t xml:space="preserve"> Këto shkelje janë konstatuar edhe në rastet kur gjyqtarët gabimisht kanë besuar se ata kishin marrë masat e nevojshme për ruajtjen e privatësisë së tyre</w:t>
      </w:r>
      <w:r w:rsidR="002C691C">
        <w:rPr>
          <w:rFonts w:ascii="Times New Roman" w:eastAsia="Times New Roman" w:hAnsi="Times New Roman" w:cs="Times New Roman"/>
          <w:i/>
          <w:iCs/>
          <w:sz w:val="24"/>
          <w:szCs w:val="24"/>
        </w:rPr>
        <w:t>. Ka pasur raste kur gjyqtar</w:t>
      </w:r>
      <w:r w:rsidR="00F65691">
        <w:rPr>
          <w:rFonts w:ascii="Times New Roman" w:eastAsia="Times New Roman" w:hAnsi="Times New Roman" w:cs="Times New Roman"/>
          <w:i/>
          <w:iCs/>
          <w:sz w:val="24"/>
          <w:szCs w:val="24"/>
        </w:rPr>
        <w:t>ë</w:t>
      </w:r>
      <w:r w:rsidR="002C691C">
        <w:rPr>
          <w:rFonts w:ascii="Times New Roman" w:eastAsia="Times New Roman" w:hAnsi="Times New Roman" w:cs="Times New Roman"/>
          <w:i/>
          <w:iCs/>
          <w:sz w:val="24"/>
          <w:szCs w:val="24"/>
        </w:rPr>
        <w:t>t jan</w:t>
      </w:r>
      <w:r w:rsidR="00F65691">
        <w:rPr>
          <w:rFonts w:ascii="Times New Roman" w:eastAsia="Times New Roman" w:hAnsi="Times New Roman" w:cs="Times New Roman"/>
          <w:i/>
          <w:iCs/>
          <w:sz w:val="24"/>
          <w:szCs w:val="24"/>
        </w:rPr>
        <w:t>ë</w:t>
      </w:r>
      <w:r w:rsidR="002C691C">
        <w:rPr>
          <w:rFonts w:ascii="Times New Roman" w:eastAsia="Times New Roman" w:hAnsi="Times New Roman" w:cs="Times New Roman"/>
          <w:i/>
          <w:iCs/>
          <w:sz w:val="24"/>
          <w:szCs w:val="24"/>
        </w:rPr>
        <w:t xml:space="preserve"> proceduar disiplinarisht edhe kur ato kan</w:t>
      </w:r>
      <w:r w:rsidR="00F65691">
        <w:rPr>
          <w:rFonts w:ascii="Times New Roman" w:eastAsia="Times New Roman" w:hAnsi="Times New Roman" w:cs="Times New Roman"/>
          <w:i/>
          <w:iCs/>
          <w:sz w:val="24"/>
          <w:szCs w:val="24"/>
        </w:rPr>
        <w:t>ë</w:t>
      </w:r>
      <w:r w:rsidR="002C691C">
        <w:rPr>
          <w:rFonts w:ascii="Times New Roman" w:eastAsia="Times New Roman" w:hAnsi="Times New Roman" w:cs="Times New Roman"/>
          <w:i/>
          <w:iCs/>
          <w:sz w:val="24"/>
          <w:szCs w:val="24"/>
        </w:rPr>
        <w:t xml:space="preserve"> p</w:t>
      </w:r>
      <w:r w:rsidR="00F65691">
        <w:rPr>
          <w:rFonts w:ascii="Times New Roman" w:eastAsia="Times New Roman" w:hAnsi="Times New Roman" w:cs="Times New Roman"/>
          <w:i/>
          <w:iCs/>
          <w:sz w:val="24"/>
          <w:szCs w:val="24"/>
        </w:rPr>
        <w:t>ë</w:t>
      </w:r>
      <w:r w:rsidR="002C691C">
        <w:rPr>
          <w:rFonts w:ascii="Times New Roman" w:eastAsia="Times New Roman" w:hAnsi="Times New Roman" w:cs="Times New Roman"/>
          <w:i/>
          <w:iCs/>
          <w:sz w:val="24"/>
          <w:szCs w:val="24"/>
        </w:rPr>
        <w:t>rdorur pseudonime n</w:t>
      </w:r>
      <w:r w:rsidR="00F65691">
        <w:rPr>
          <w:rFonts w:ascii="Times New Roman" w:eastAsia="Times New Roman" w:hAnsi="Times New Roman" w:cs="Times New Roman"/>
          <w:i/>
          <w:iCs/>
          <w:sz w:val="24"/>
          <w:szCs w:val="24"/>
        </w:rPr>
        <w:t>ë</w:t>
      </w:r>
      <w:r w:rsidR="002C691C">
        <w:rPr>
          <w:rFonts w:ascii="Times New Roman" w:eastAsia="Times New Roman" w:hAnsi="Times New Roman" w:cs="Times New Roman"/>
          <w:i/>
          <w:iCs/>
          <w:sz w:val="24"/>
          <w:szCs w:val="24"/>
        </w:rPr>
        <w:t xml:space="preserve"> komunikimet</w:t>
      </w:r>
      <w:r w:rsidR="00630D11">
        <w:rPr>
          <w:rFonts w:ascii="Times New Roman" w:eastAsia="Times New Roman" w:hAnsi="Times New Roman" w:cs="Times New Roman"/>
          <w:i/>
          <w:iCs/>
          <w:sz w:val="24"/>
          <w:szCs w:val="24"/>
        </w:rPr>
        <w:t xml:space="preserve"> e tyre n</w:t>
      </w:r>
      <w:r w:rsidR="00F65691">
        <w:rPr>
          <w:rFonts w:ascii="Times New Roman" w:eastAsia="Times New Roman" w:hAnsi="Times New Roman" w:cs="Times New Roman"/>
          <w:i/>
          <w:iCs/>
          <w:sz w:val="24"/>
          <w:szCs w:val="24"/>
        </w:rPr>
        <w:t>ë</w:t>
      </w:r>
      <w:r w:rsidR="00630D11">
        <w:rPr>
          <w:rFonts w:ascii="Times New Roman" w:eastAsia="Times New Roman" w:hAnsi="Times New Roman" w:cs="Times New Roman"/>
          <w:i/>
          <w:iCs/>
          <w:sz w:val="24"/>
          <w:szCs w:val="24"/>
        </w:rPr>
        <w:t xml:space="preserve"> internet.</w:t>
      </w:r>
    </w:p>
    <w:p w14:paraId="5B5810EF" w14:textId="77777777" w:rsidR="00213174" w:rsidRPr="00213174" w:rsidRDefault="00213174" w:rsidP="00213174">
      <w:pPr>
        <w:pStyle w:val="ListParagraph"/>
        <w:ind w:left="374" w:right="14"/>
        <w:jc w:val="both"/>
        <w:rPr>
          <w:rFonts w:ascii="Times New Roman" w:hAnsi="Times New Roman" w:cs="Times New Roman"/>
          <w:i/>
          <w:iCs/>
          <w:sz w:val="24"/>
          <w:szCs w:val="24"/>
        </w:rPr>
      </w:pPr>
    </w:p>
    <w:p w14:paraId="40D3ED3C" w14:textId="30CA7287" w:rsidR="00CD1D61" w:rsidRPr="00213174" w:rsidRDefault="0066138E" w:rsidP="00213174">
      <w:pPr>
        <w:pStyle w:val="ListParagraph"/>
        <w:numPr>
          <w:ilvl w:val="0"/>
          <w:numId w:val="14"/>
        </w:numPr>
        <w:ind w:right="14"/>
        <w:jc w:val="both"/>
        <w:rPr>
          <w:rFonts w:ascii="Times New Roman" w:hAnsi="Times New Roman" w:cs="Times New Roman"/>
          <w:i/>
          <w:iCs/>
          <w:sz w:val="24"/>
          <w:szCs w:val="24"/>
        </w:rPr>
      </w:pPr>
      <w:r w:rsidRPr="00213174">
        <w:rPr>
          <w:rFonts w:ascii="Times New Roman" w:eastAsia="Times New Roman" w:hAnsi="Times New Roman" w:cs="Times New Roman"/>
          <w:i/>
          <w:iCs/>
          <w:sz w:val="24"/>
          <w:szCs w:val="24"/>
        </w:rPr>
        <w:t>G</w:t>
      </w:r>
      <w:r w:rsidR="00CD1D61" w:rsidRPr="00213174">
        <w:rPr>
          <w:rFonts w:ascii="Times New Roman" w:eastAsia="Times New Roman" w:hAnsi="Times New Roman" w:cs="Times New Roman"/>
          <w:i/>
          <w:iCs/>
          <w:sz w:val="24"/>
          <w:szCs w:val="24"/>
        </w:rPr>
        <w:t xml:space="preserve">jyqtarët duhet të kenë në vëmendje faktin se deklaratat që ata bëjnë në mediat/rrjetet sociale </w:t>
      </w:r>
      <w:r w:rsidR="00CD1D61" w:rsidRPr="00213174">
        <w:rPr>
          <w:rFonts w:ascii="Times New Roman" w:eastAsia="Times New Roman" w:hAnsi="Times New Roman" w:cs="Times New Roman"/>
          <w:b/>
          <w:i/>
          <w:iCs/>
          <w:sz w:val="24"/>
          <w:szCs w:val="24"/>
        </w:rPr>
        <w:t>janë deklarata publike, potencialisht subjekt i shqyrtimit dhe për tu përdorur nga të tretë, ndaj duhet treguar vetëpërmbajtje dhe kujdes i shtuar kur ato aksesojnë apo përdorin internetin.</w:t>
      </w:r>
      <w:r w:rsidR="00CD1D61" w:rsidRPr="00213174">
        <w:rPr>
          <w:rFonts w:ascii="Times New Roman" w:eastAsia="Times New Roman" w:hAnsi="Times New Roman" w:cs="Times New Roman"/>
          <w:i/>
          <w:iCs/>
          <w:sz w:val="24"/>
          <w:szCs w:val="24"/>
        </w:rPr>
        <w:t xml:space="preserve"> Edhe pëlqimi i një postimi të thjeshtë apo tregimi i një historie gazmore që përfshin për shembull korrupsionin në gjyqësor, mund të ndikojë në krijimin e një perceptimi të gabuar dhe ndikon në besimin e publikut tek drejtësia. Gjyqtari duhet të tregojë kujdes të shtuar, duke pasur në vëmendje se:</w:t>
      </w:r>
    </w:p>
    <w:p w14:paraId="1D40E7DF" w14:textId="607FB67E" w:rsidR="00CD1D61" w:rsidRPr="00DF5DBB" w:rsidRDefault="00CD1D61" w:rsidP="002C2EAA">
      <w:pPr>
        <w:pStyle w:val="ListParagraph"/>
        <w:numPr>
          <w:ilvl w:val="0"/>
          <w:numId w:val="11"/>
        </w:numPr>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 këto deklarata apo komente nuk duhet të minojnë besimin e publikut në gjyqësor ose të sugjerojnë paragjykim të ęështjeve të caktuara;</w:t>
      </w:r>
    </w:p>
    <w:p w14:paraId="5E0C1E04" w14:textId="77777777" w:rsidR="00CD1D61" w:rsidRPr="00DF5DBB" w:rsidRDefault="00CD1D61" w:rsidP="002C2EAA">
      <w:pPr>
        <w:pStyle w:val="ListParagraph"/>
        <w:numPr>
          <w:ilvl w:val="0"/>
          <w:numId w:val="11"/>
        </w:numPr>
        <w:spacing w:after="4" w:line="267" w:lineRule="auto"/>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 xml:space="preserve">këto deklarata apo komente nuk duhet të kenë të bëjnë me ęështje në pritje ose ęështje të </w:t>
      </w:r>
      <w:r w:rsidRPr="00DF5DBB">
        <w:rPr>
          <w:i/>
          <w:iCs/>
          <w:noProof/>
          <w:lang w:val="en-US"/>
        </w:rPr>
        <w:drawing>
          <wp:inline distT="0" distB="0" distL="0" distR="0" wp14:anchorId="62219CAA" wp14:editId="3E840884">
            <wp:extent cx="3048" cy="3049"/>
            <wp:effectExtent l="0" t="0" r="0" b="0"/>
            <wp:docPr id="26773" name="Picture 26773"/>
            <wp:cNvGraphicFramePr/>
            <a:graphic xmlns:a="http://schemas.openxmlformats.org/drawingml/2006/main">
              <a:graphicData uri="http://schemas.openxmlformats.org/drawingml/2006/picture">
                <pic:pic xmlns:pic="http://schemas.openxmlformats.org/drawingml/2006/picture">
                  <pic:nvPicPr>
                    <pic:cNvPr id="26773" name="Picture 26773"/>
                    <pic:cNvPicPr/>
                  </pic:nvPicPr>
                  <pic:blipFill>
                    <a:blip r:embed="rId21"/>
                    <a:stretch>
                      <a:fillRect/>
                    </a:stretch>
                  </pic:blipFill>
                  <pic:spPr>
                    <a:xfrm>
                      <a:off x="0" y="0"/>
                      <a:ext cx="3048" cy="3049"/>
                    </a:xfrm>
                    <a:prstGeom prst="rect">
                      <a:avLst/>
                    </a:prstGeom>
                  </pic:spPr>
                </pic:pic>
              </a:graphicData>
            </a:graphic>
          </wp:inline>
        </w:drawing>
      </w:r>
      <w:r w:rsidRPr="00DF5DBB">
        <w:rPr>
          <w:rFonts w:ascii="Times New Roman" w:eastAsia="Times New Roman" w:hAnsi="Times New Roman" w:cs="Times New Roman"/>
          <w:i/>
          <w:iCs/>
          <w:sz w:val="24"/>
          <w:szCs w:val="24"/>
        </w:rPr>
        <w:t>mundshme për gjykim;</w:t>
      </w:r>
    </w:p>
    <w:p w14:paraId="11E86EA6" w14:textId="77777777" w:rsidR="00CD1D61" w:rsidRPr="00DF5DBB" w:rsidRDefault="00CD1D61" w:rsidP="002C2EAA">
      <w:pPr>
        <w:pStyle w:val="ListParagraph"/>
        <w:numPr>
          <w:ilvl w:val="0"/>
          <w:numId w:val="11"/>
        </w:numPr>
        <w:spacing w:after="4" w:line="267" w:lineRule="auto"/>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këto deklarata apo komente nuk duhet të krijojnë përshtypjen e një veprimtarie të paligjshme ose të ndikojnë në cenimin e integritetit gjyqësor;</w:t>
      </w:r>
    </w:p>
    <w:p w14:paraId="1CE99F10" w14:textId="77777777" w:rsidR="00CD1D61" w:rsidRPr="00DF5DBB" w:rsidRDefault="00CD1D61" w:rsidP="002C2EAA">
      <w:pPr>
        <w:pStyle w:val="ListParagraph"/>
        <w:numPr>
          <w:ilvl w:val="0"/>
          <w:numId w:val="11"/>
        </w:numPr>
        <w:spacing w:after="4" w:line="267" w:lineRule="auto"/>
        <w:ind w:right="14"/>
        <w:jc w:val="both"/>
        <w:rPr>
          <w:rFonts w:ascii="Times New Roman" w:hAnsi="Times New Roman" w:cs="Times New Roman"/>
          <w:i/>
          <w:iCs/>
          <w:sz w:val="24"/>
          <w:szCs w:val="24"/>
        </w:rPr>
      </w:pPr>
      <w:r w:rsidRPr="00DF5DBB">
        <w:rPr>
          <w:rFonts w:ascii="Times New Roman" w:eastAsia="Times New Roman" w:hAnsi="Times New Roman" w:cs="Times New Roman"/>
          <w:i/>
          <w:iCs/>
          <w:sz w:val="24"/>
          <w:szCs w:val="24"/>
        </w:rPr>
        <w:t>këto deklarata apo komente nuk duhet të përbëjnë veprimtari të ndaluar politike;</w:t>
      </w:r>
    </w:p>
    <w:p w14:paraId="7E3FDBDA" w14:textId="3C3BD6FA" w:rsidR="00CD1D61" w:rsidRPr="00DF5DBB" w:rsidRDefault="00CD1D61" w:rsidP="002C2EAA">
      <w:pPr>
        <w:pStyle w:val="ListParagraph"/>
        <w:numPr>
          <w:ilvl w:val="0"/>
          <w:numId w:val="11"/>
        </w:numPr>
        <w:spacing w:after="314" w:line="267" w:lineRule="auto"/>
        <w:ind w:right="14"/>
        <w:jc w:val="both"/>
        <w:rPr>
          <w:rFonts w:ascii="Times New Roman" w:hAnsi="Times New Roman" w:cs="Times New Roman"/>
          <w:i/>
          <w:iCs/>
          <w:sz w:val="24"/>
          <w:szCs w:val="24"/>
        </w:rPr>
      </w:pPr>
      <w:r w:rsidRPr="00DF5DBB">
        <w:rPr>
          <w:i/>
          <w:iCs/>
          <w:noProof/>
          <w:lang w:val="en-US"/>
        </w:rPr>
        <w:drawing>
          <wp:anchor distT="0" distB="0" distL="114300" distR="114300" simplePos="0" relativeHeight="251672576" behindDoc="0" locked="0" layoutInCell="1" allowOverlap="0" wp14:anchorId="6A4772DD" wp14:editId="520E69FE">
            <wp:simplePos x="0" y="0"/>
            <wp:positionH relativeFrom="page">
              <wp:posOffset>6748272</wp:posOffset>
            </wp:positionH>
            <wp:positionV relativeFrom="page">
              <wp:posOffset>1984572</wp:posOffset>
            </wp:positionV>
            <wp:extent cx="3048" cy="3048"/>
            <wp:effectExtent l="0" t="0" r="0" b="0"/>
            <wp:wrapSquare wrapText="bothSides"/>
            <wp:docPr id="26771" name="Picture 26771"/>
            <wp:cNvGraphicFramePr/>
            <a:graphic xmlns:a="http://schemas.openxmlformats.org/drawingml/2006/main">
              <a:graphicData uri="http://schemas.openxmlformats.org/drawingml/2006/picture">
                <pic:pic xmlns:pic="http://schemas.openxmlformats.org/drawingml/2006/picture">
                  <pic:nvPicPr>
                    <pic:cNvPr id="26771" name="Picture 26771"/>
                    <pic:cNvPicPr/>
                  </pic:nvPicPr>
                  <pic:blipFill>
                    <a:blip r:embed="rId22"/>
                    <a:stretch>
                      <a:fillRect/>
                    </a:stretch>
                  </pic:blipFill>
                  <pic:spPr>
                    <a:xfrm>
                      <a:off x="0" y="0"/>
                      <a:ext cx="3048" cy="3048"/>
                    </a:xfrm>
                    <a:prstGeom prst="rect">
                      <a:avLst/>
                    </a:prstGeom>
                  </pic:spPr>
                </pic:pic>
              </a:graphicData>
            </a:graphic>
          </wp:anchor>
        </w:drawing>
      </w:r>
      <w:r w:rsidRPr="00DF5DBB">
        <w:rPr>
          <w:i/>
          <w:iCs/>
          <w:noProof/>
          <w:lang w:val="en-US"/>
        </w:rPr>
        <w:drawing>
          <wp:anchor distT="0" distB="0" distL="114300" distR="114300" simplePos="0" relativeHeight="251673600" behindDoc="0" locked="0" layoutInCell="1" allowOverlap="0" wp14:anchorId="0E0509B9" wp14:editId="7252A684">
            <wp:simplePos x="0" y="0"/>
            <wp:positionH relativeFrom="page">
              <wp:posOffset>6742176</wp:posOffset>
            </wp:positionH>
            <wp:positionV relativeFrom="page">
              <wp:posOffset>2329052</wp:posOffset>
            </wp:positionV>
            <wp:extent cx="3048" cy="3048"/>
            <wp:effectExtent l="0" t="0" r="0" b="0"/>
            <wp:wrapSquare wrapText="bothSides"/>
            <wp:docPr id="26772" name="Picture 26772"/>
            <wp:cNvGraphicFramePr/>
            <a:graphic xmlns:a="http://schemas.openxmlformats.org/drawingml/2006/main">
              <a:graphicData uri="http://schemas.openxmlformats.org/drawingml/2006/picture">
                <pic:pic xmlns:pic="http://schemas.openxmlformats.org/drawingml/2006/picture">
                  <pic:nvPicPr>
                    <pic:cNvPr id="26772" name="Picture 26772"/>
                    <pic:cNvPicPr/>
                  </pic:nvPicPr>
                  <pic:blipFill>
                    <a:blip r:embed="rId10"/>
                    <a:stretch>
                      <a:fillRect/>
                    </a:stretch>
                  </pic:blipFill>
                  <pic:spPr>
                    <a:xfrm>
                      <a:off x="0" y="0"/>
                      <a:ext cx="3048" cy="3048"/>
                    </a:xfrm>
                    <a:prstGeom prst="rect">
                      <a:avLst/>
                    </a:prstGeom>
                  </pic:spPr>
                </pic:pic>
              </a:graphicData>
            </a:graphic>
          </wp:anchor>
        </w:drawing>
      </w:r>
      <w:r w:rsidRPr="00DF5DBB">
        <w:rPr>
          <w:i/>
          <w:iCs/>
          <w:noProof/>
          <w:lang w:val="en-US"/>
        </w:rPr>
        <w:drawing>
          <wp:anchor distT="0" distB="0" distL="114300" distR="114300" simplePos="0" relativeHeight="251674624" behindDoc="0" locked="0" layoutInCell="1" allowOverlap="0" wp14:anchorId="67CB0B83" wp14:editId="7385A0A4">
            <wp:simplePos x="0" y="0"/>
            <wp:positionH relativeFrom="page">
              <wp:posOffset>1005840</wp:posOffset>
            </wp:positionH>
            <wp:positionV relativeFrom="page">
              <wp:posOffset>5185495</wp:posOffset>
            </wp:positionV>
            <wp:extent cx="3048" cy="3048"/>
            <wp:effectExtent l="0" t="0" r="0" b="0"/>
            <wp:wrapSquare wrapText="bothSides"/>
            <wp:docPr id="26774" name="Picture 26774"/>
            <wp:cNvGraphicFramePr/>
            <a:graphic xmlns:a="http://schemas.openxmlformats.org/drawingml/2006/main">
              <a:graphicData uri="http://schemas.openxmlformats.org/drawingml/2006/picture">
                <pic:pic xmlns:pic="http://schemas.openxmlformats.org/drawingml/2006/picture">
                  <pic:nvPicPr>
                    <pic:cNvPr id="26774" name="Picture 26774"/>
                    <pic:cNvPicPr/>
                  </pic:nvPicPr>
                  <pic:blipFill>
                    <a:blip r:embed="rId23"/>
                    <a:stretch>
                      <a:fillRect/>
                    </a:stretch>
                  </pic:blipFill>
                  <pic:spPr>
                    <a:xfrm>
                      <a:off x="0" y="0"/>
                      <a:ext cx="3048" cy="3048"/>
                    </a:xfrm>
                    <a:prstGeom prst="rect">
                      <a:avLst/>
                    </a:prstGeom>
                  </pic:spPr>
                </pic:pic>
              </a:graphicData>
            </a:graphic>
          </wp:anchor>
        </w:drawing>
      </w:r>
      <w:r w:rsidRPr="00DF5DBB">
        <w:rPr>
          <w:i/>
          <w:iCs/>
          <w:noProof/>
          <w:lang w:val="en-US"/>
        </w:rPr>
        <w:drawing>
          <wp:anchor distT="0" distB="0" distL="114300" distR="114300" simplePos="0" relativeHeight="251675648" behindDoc="0" locked="0" layoutInCell="1" allowOverlap="0" wp14:anchorId="68709DAD" wp14:editId="435DD77B">
            <wp:simplePos x="0" y="0"/>
            <wp:positionH relativeFrom="page">
              <wp:posOffset>6757416</wp:posOffset>
            </wp:positionH>
            <wp:positionV relativeFrom="page">
              <wp:posOffset>5408035</wp:posOffset>
            </wp:positionV>
            <wp:extent cx="3048" cy="3048"/>
            <wp:effectExtent l="0" t="0" r="0" b="0"/>
            <wp:wrapSquare wrapText="bothSides"/>
            <wp:docPr id="26775" name="Picture 26775"/>
            <wp:cNvGraphicFramePr/>
            <a:graphic xmlns:a="http://schemas.openxmlformats.org/drawingml/2006/main">
              <a:graphicData uri="http://schemas.openxmlformats.org/drawingml/2006/picture">
                <pic:pic xmlns:pic="http://schemas.openxmlformats.org/drawingml/2006/picture">
                  <pic:nvPicPr>
                    <pic:cNvPr id="26775" name="Picture 26775"/>
                    <pic:cNvPicPr/>
                  </pic:nvPicPr>
                  <pic:blipFill>
                    <a:blip r:embed="rId24"/>
                    <a:stretch>
                      <a:fillRect/>
                    </a:stretch>
                  </pic:blipFill>
                  <pic:spPr>
                    <a:xfrm>
                      <a:off x="0" y="0"/>
                      <a:ext cx="3048" cy="3048"/>
                    </a:xfrm>
                    <a:prstGeom prst="rect">
                      <a:avLst/>
                    </a:prstGeom>
                  </pic:spPr>
                </pic:pic>
              </a:graphicData>
            </a:graphic>
          </wp:anchor>
        </w:drawing>
      </w:r>
      <w:r w:rsidRPr="00DF5DBB">
        <w:rPr>
          <w:rFonts w:ascii="Times New Roman" w:eastAsia="Times New Roman" w:hAnsi="Times New Roman" w:cs="Times New Roman"/>
          <w:i/>
          <w:iCs/>
          <w:sz w:val="24"/>
          <w:szCs w:val="24"/>
        </w:rPr>
        <w:t>këto deklarata apo komente nuk duhet të ndërhyjnë në kryerjen e detyrave gjyqë</w:t>
      </w:r>
      <w:r w:rsidR="00213174">
        <w:rPr>
          <w:rFonts w:ascii="Times New Roman" w:eastAsia="Times New Roman" w:hAnsi="Times New Roman" w:cs="Times New Roman"/>
          <w:i/>
          <w:iCs/>
          <w:sz w:val="24"/>
          <w:szCs w:val="24"/>
        </w:rPr>
        <w:t>sore.”</w:t>
      </w:r>
    </w:p>
    <w:p w14:paraId="6BA85B08" w14:textId="47C64A6E" w:rsidR="00CD1D61" w:rsidRDefault="00CD1D61" w:rsidP="008A6652">
      <w:pPr>
        <w:jc w:val="both"/>
        <w:rPr>
          <w:rFonts w:ascii="Times New Roman" w:hAnsi="Times New Roman" w:cs="Times New Roman"/>
          <w:i/>
          <w:iCs/>
          <w:sz w:val="24"/>
          <w:szCs w:val="24"/>
          <w:lang w:val="sq-AL"/>
        </w:rPr>
      </w:pPr>
    </w:p>
    <w:p w14:paraId="0269FD6F" w14:textId="5F642AF9" w:rsidR="006841D0" w:rsidRPr="00F269FE" w:rsidRDefault="00BE4D77" w:rsidP="00F269FE">
      <w:pPr>
        <w:jc w:val="both"/>
        <w:rPr>
          <w:rFonts w:ascii="Times New Roman" w:hAnsi="Times New Roman" w:cs="Times New Roman"/>
          <w:b/>
          <w:bCs/>
          <w:i/>
          <w:iCs/>
          <w:sz w:val="24"/>
          <w:szCs w:val="24"/>
          <w:lang w:val="sq-AL"/>
        </w:rPr>
      </w:pPr>
      <w:r>
        <w:rPr>
          <w:rFonts w:ascii="Times New Roman" w:hAnsi="Times New Roman" w:cs="Times New Roman"/>
          <w:b/>
          <w:bCs/>
          <w:i/>
          <w:iCs/>
          <w:sz w:val="24"/>
          <w:szCs w:val="24"/>
          <w:lang w:val="sq-AL"/>
        </w:rPr>
        <w:t>P</w:t>
      </w:r>
      <w:r w:rsidR="00BA4EC3">
        <w:rPr>
          <w:rFonts w:ascii="Times New Roman" w:hAnsi="Times New Roman" w:cs="Times New Roman"/>
          <w:b/>
          <w:bCs/>
          <w:i/>
          <w:iCs/>
          <w:sz w:val="24"/>
          <w:szCs w:val="24"/>
          <w:lang w:val="sq-AL"/>
        </w:rPr>
        <w:t>ë</w:t>
      </w:r>
      <w:r>
        <w:rPr>
          <w:rFonts w:ascii="Times New Roman" w:hAnsi="Times New Roman" w:cs="Times New Roman"/>
          <w:b/>
          <w:bCs/>
          <w:i/>
          <w:iCs/>
          <w:sz w:val="24"/>
          <w:szCs w:val="24"/>
          <w:lang w:val="sq-AL"/>
        </w:rPr>
        <w:t>rgjegj</w:t>
      </w:r>
      <w:r w:rsidR="00BA4EC3">
        <w:rPr>
          <w:rFonts w:ascii="Times New Roman" w:hAnsi="Times New Roman" w:cs="Times New Roman"/>
          <w:b/>
          <w:bCs/>
          <w:i/>
          <w:iCs/>
          <w:sz w:val="24"/>
          <w:szCs w:val="24"/>
          <w:lang w:val="sq-AL"/>
        </w:rPr>
        <w:t>ë</w:t>
      </w:r>
      <w:r>
        <w:rPr>
          <w:rFonts w:ascii="Times New Roman" w:hAnsi="Times New Roman" w:cs="Times New Roman"/>
          <w:b/>
          <w:bCs/>
          <w:i/>
          <w:iCs/>
          <w:sz w:val="24"/>
          <w:szCs w:val="24"/>
          <w:lang w:val="sq-AL"/>
        </w:rPr>
        <w:t>sia disiplinore dhe p</w:t>
      </w:r>
      <w:r w:rsidRPr="00BE4D77">
        <w:rPr>
          <w:rFonts w:ascii="Times New Roman" w:hAnsi="Times New Roman" w:cs="Times New Roman"/>
          <w:b/>
          <w:bCs/>
          <w:i/>
          <w:iCs/>
          <w:sz w:val="24"/>
          <w:szCs w:val="24"/>
          <w:lang w:val="sq-AL"/>
        </w:rPr>
        <w:t>raktika</w:t>
      </w:r>
      <w:r w:rsidR="001E4B4C">
        <w:rPr>
          <w:rFonts w:ascii="Times New Roman" w:hAnsi="Times New Roman" w:cs="Times New Roman"/>
          <w:b/>
          <w:bCs/>
          <w:i/>
          <w:iCs/>
          <w:sz w:val="24"/>
          <w:szCs w:val="24"/>
          <w:lang w:val="sq-AL"/>
        </w:rPr>
        <w:t xml:space="preserve"> aktuale shqiptare</w:t>
      </w:r>
      <w:r w:rsidRPr="00BE4D77">
        <w:rPr>
          <w:rFonts w:ascii="Times New Roman" w:hAnsi="Times New Roman" w:cs="Times New Roman"/>
          <w:b/>
          <w:bCs/>
          <w:i/>
          <w:iCs/>
          <w:sz w:val="24"/>
          <w:szCs w:val="24"/>
          <w:lang w:val="sq-AL"/>
        </w:rPr>
        <w:t xml:space="preserve"> </w:t>
      </w:r>
    </w:p>
    <w:p w14:paraId="33C61364" w14:textId="5C2D17DD" w:rsidR="006841D0" w:rsidRDefault="006841D0" w:rsidP="006841D0">
      <w:pPr>
        <w:ind w:right="14"/>
        <w:jc w:val="both"/>
        <w:rPr>
          <w:rFonts w:ascii="Times New Roman" w:eastAsia="Times New Roman" w:hAnsi="Times New Roman" w:cs="Times New Roman"/>
        </w:rPr>
      </w:pPr>
      <w:r>
        <w:rPr>
          <w:rFonts w:ascii="Times New Roman" w:eastAsia="Times New Roman" w:hAnsi="Times New Roman" w:cs="Times New Roman"/>
        </w:rPr>
        <w:t>N</w:t>
      </w:r>
      <w:r w:rsidR="00BA4EC3">
        <w:rPr>
          <w:rFonts w:ascii="Times New Roman" w:eastAsia="Times New Roman" w:hAnsi="Times New Roman" w:cs="Times New Roman"/>
        </w:rPr>
        <w:t>ë</w:t>
      </w:r>
      <w:r>
        <w:rPr>
          <w:rFonts w:ascii="Times New Roman" w:eastAsia="Times New Roman" w:hAnsi="Times New Roman" w:cs="Times New Roman"/>
        </w:rPr>
        <w:t xml:space="preserve"> Kodin e Etik</w:t>
      </w:r>
      <w:r w:rsidR="00BA4EC3">
        <w:rPr>
          <w:rFonts w:ascii="Times New Roman" w:eastAsia="Times New Roman" w:hAnsi="Times New Roman" w:cs="Times New Roman"/>
        </w:rPr>
        <w:t>ë</w:t>
      </w:r>
      <w:r>
        <w:rPr>
          <w:rFonts w:ascii="Times New Roman" w:eastAsia="Times New Roman" w:hAnsi="Times New Roman" w:cs="Times New Roman"/>
        </w:rPr>
        <w:t>s Gjyq</w:t>
      </w:r>
      <w:r w:rsidR="00BA4EC3">
        <w:rPr>
          <w:rFonts w:ascii="Times New Roman" w:eastAsia="Times New Roman" w:hAnsi="Times New Roman" w:cs="Times New Roman"/>
        </w:rPr>
        <w:t>ë</w:t>
      </w:r>
      <w:r>
        <w:rPr>
          <w:rFonts w:ascii="Times New Roman" w:eastAsia="Times New Roman" w:hAnsi="Times New Roman" w:cs="Times New Roman"/>
        </w:rPr>
        <w:t>sore parashikohet se shkelja e rregullave të këtij Kodi kur nuk përbën shkak për përgiegiësi disiplinore merret në konsideratë në kuadër të vlerësimit etik dhe profesional të giyqtarit.</w:t>
      </w:r>
    </w:p>
    <w:p w14:paraId="74DBBFFA" w14:textId="04DC1BBF" w:rsidR="006841D0" w:rsidRDefault="006841D0" w:rsidP="006841D0">
      <w:pPr>
        <w:ind w:right="14"/>
        <w:jc w:val="both"/>
        <w:rPr>
          <w:rFonts w:ascii="Times New Roman" w:eastAsia="Times New Roman" w:hAnsi="Times New Roman" w:cs="Times New Roman"/>
        </w:rPr>
      </w:pPr>
      <w:r>
        <w:rPr>
          <w:rFonts w:ascii="Times New Roman" w:eastAsia="Times New Roman" w:hAnsi="Times New Roman" w:cs="Times New Roman"/>
        </w:rPr>
        <w:t>Kur nj</w:t>
      </w:r>
      <w:r w:rsidR="00BA4EC3">
        <w:rPr>
          <w:rFonts w:ascii="Times New Roman" w:eastAsia="Times New Roman" w:hAnsi="Times New Roman" w:cs="Times New Roman"/>
        </w:rPr>
        <w:t>ë</w:t>
      </w:r>
      <w:r>
        <w:rPr>
          <w:rFonts w:ascii="Times New Roman" w:eastAsia="Times New Roman" w:hAnsi="Times New Roman" w:cs="Times New Roman"/>
        </w:rPr>
        <w:t xml:space="preserve"> shkelje e Kodit t</w:t>
      </w:r>
      <w:r w:rsidR="00BA4EC3">
        <w:rPr>
          <w:rFonts w:ascii="Times New Roman" w:eastAsia="Times New Roman" w:hAnsi="Times New Roman" w:cs="Times New Roman"/>
        </w:rPr>
        <w:t>ë</w:t>
      </w:r>
      <w:r>
        <w:rPr>
          <w:rFonts w:ascii="Times New Roman" w:eastAsia="Times New Roman" w:hAnsi="Times New Roman" w:cs="Times New Roman"/>
        </w:rPr>
        <w:t xml:space="preserve"> Etik</w:t>
      </w:r>
      <w:r w:rsidR="00BA4EC3">
        <w:rPr>
          <w:rFonts w:ascii="Times New Roman" w:eastAsia="Times New Roman" w:hAnsi="Times New Roman" w:cs="Times New Roman"/>
        </w:rPr>
        <w:t>ë</w:t>
      </w:r>
      <w:r>
        <w:rPr>
          <w:rFonts w:ascii="Times New Roman" w:eastAsia="Times New Roman" w:hAnsi="Times New Roman" w:cs="Times New Roman"/>
        </w:rPr>
        <w:t>s q</w:t>
      </w:r>
      <w:r w:rsidR="00BA4EC3">
        <w:rPr>
          <w:rFonts w:ascii="Times New Roman" w:eastAsia="Times New Roman" w:hAnsi="Times New Roman" w:cs="Times New Roman"/>
        </w:rPr>
        <w:t>ë</w:t>
      </w:r>
      <w:r>
        <w:rPr>
          <w:rFonts w:ascii="Times New Roman" w:eastAsia="Times New Roman" w:hAnsi="Times New Roman" w:cs="Times New Roman"/>
        </w:rPr>
        <w:t xml:space="preserve"> lidhet me lirin</w:t>
      </w:r>
      <w:r w:rsidR="00BA4EC3">
        <w:rPr>
          <w:rFonts w:ascii="Times New Roman" w:eastAsia="Times New Roman" w:hAnsi="Times New Roman" w:cs="Times New Roman"/>
        </w:rPr>
        <w:t>ë</w:t>
      </w:r>
      <w:r>
        <w:rPr>
          <w:rFonts w:ascii="Times New Roman" w:eastAsia="Times New Roman" w:hAnsi="Times New Roman" w:cs="Times New Roman"/>
        </w:rPr>
        <w:t xml:space="preserve"> e shprehjes s</w:t>
      </w:r>
      <w:r w:rsidR="00BA4EC3">
        <w:rPr>
          <w:rFonts w:ascii="Times New Roman" w:eastAsia="Times New Roman" w:hAnsi="Times New Roman" w:cs="Times New Roman"/>
        </w:rPr>
        <w:t>ë</w:t>
      </w:r>
      <w:r>
        <w:rPr>
          <w:rFonts w:ascii="Times New Roman" w:eastAsia="Times New Roman" w:hAnsi="Times New Roman" w:cs="Times New Roman"/>
        </w:rPr>
        <w:t xml:space="preserve"> gjyqtar</w:t>
      </w:r>
      <w:r w:rsidR="00BA4EC3">
        <w:rPr>
          <w:rFonts w:ascii="Times New Roman" w:eastAsia="Times New Roman" w:hAnsi="Times New Roman" w:cs="Times New Roman"/>
        </w:rPr>
        <w:t>ë</w:t>
      </w:r>
      <w:r>
        <w:rPr>
          <w:rFonts w:ascii="Times New Roman" w:eastAsia="Times New Roman" w:hAnsi="Times New Roman" w:cs="Times New Roman"/>
        </w:rPr>
        <w:t>ve do t</w:t>
      </w:r>
      <w:r w:rsidR="00BA4EC3">
        <w:rPr>
          <w:rFonts w:ascii="Times New Roman" w:eastAsia="Times New Roman" w:hAnsi="Times New Roman" w:cs="Times New Roman"/>
        </w:rPr>
        <w:t>ë</w:t>
      </w:r>
      <w:r>
        <w:rPr>
          <w:rFonts w:ascii="Times New Roman" w:eastAsia="Times New Roman" w:hAnsi="Times New Roman" w:cs="Times New Roman"/>
        </w:rPr>
        <w:t xml:space="preserve"> p</w:t>
      </w:r>
      <w:r w:rsidR="00BA4EC3">
        <w:rPr>
          <w:rFonts w:ascii="Times New Roman" w:eastAsia="Times New Roman" w:hAnsi="Times New Roman" w:cs="Times New Roman"/>
        </w:rPr>
        <w:t>ë</w:t>
      </w:r>
      <w:r>
        <w:rPr>
          <w:rFonts w:ascii="Times New Roman" w:eastAsia="Times New Roman" w:hAnsi="Times New Roman" w:cs="Times New Roman"/>
        </w:rPr>
        <w:t>rb</w:t>
      </w:r>
      <w:r w:rsidR="00BA4EC3">
        <w:rPr>
          <w:rFonts w:ascii="Times New Roman" w:eastAsia="Times New Roman" w:hAnsi="Times New Roman" w:cs="Times New Roman"/>
        </w:rPr>
        <w:t>ë</w:t>
      </w:r>
      <w:r>
        <w:rPr>
          <w:rFonts w:ascii="Times New Roman" w:eastAsia="Times New Roman" w:hAnsi="Times New Roman" w:cs="Times New Roman"/>
        </w:rPr>
        <w:t>nte shkak p</w:t>
      </w:r>
      <w:r w:rsidR="00BA4EC3">
        <w:rPr>
          <w:rFonts w:ascii="Times New Roman" w:eastAsia="Times New Roman" w:hAnsi="Times New Roman" w:cs="Times New Roman"/>
        </w:rPr>
        <w:t>ë</w:t>
      </w:r>
      <w:r>
        <w:rPr>
          <w:rFonts w:ascii="Times New Roman" w:eastAsia="Times New Roman" w:hAnsi="Times New Roman" w:cs="Times New Roman"/>
        </w:rPr>
        <w:t>r p</w:t>
      </w:r>
      <w:r w:rsidR="00BA4EC3">
        <w:rPr>
          <w:rFonts w:ascii="Times New Roman" w:eastAsia="Times New Roman" w:hAnsi="Times New Roman" w:cs="Times New Roman"/>
        </w:rPr>
        <w:t>ë</w:t>
      </w:r>
      <w:r>
        <w:rPr>
          <w:rFonts w:ascii="Times New Roman" w:eastAsia="Times New Roman" w:hAnsi="Times New Roman" w:cs="Times New Roman"/>
        </w:rPr>
        <w:t>rgjegj</w:t>
      </w:r>
      <w:r w:rsidR="00BA4EC3">
        <w:rPr>
          <w:rFonts w:ascii="Times New Roman" w:eastAsia="Times New Roman" w:hAnsi="Times New Roman" w:cs="Times New Roman"/>
        </w:rPr>
        <w:t>ë</w:t>
      </w:r>
      <w:r>
        <w:rPr>
          <w:rFonts w:ascii="Times New Roman" w:eastAsia="Times New Roman" w:hAnsi="Times New Roman" w:cs="Times New Roman"/>
        </w:rPr>
        <w:t>si disiplinore?</w:t>
      </w:r>
      <w:r w:rsidR="00BA4EC3">
        <w:rPr>
          <w:rFonts w:ascii="Times New Roman" w:eastAsia="Times New Roman" w:hAnsi="Times New Roman" w:cs="Times New Roman"/>
        </w:rPr>
        <w:t>?</w:t>
      </w:r>
    </w:p>
    <w:p w14:paraId="0BD49331" w14:textId="09D3BEE3" w:rsidR="007311DA" w:rsidRDefault="007311DA" w:rsidP="00032B89">
      <w:pPr>
        <w:pStyle w:val="Bodytext20"/>
        <w:shd w:val="clear" w:color="auto" w:fill="auto"/>
        <w:spacing w:before="0" w:after="242"/>
        <w:ind w:firstLine="0"/>
        <w:rPr>
          <w:sz w:val="24"/>
          <w:szCs w:val="24"/>
          <w:lang w:val="sq-AL"/>
        </w:rPr>
      </w:pPr>
      <w:r>
        <w:rPr>
          <w:color w:val="000000"/>
          <w:sz w:val="24"/>
          <w:szCs w:val="24"/>
          <w:lang w:val="sq-AL" w:eastAsia="sq-AL" w:bidi="sq-AL"/>
        </w:rPr>
        <w:t>Vlerësimi i faktit se kur një sjellje e caktuar e gjyqtarit përbën një shkelje të etikës dhe do t</w:t>
      </w:r>
      <w:r w:rsidR="00032B89">
        <w:rPr>
          <w:color w:val="000000"/>
          <w:sz w:val="24"/>
          <w:szCs w:val="24"/>
          <w:lang w:val="sq-AL" w:eastAsia="sq-AL" w:bidi="sq-AL"/>
        </w:rPr>
        <w:t>ë</w:t>
      </w:r>
      <w:r>
        <w:rPr>
          <w:color w:val="000000"/>
          <w:sz w:val="24"/>
          <w:szCs w:val="24"/>
          <w:lang w:val="sq-AL" w:eastAsia="sq-AL" w:bidi="sq-AL"/>
        </w:rPr>
        <w:t xml:space="preserve"> </w:t>
      </w:r>
      <w:r>
        <w:rPr>
          <w:color w:val="000000"/>
          <w:sz w:val="24"/>
          <w:szCs w:val="24"/>
          <w:lang w:val="sq-AL" w:eastAsia="sq-AL" w:bidi="sq-AL"/>
        </w:rPr>
        <w:lastRenderedPageBreak/>
        <w:t>konsiderohet në kuadër të vlerësimit etik dhe profesional të tij dhe kur kjo sjellje mund të cojë në përgjegjësi disiplinore të tij, i takon analizës së cdo rasti konkret. Gjithsesi duhet theksuar, se n</w:t>
      </w:r>
      <w:r w:rsidRPr="003E4F7D">
        <w:rPr>
          <w:color w:val="000000"/>
          <w:sz w:val="24"/>
          <w:szCs w:val="24"/>
          <w:lang w:val="sq-AL" w:eastAsia="sq-AL" w:bidi="sq-AL"/>
        </w:rPr>
        <w:t>ë rastin kur gjyqtari nëpërmjet</w:t>
      </w:r>
      <w:r>
        <w:rPr>
          <w:color w:val="000000"/>
          <w:sz w:val="24"/>
          <w:szCs w:val="24"/>
          <w:lang w:val="sq-AL" w:eastAsia="sq-AL" w:bidi="sq-AL"/>
        </w:rPr>
        <w:t xml:space="preserve"> deklaratave të tij publike apo</w:t>
      </w:r>
      <w:r w:rsidRPr="003E4F7D">
        <w:rPr>
          <w:color w:val="000000"/>
          <w:sz w:val="24"/>
          <w:szCs w:val="24"/>
          <w:lang w:val="sq-AL" w:eastAsia="sq-AL" w:bidi="sq-AL"/>
        </w:rPr>
        <w:t xml:space="preserve"> përdorimit të mediave sociale, </w:t>
      </w:r>
      <w:r w:rsidRPr="003E4F7D">
        <w:rPr>
          <w:color w:val="000000"/>
          <w:sz w:val="24"/>
          <w:szCs w:val="24"/>
          <w:lang w:val="sq-AL" w:eastAsia="en-GB" w:bidi="en-GB"/>
        </w:rPr>
        <w:t xml:space="preserve">me </w:t>
      </w:r>
      <w:r w:rsidRPr="003E4F7D">
        <w:rPr>
          <w:color w:val="000000"/>
          <w:sz w:val="24"/>
          <w:szCs w:val="24"/>
          <w:lang w:val="sq-AL" w:eastAsia="sq-AL" w:bidi="sq-AL"/>
        </w:rPr>
        <w:t xml:space="preserve">vetëdije apo edhe pa vetëdije, lejon ngritjen e paragjykimeve mbi mënyrën sesi ai ushtron funksionin e tij, duke vënë në diskutim rregullat mbi integritetin, paanësinë dhe pavarësinë e tij, ai jo vetëm do të vepronte në kundërshtim me rregullat e vendosura të etikës, por do të kryente veprime të cilat do të </w:t>
      </w:r>
      <w:r w:rsidRPr="003E4F7D">
        <w:rPr>
          <w:sz w:val="24"/>
          <w:szCs w:val="24"/>
          <w:lang w:val="sq-AL"/>
        </w:rPr>
        <w:t>diskreditonin pozitën dhe figurën e magjistratit dhe do të dëmtonin besimin e publikut tek drejtësia, sjellje të cilat sipas ligjit përbëjnë jo vetëm shkelje etike, por edhe shkelje disiplinore.</w:t>
      </w:r>
      <w:r w:rsidRPr="008A6652">
        <w:rPr>
          <w:sz w:val="24"/>
          <w:szCs w:val="24"/>
          <w:lang w:val="sq-AL"/>
        </w:rPr>
        <w:t xml:space="preserve"> </w:t>
      </w:r>
    </w:p>
    <w:p w14:paraId="7EFFEED2" w14:textId="7F7713F2" w:rsidR="007E56F5" w:rsidRPr="008A2995" w:rsidRDefault="007E56F5" w:rsidP="007E56F5">
      <w:pPr>
        <w:spacing w:after="0" w:line="276" w:lineRule="auto"/>
        <w:jc w:val="both"/>
        <w:rPr>
          <w:rFonts w:ascii="Times New Roman" w:eastAsia="MS Mincho" w:hAnsi="Times New Roman" w:cs="Times New Roman"/>
          <w:sz w:val="24"/>
          <w:szCs w:val="24"/>
          <w:lang w:val="sq-AL"/>
        </w:rPr>
      </w:pPr>
      <w:r>
        <w:rPr>
          <w:rFonts w:ascii="Times New Roman" w:eastAsia="MS Mincho" w:hAnsi="Times New Roman" w:cs="Times New Roman"/>
          <w:sz w:val="24"/>
          <w:szCs w:val="24"/>
          <w:lang w:val="sq-AL"/>
        </w:rPr>
        <w:t xml:space="preserve">Sic është cituar dhe në opinionin nr. 25 të Këshillit Konsultativ të Gjyqtarëve Evropianë, mbi lirinë e shprehjes së gjyqtarëve, Gjyqtarët në cdo rast duhet të sigurohen që të ruajnë autoritetin, integritetin, imazhin dhe dinjitetin e funksionit të tyre. Ata duhet të jenë të vetëdijshëm se gjuha, veshja, fotot dhe shfaqja e të dhenave të tjera personale mund të cënojnë reputacionin e gjyqësorit. Ndarja me të tjerët e detajeve private, si stili i të jetuarit </w:t>
      </w:r>
      <w:r w:rsidR="000574FD">
        <w:rPr>
          <w:rFonts w:ascii="Times New Roman" w:eastAsia="MS Mincho" w:hAnsi="Times New Roman" w:cs="Times New Roman"/>
          <w:sz w:val="24"/>
          <w:szCs w:val="24"/>
          <w:lang w:val="sq-AL"/>
        </w:rPr>
        <w:t>apo të dhë</w:t>
      </w:r>
      <w:r>
        <w:rPr>
          <w:rFonts w:ascii="Times New Roman" w:eastAsia="MS Mincho" w:hAnsi="Times New Roman" w:cs="Times New Roman"/>
          <w:sz w:val="24"/>
          <w:szCs w:val="24"/>
          <w:lang w:val="sq-AL"/>
        </w:rPr>
        <w:t>na mbi familjen, mbart disa risqe. Gjithsesi nëse një shprehje e caktuar apo nj</w:t>
      </w:r>
      <w:r w:rsidR="00732396">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 xml:space="preserve"> veprim a sjellje, potencialisht kompromenton reputacionin e gjyqtarit apo të gjyqësorit do të duhet të vlerësohet bazuar në rrethanat e cështjes. Gjithsesi n</w:t>
      </w:r>
      <w:r w:rsidR="00732396">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 xml:space="preserve"> k</w:t>
      </w:r>
      <w:r w:rsidR="00732396">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t</w:t>
      </w:r>
      <w:r w:rsidR="000574FD">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 xml:space="preserve"> opinion theksohet se shkarkimi i nj</w:t>
      </w:r>
      <w:r w:rsidR="00732396">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 xml:space="preserve"> gjyqtari si mas</w:t>
      </w:r>
      <w:r w:rsidR="00732396">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 xml:space="preserve"> disiplinore duhet t</w:t>
      </w:r>
      <w:r w:rsidR="00732396">
        <w:rPr>
          <w:rFonts w:ascii="Times New Roman" w:eastAsia="MS Mincho" w:hAnsi="Times New Roman" w:cs="Times New Roman"/>
          <w:sz w:val="24"/>
          <w:szCs w:val="24"/>
          <w:lang w:val="sq-AL"/>
        </w:rPr>
        <w:t>ë</w:t>
      </w:r>
      <w:r>
        <w:rPr>
          <w:rFonts w:ascii="Times New Roman" w:eastAsia="MS Mincho" w:hAnsi="Times New Roman" w:cs="Times New Roman"/>
          <w:sz w:val="24"/>
          <w:szCs w:val="24"/>
          <w:lang w:val="sq-AL"/>
        </w:rPr>
        <w:t xml:space="preserve"> aplikohet si zgjidhja e fundit.</w:t>
      </w:r>
    </w:p>
    <w:p w14:paraId="1D7A1FE0" w14:textId="77777777" w:rsidR="007E56F5" w:rsidRPr="00032B89" w:rsidRDefault="007E56F5" w:rsidP="00032B89">
      <w:pPr>
        <w:pStyle w:val="Bodytext20"/>
        <w:shd w:val="clear" w:color="auto" w:fill="auto"/>
        <w:spacing w:before="0" w:after="242"/>
        <w:ind w:firstLine="0"/>
        <w:rPr>
          <w:sz w:val="24"/>
          <w:szCs w:val="24"/>
          <w:lang w:val="sq-AL"/>
        </w:rPr>
      </w:pPr>
    </w:p>
    <w:p w14:paraId="20125404" w14:textId="48720726" w:rsidR="00D2271E" w:rsidRDefault="00D2271E" w:rsidP="006841D0">
      <w:pPr>
        <w:ind w:right="14"/>
        <w:jc w:val="both"/>
        <w:rPr>
          <w:rFonts w:ascii="Times New Roman" w:eastAsia="Times New Roman" w:hAnsi="Times New Roman" w:cs="Times New Roman"/>
        </w:rPr>
      </w:pPr>
      <w:r>
        <w:rPr>
          <w:rFonts w:ascii="Times New Roman" w:eastAsia="Times New Roman" w:hAnsi="Times New Roman" w:cs="Times New Roman"/>
        </w:rPr>
        <w:t>Ligji 96/2016 i Statusit i cili parashikon dhe shkeljet disiplinore t</w:t>
      </w:r>
      <w:r w:rsidR="00BA4EC3">
        <w:rPr>
          <w:rFonts w:ascii="Times New Roman" w:eastAsia="Times New Roman" w:hAnsi="Times New Roman" w:cs="Times New Roman"/>
        </w:rPr>
        <w:t>ë</w:t>
      </w:r>
      <w:r>
        <w:rPr>
          <w:rFonts w:ascii="Times New Roman" w:eastAsia="Times New Roman" w:hAnsi="Times New Roman" w:cs="Times New Roman"/>
        </w:rPr>
        <w:t xml:space="preserve"> magjistrat</w:t>
      </w:r>
      <w:r w:rsidR="00BA4EC3">
        <w:rPr>
          <w:rFonts w:ascii="Times New Roman" w:eastAsia="Times New Roman" w:hAnsi="Times New Roman" w:cs="Times New Roman"/>
        </w:rPr>
        <w:t>ë</w:t>
      </w:r>
      <w:r>
        <w:rPr>
          <w:rFonts w:ascii="Times New Roman" w:eastAsia="Times New Roman" w:hAnsi="Times New Roman" w:cs="Times New Roman"/>
        </w:rPr>
        <w:t>ve, ka evidentuar si veprime</w:t>
      </w:r>
      <w:r w:rsidR="00F269FE">
        <w:rPr>
          <w:rFonts w:ascii="Times New Roman" w:eastAsia="Times New Roman" w:hAnsi="Times New Roman" w:cs="Times New Roman"/>
        </w:rPr>
        <w:t xml:space="preserve"> q</w:t>
      </w:r>
      <w:r w:rsidR="00F65691">
        <w:rPr>
          <w:rFonts w:ascii="Times New Roman" w:eastAsia="Times New Roman" w:hAnsi="Times New Roman" w:cs="Times New Roman"/>
        </w:rPr>
        <w:t>ë</w:t>
      </w:r>
      <w:r w:rsidR="00F269FE">
        <w:rPr>
          <w:rFonts w:ascii="Times New Roman" w:eastAsia="Times New Roman" w:hAnsi="Times New Roman" w:cs="Times New Roman"/>
        </w:rPr>
        <w:t xml:space="preserve"> lidhen me lirin</w:t>
      </w:r>
      <w:r w:rsidR="00F65691">
        <w:rPr>
          <w:rFonts w:ascii="Times New Roman" w:eastAsia="Times New Roman" w:hAnsi="Times New Roman" w:cs="Times New Roman"/>
        </w:rPr>
        <w:t>ë</w:t>
      </w:r>
      <w:r w:rsidR="00F269FE">
        <w:rPr>
          <w:rFonts w:ascii="Times New Roman" w:eastAsia="Times New Roman" w:hAnsi="Times New Roman" w:cs="Times New Roman"/>
        </w:rPr>
        <w:t xml:space="preserve"> me lirin</w:t>
      </w:r>
      <w:r w:rsidR="00F65691">
        <w:rPr>
          <w:rFonts w:ascii="Times New Roman" w:eastAsia="Times New Roman" w:hAnsi="Times New Roman" w:cs="Times New Roman"/>
        </w:rPr>
        <w:t>ë</w:t>
      </w:r>
      <w:r w:rsidR="00F269FE">
        <w:rPr>
          <w:rFonts w:ascii="Times New Roman" w:eastAsia="Times New Roman" w:hAnsi="Times New Roman" w:cs="Times New Roman"/>
        </w:rPr>
        <w:t xml:space="preserve"> e t</w:t>
      </w:r>
      <w:r w:rsidR="00F65691">
        <w:rPr>
          <w:rFonts w:ascii="Times New Roman" w:eastAsia="Times New Roman" w:hAnsi="Times New Roman" w:cs="Times New Roman"/>
        </w:rPr>
        <w:t>ë</w:t>
      </w:r>
      <w:r w:rsidR="00F269FE">
        <w:rPr>
          <w:rFonts w:ascii="Times New Roman" w:eastAsia="Times New Roman" w:hAnsi="Times New Roman" w:cs="Times New Roman"/>
        </w:rPr>
        <w:t xml:space="preserve"> shprehurit</w:t>
      </w:r>
      <w:r w:rsidR="00F240B9">
        <w:rPr>
          <w:rFonts w:ascii="Times New Roman" w:eastAsia="Times New Roman" w:hAnsi="Times New Roman" w:cs="Times New Roman"/>
        </w:rPr>
        <w:t xml:space="preserve"> dhe me sjellje</w:t>
      </w:r>
      <w:r w:rsidR="00F269FE">
        <w:rPr>
          <w:rFonts w:ascii="Times New Roman" w:eastAsia="Times New Roman" w:hAnsi="Times New Roman" w:cs="Times New Roman"/>
        </w:rPr>
        <w:t xml:space="preserve"> </w:t>
      </w:r>
      <w:r>
        <w:rPr>
          <w:rFonts w:ascii="Times New Roman" w:eastAsia="Times New Roman" w:hAnsi="Times New Roman" w:cs="Times New Roman"/>
        </w:rPr>
        <w:t>q</w:t>
      </w:r>
      <w:r w:rsidR="00BA4EC3">
        <w:rPr>
          <w:rFonts w:ascii="Times New Roman" w:eastAsia="Times New Roman" w:hAnsi="Times New Roman" w:cs="Times New Roman"/>
        </w:rPr>
        <w:t>ë</w:t>
      </w:r>
      <w:r>
        <w:rPr>
          <w:rFonts w:ascii="Times New Roman" w:eastAsia="Times New Roman" w:hAnsi="Times New Roman" w:cs="Times New Roman"/>
        </w:rPr>
        <w:t xml:space="preserve"> passjellin p</w:t>
      </w:r>
      <w:r w:rsidR="00BA4EC3">
        <w:rPr>
          <w:rFonts w:ascii="Times New Roman" w:eastAsia="Times New Roman" w:hAnsi="Times New Roman" w:cs="Times New Roman"/>
        </w:rPr>
        <w:t>ë</w:t>
      </w:r>
      <w:r>
        <w:rPr>
          <w:rFonts w:ascii="Times New Roman" w:eastAsia="Times New Roman" w:hAnsi="Times New Roman" w:cs="Times New Roman"/>
        </w:rPr>
        <w:t>rgjegj</w:t>
      </w:r>
      <w:r w:rsidR="00BA4EC3">
        <w:rPr>
          <w:rFonts w:ascii="Times New Roman" w:eastAsia="Times New Roman" w:hAnsi="Times New Roman" w:cs="Times New Roman"/>
        </w:rPr>
        <w:t>ë</w:t>
      </w:r>
      <w:r>
        <w:rPr>
          <w:rFonts w:ascii="Times New Roman" w:eastAsia="Times New Roman" w:hAnsi="Times New Roman" w:cs="Times New Roman"/>
        </w:rPr>
        <w:t>si disiplinore t</w:t>
      </w:r>
      <w:r w:rsidR="00BA4EC3">
        <w:rPr>
          <w:rFonts w:ascii="Times New Roman" w:eastAsia="Times New Roman" w:hAnsi="Times New Roman" w:cs="Times New Roman"/>
        </w:rPr>
        <w:t>ë</w:t>
      </w:r>
      <w:r>
        <w:rPr>
          <w:rFonts w:ascii="Times New Roman" w:eastAsia="Times New Roman" w:hAnsi="Times New Roman" w:cs="Times New Roman"/>
        </w:rPr>
        <w:t xml:space="preserve"> tyre, t</w:t>
      </w:r>
      <w:r w:rsidR="00BA4EC3">
        <w:rPr>
          <w:rFonts w:ascii="Times New Roman" w:eastAsia="Times New Roman" w:hAnsi="Times New Roman" w:cs="Times New Roman"/>
        </w:rPr>
        <w:t>ë</w:t>
      </w:r>
      <w:r>
        <w:rPr>
          <w:rFonts w:ascii="Times New Roman" w:eastAsia="Times New Roman" w:hAnsi="Times New Roman" w:cs="Times New Roman"/>
        </w:rPr>
        <w:t xml:space="preserve"> tilla si: </w:t>
      </w:r>
    </w:p>
    <w:p w14:paraId="3E443C9C" w14:textId="77777777" w:rsidR="00DF2C9E" w:rsidRPr="00F65691" w:rsidRDefault="00DF2C9E" w:rsidP="00DF2C9E">
      <w:pPr>
        <w:spacing w:line="240" w:lineRule="auto"/>
        <w:jc w:val="both"/>
        <w:rPr>
          <w:rFonts w:ascii="Times New Roman" w:hAnsi="Times New Roman" w:cs="Times New Roman"/>
          <w:i/>
        </w:rPr>
      </w:pPr>
      <w:r w:rsidRPr="00F65691">
        <w:rPr>
          <w:rFonts w:ascii="Times New Roman" w:hAnsi="Times New Roman" w:cs="Times New Roman"/>
          <w:i/>
        </w:rPr>
        <w:t xml:space="preserve">j) shkelja e rregullave të konfidencialitetit dhe të mospërhapjes së informacionit, të parashikuara në legjislacionin në fuqi, për të cilat merr dijeni për shkak të funksionit të magjistratit ose që rezultojnë nga hetimi ose gjykimi, në proces ose i përfunduar; </w:t>
      </w:r>
    </w:p>
    <w:p w14:paraId="37614518" w14:textId="24FD3426" w:rsidR="00DF2C9E" w:rsidRPr="00F65691" w:rsidRDefault="00DF2C9E" w:rsidP="00DF2C9E">
      <w:pPr>
        <w:spacing w:line="240" w:lineRule="auto"/>
        <w:jc w:val="both"/>
        <w:rPr>
          <w:rFonts w:ascii="Times New Roman" w:hAnsi="Times New Roman" w:cs="Times New Roman"/>
          <w:i/>
        </w:rPr>
      </w:pPr>
      <w:r w:rsidRPr="00F65691">
        <w:rPr>
          <w:rFonts w:ascii="Times New Roman" w:hAnsi="Times New Roman" w:cs="Times New Roman"/>
          <w:i/>
        </w:rPr>
        <w:t xml:space="preserve">ll) bërja publike e mendimeve që janë dhënë nga vetë magjistrati ose magjistratët e tjerë gjatë procesit që nuk kanë marrë ende formën e një akti të disponueshëm për publikun; </w:t>
      </w:r>
    </w:p>
    <w:p w14:paraId="29A46C8E" w14:textId="58F208D3" w:rsidR="00DF2C9E" w:rsidRPr="00F65691" w:rsidRDefault="00DF2C9E" w:rsidP="00DF2C9E">
      <w:pPr>
        <w:spacing w:line="240" w:lineRule="auto"/>
        <w:jc w:val="both"/>
        <w:rPr>
          <w:rFonts w:ascii="Times New Roman" w:hAnsi="Times New Roman" w:cs="Times New Roman"/>
          <w:i/>
        </w:rPr>
      </w:pPr>
      <w:r w:rsidRPr="00F65691">
        <w:rPr>
          <w:rFonts w:ascii="Times New Roman" w:hAnsi="Times New Roman" w:cs="Times New Roman"/>
          <w:i/>
        </w:rPr>
        <w:t xml:space="preserve">m) bërja e deklaratave publike në media për çështjet, me përjashtim të komunikimeve për shtyp të magjistratit brenda kufijve të detyrës së tij; </w:t>
      </w:r>
    </w:p>
    <w:p w14:paraId="79823A27" w14:textId="0F04C0F1" w:rsidR="003E4F7D" w:rsidRDefault="00D2271E" w:rsidP="00F65691">
      <w:pPr>
        <w:jc w:val="both"/>
        <w:rPr>
          <w:rFonts w:ascii="Times New Roman" w:hAnsi="Times New Roman" w:cs="Times New Roman"/>
          <w:i/>
        </w:rPr>
      </w:pPr>
      <w:r w:rsidRPr="00F65691">
        <w:rPr>
          <w:rFonts w:ascii="Times New Roman" w:hAnsi="Times New Roman" w:cs="Times New Roman"/>
          <w:i/>
        </w:rPr>
        <w:t xml:space="preserve">dh) raste të tjera të sjelljes që diskrediton pozitën dhe figurën e magjistratit dhe dëmton besimin e publikut në sistemin gjyqësor ose të prokurorisë, të kryera jashtë ushtrimit të detyrës. </w:t>
      </w:r>
    </w:p>
    <w:p w14:paraId="446A8B08" w14:textId="77777777" w:rsidR="00F65691" w:rsidRPr="00F65691" w:rsidRDefault="00F65691" w:rsidP="00F65691">
      <w:pPr>
        <w:jc w:val="both"/>
        <w:rPr>
          <w:rFonts w:ascii="Times New Roman" w:hAnsi="Times New Roman" w:cs="Times New Roman"/>
          <w:i/>
        </w:rPr>
      </w:pPr>
    </w:p>
    <w:p w14:paraId="070F0DA4" w14:textId="6CED2BD7" w:rsidR="00E0327E" w:rsidRPr="008A6652" w:rsidRDefault="00E0327E"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Në një nga procedimet disiplinore të filluara nga Inspektori i Lartë i Drejtësisë ndaj një magjistrati, Këshilli nëpërmjet disponimit për rastin konkret, ka vendosur disa standarde të cilat kanë çuar drejt identifikimit të natyrës së veprimeve </w:t>
      </w:r>
      <w:r w:rsidRPr="008A6652">
        <w:rPr>
          <w:rFonts w:ascii="Times New Roman" w:hAnsi="Times New Roman" w:cs="Times New Roman"/>
          <w:sz w:val="24"/>
          <w:szCs w:val="24"/>
          <w:lang w:val="sq-AL"/>
        </w:rPr>
        <w:t xml:space="preserve">që mund të kategorizohen nga institucionet disiplinore si sjellje që rrezikojnë pavarësinë, integritetin dhe paanshmërinë e një gjyqtari, </w:t>
      </w:r>
      <w:r w:rsidR="000F7DFD">
        <w:rPr>
          <w:rFonts w:ascii="Times New Roman" w:hAnsi="Times New Roman" w:cs="Times New Roman"/>
          <w:sz w:val="24"/>
          <w:szCs w:val="24"/>
          <w:lang w:val="sq-AL"/>
        </w:rPr>
        <w:t>q</w:t>
      </w:r>
      <w:r w:rsidR="00BA4EC3">
        <w:rPr>
          <w:rFonts w:ascii="Times New Roman" w:hAnsi="Times New Roman" w:cs="Times New Roman"/>
          <w:sz w:val="24"/>
          <w:szCs w:val="24"/>
          <w:lang w:val="sq-AL"/>
        </w:rPr>
        <w:t>ë</w:t>
      </w:r>
      <w:r w:rsidRPr="008A6652">
        <w:rPr>
          <w:rFonts w:ascii="Times New Roman" w:hAnsi="Times New Roman" w:cs="Times New Roman"/>
          <w:sz w:val="24"/>
          <w:szCs w:val="24"/>
          <w:lang w:val="sq-AL"/>
        </w:rPr>
        <w:t xml:space="preserve"> minojnë besimin e publikut në gjyqësor dhe/ose të çojnë në vendosjen e masave disiplinore ndaj një gjyqtari.</w:t>
      </w:r>
    </w:p>
    <w:p w14:paraId="678AF0C4" w14:textId="77777777" w:rsidR="00E0327E" w:rsidRPr="008A6652" w:rsidRDefault="00E0327E" w:rsidP="008A6652">
      <w:pPr>
        <w:spacing w:after="0" w:line="276" w:lineRule="auto"/>
        <w:jc w:val="both"/>
        <w:rPr>
          <w:rFonts w:ascii="Times New Roman" w:eastAsia="MS Mincho" w:hAnsi="Times New Roman" w:cs="Times New Roman"/>
          <w:sz w:val="24"/>
          <w:szCs w:val="24"/>
          <w:lang w:val="sq-AL"/>
        </w:rPr>
      </w:pPr>
    </w:p>
    <w:p w14:paraId="58438524" w14:textId="041A4E6B" w:rsidR="00296067" w:rsidRPr="008A6652" w:rsidRDefault="00296067" w:rsidP="008A6652">
      <w:pPr>
        <w:pStyle w:val="NoSpacing"/>
        <w:spacing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Në rastin konkret, nga ana e gjyqtarit janë publikuar video të imazhit të </w:t>
      </w:r>
      <w:r w:rsidR="000F7DFD">
        <w:rPr>
          <w:rFonts w:ascii="Times New Roman" w:eastAsia="MS Mincho" w:hAnsi="Times New Roman" w:cs="Times New Roman"/>
          <w:sz w:val="24"/>
          <w:szCs w:val="24"/>
          <w:lang w:val="sq-AL"/>
        </w:rPr>
        <w:t xml:space="preserve">tij </w:t>
      </w:r>
      <w:r w:rsidRPr="008A6652">
        <w:rPr>
          <w:rFonts w:ascii="Times New Roman" w:eastAsia="MS Mincho" w:hAnsi="Times New Roman" w:cs="Times New Roman"/>
          <w:sz w:val="24"/>
          <w:szCs w:val="24"/>
          <w:lang w:val="sq-AL"/>
        </w:rPr>
        <w:t xml:space="preserve">personal, me lëvizje dhe sjellje provokuese, të shoqëruar në sfond me muzikë të natyrës jo të hijshme për imazhin e një magjistrati si dhe për të realizuar ato është përdorur ambienti i Zyrës së </w:t>
      </w:r>
      <w:r w:rsidRPr="008A6652">
        <w:rPr>
          <w:rFonts w:ascii="Times New Roman" w:eastAsia="MS Mincho" w:hAnsi="Times New Roman" w:cs="Times New Roman"/>
          <w:sz w:val="24"/>
          <w:szCs w:val="24"/>
          <w:lang w:val="sq-AL"/>
        </w:rPr>
        <w:lastRenderedPageBreak/>
        <w:t xml:space="preserve">Kryetarit, si dhe Gjykatës. Videot e realizuara në këto ambiente janë hedhur në rrjetin social “Tik-Tok”, </w:t>
      </w:r>
    </w:p>
    <w:p w14:paraId="31578C2C" w14:textId="77777777" w:rsidR="00296067" w:rsidRPr="008A6652" w:rsidRDefault="00296067" w:rsidP="008A6652">
      <w:pPr>
        <w:spacing w:after="0" w:line="276" w:lineRule="auto"/>
        <w:jc w:val="both"/>
        <w:rPr>
          <w:rFonts w:ascii="Times New Roman" w:eastAsia="MS Mincho" w:hAnsi="Times New Roman" w:cs="Times New Roman"/>
          <w:sz w:val="24"/>
          <w:szCs w:val="24"/>
          <w:lang w:val="sq-AL"/>
        </w:rPr>
      </w:pPr>
    </w:p>
    <w:p w14:paraId="06A94283" w14:textId="77777777" w:rsidR="00296067" w:rsidRPr="008A6652" w:rsidRDefault="00296067"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Nga këqyrja e pamjeve të videove të publikuara, shihet magjistrati teksa performon në zyrën e tijj, ku ndodhen dosje për shqyrtim, pelerina e gjyqtarit, pjesë e veshjes në funksion të solemnitetit të detyrës. Ai kujdeset të bëjë një panoramim në sfond të ambienteve të zyrës, pjesë të ndryshme të trupit, ndërsa në sfond është kënga “Mafia, Mafia”, mesazhi i të cilës në thelb pranohet se është mbështetje për krimin dhe drogën, ndërsa në tekst, nuk mungojnë as fjalë jo etike. </w:t>
      </w:r>
    </w:p>
    <w:p w14:paraId="26695CDB" w14:textId="77777777" w:rsidR="00B022DE" w:rsidRPr="008A6652" w:rsidRDefault="00B022DE" w:rsidP="008A6652">
      <w:pPr>
        <w:spacing w:after="0" w:line="276" w:lineRule="auto"/>
        <w:jc w:val="both"/>
        <w:rPr>
          <w:rFonts w:ascii="Times New Roman" w:eastAsia="MS Mincho" w:hAnsi="Times New Roman" w:cs="Times New Roman"/>
          <w:sz w:val="24"/>
          <w:szCs w:val="24"/>
          <w:lang w:val="sq-AL"/>
        </w:rPr>
      </w:pPr>
    </w:p>
    <w:p w14:paraId="532E4A1A" w14:textId="77777777" w:rsidR="00296067" w:rsidRPr="008A6652" w:rsidRDefault="00296067" w:rsidP="008A6652">
      <w:pPr>
        <w:spacing w:after="0" w:line="276" w:lineRule="auto"/>
        <w:jc w:val="both"/>
        <w:rPr>
          <w:rFonts w:ascii="Times New Roman" w:eastAsia="MS Mincho" w:hAnsi="Times New Roman" w:cs="Times New Roman"/>
          <w:sz w:val="24"/>
          <w:szCs w:val="24"/>
          <w:lang w:val="sq-AL"/>
        </w:rPr>
      </w:pPr>
    </w:p>
    <w:p w14:paraId="31DDB43E" w14:textId="77777777" w:rsidR="00F45903" w:rsidRPr="008A6652" w:rsidRDefault="00E0327E"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Kështu, në përfundim të këtij procedimi disiplinor, </w:t>
      </w:r>
      <w:r w:rsidR="00427C99" w:rsidRPr="008A6652">
        <w:rPr>
          <w:rFonts w:ascii="Times New Roman" w:eastAsia="MS Mincho" w:hAnsi="Times New Roman" w:cs="Times New Roman"/>
          <w:sz w:val="24"/>
          <w:szCs w:val="24"/>
          <w:lang w:val="sq-AL"/>
        </w:rPr>
        <w:t xml:space="preserve">nga Këshilli i Lartë Gjyqësor </w:t>
      </w:r>
      <w:r w:rsidRPr="008A6652">
        <w:rPr>
          <w:rFonts w:ascii="Times New Roman" w:eastAsia="MS Mincho" w:hAnsi="Times New Roman" w:cs="Times New Roman"/>
          <w:sz w:val="24"/>
          <w:szCs w:val="24"/>
          <w:lang w:val="sq-AL"/>
        </w:rPr>
        <w:t xml:space="preserve">është vlerësuar si i drejtë qëndrimi i sjellë nga Inspektori i Lartë i Drejtësisë se gjyqtari  për shkak të funksionit që ai ka, duhet të ushtrojë kujdes në ruajtjen e integritetit të tij, si gjatë ashtu edhe jashtë ushtrimit të funksionit. Ky kujdes nuk duhet të tregohet vetëm gjatë ushtrimit të detyrës, brenda orarit zyrtar, por dhe jashtë tij, edhe në jetën private, në ambiente private, sikundër mund të jetë edhe automjeti. </w:t>
      </w:r>
    </w:p>
    <w:p w14:paraId="21587E79" w14:textId="77777777" w:rsidR="00F45903" w:rsidRPr="008A6652" w:rsidRDefault="00F45903" w:rsidP="008A6652">
      <w:pPr>
        <w:spacing w:after="0" w:line="276" w:lineRule="auto"/>
        <w:jc w:val="both"/>
        <w:rPr>
          <w:rFonts w:ascii="Times New Roman" w:eastAsia="MS Mincho" w:hAnsi="Times New Roman" w:cs="Times New Roman"/>
          <w:sz w:val="24"/>
          <w:szCs w:val="24"/>
          <w:lang w:val="sq-AL"/>
        </w:rPr>
      </w:pPr>
    </w:p>
    <w:p w14:paraId="5AF8BA87" w14:textId="7BF0CA05" w:rsidR="00E0327E" w:rsidRPr="008A6652" w:rsidRDefault="00E0327E" w:rsidP="008A6652">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 xml:space="preserve">Kryerja dhe publikimi më pas </w:t>
      </w:r>
      <w:r w:rsidR="000F7DFD">
        <w:rPr>
          <w:rFonts w:ascii="Times New Roman" w:eastAsia="MS Mincho" w:hAnsi="Times New Roman" w:cs="Times New Roman"/>
          <w:sz w:val="24"/>
          <w:szCs w:val="24"/>
          <w:lang w:val="sq-AL"/>
        </w:rPr>
        <w:t>n</w:t>
      </w:r>
      <w:r w:rsidR="00BA4EC3">
        <w:rPr>
          <w:rFonts w:ascii="Times New Roman" w:eastAsia="MS Mincho" w:hAnsi="Times New Roman" w:cs="Times New Roman"/>
          <w:sz w:val="24"/>
          <w:szCs w:val="24"/>
          <w:lang w:val="sq-AL"/>
        </w:rPr>
        <w:t>ë</w:t>
      </w:r>
      <w:r w:rsidR="000F7DFD">
        <w:rPr>
          <w:rFonts w:ascii="Times New Roman" w:eastAsia="MS Mincho" w:hAnsi="Times New Roman" w:cs="Times New Roman"/>
          <w:sz w:val="24"/>
          <w:szCs w:val="24"/>
          <w:lang w:val="sq-AL"/>
        </w:rPr>
        <w:t xml:space="preserve"> </w:t>
      </w:r>
      <w:r w:rsidRPr="008A6652">
        <w:rPr>
          <w:rFonts w:ascii="Times New Roman" w:eastAsia="MS Mincho" w:hAnsi="Times New Roman" w:cs="Times New Roman"/>
          <w:sz w:val="24"/>
          <w:szCs w:val="24"/>
          <w:lang w:val="sq-AL"/>
        </w:rPr>
        <w:t xml:space="preserve">media sociale, i sjelljeve të tilla jo të hijshme, u vlerësua si shkelje </w:t>
      </w:r>
      <w:r w:rsidR="000F7DFD">
        <w:rPr>
          <w:rFonts w:ascii="Times New Roman" w:eastAsia="MS Mincho" w:hAnsi="Times New Roman" w:cs="Times New Roman"/>
          <w:sz w:val="24"/>
          <w:szCs w:val="24"/>
          <w:lang w:val="sq-AL"/>
        </w:rPr>
        <w:t xml:space="preserve">e </w:t>
      </w:r>
      <w:r w:rsidRPr="008A6652">
        <w:rPr>
          <w:rFonts w:ascii="Times New Roman" w:eastAsia="MS Mincho" w:hAnsi="Times New Roman" w:cs="Times New Roman"/>
          <w:sz w:val="24"/>
          <w:szCs w:val="24"/>
          <w:lang w:val="sq-AL"/>
        </w:rPr>
        <w:t xml:space="preserve"> “Parimit të integritetit” dhe “Parimit të sjelljes së hijshme dhe me vetëpërmbajtje” të parashikuar në Kodin e Etikës Gjyqësore</w:t>
      </w:r>
      <w:r w:rsidRPr="008A6652">
        <w:rPr>
          <w:rStyle w:val="FootnoteReference"/>
          <w:rFonts w:ascii="Times New Roman" w:eastAsia="MS Mincho" w:hAnsi="Times New Roman" w:cs="Times New Roman"/>
          <w:sz w:val="24"/>
          <w:szCs w:val="24"/>
          <w:lang w:val="sq-AL"/>
        </w:rPr>
        <w:footnoteReference w:id="2"/>
      </w:r>
      <w:r w:rsidRPr="008A6652">
        <w:rPr>
          <w:rFonts w:ascii="Times New Roman" w:eastAsia="MS Mincho" w:hAnsi="Times New Roman" w:cs="Times New Roman"/>
          <w:sz w:val="24"/>
          <w:szCs w:val="24"/>
          <w:lang w:val="sq-AL"/>
        </w:rPr>
        <w:t xml:space="preserve">. </w:t>
      </w:r>
    </w:p>
    <w:p w14:paraId="1318AD54" w14:textId="77777777" w:rsidR="00E0327E" w:rsidRPr="008A6652" w:rsidRDefault="00E0327E" w:rsidP="008A6652">
      <w:pPr>
        <w:spacing w:after="0" w:line="276" w:lineRule="auto"/>
        <w:jc w:val="both"/>
        <w:rPr>
          <w:rFonts w:ascii="Times New Roman" w:eastAsia="MS Mincho" w:hAnsi="Times New Roman" w:cs="Times New Roman"/>
          <w:sz w:val="24"/>
          <w:szCs w:val="24"/>
          <w:lang w:val="sq-AL"/>
        </w:rPr>
      </w:pPr>
    </w:p>
    <w:p w14:paraId="34BE32A7" w14:textId="77777777" w:rsidR="00E0327E" w:rsidRPr="001169C2" w:rsidRDefault="00E0327E" w:rsidP="008A6652">
      <w:pPr>
        <w:spacing w:after="0" w:line="276" w:lineRule="auto"/>
        <w:jc w:val="both"/>
        <w:rPr>
          <w:rFonts w:ascii="Times New Roman" w:eastAsia="MS Mincho" w:hAnsi="Times New Roman" w:cs="Times New Roman"/>
          <w:b/>
          <w:i/>
          <w:sz w:val="24"/>
          <w:szCs w:val="24"/>
          <w:lang w:val="sq-AL"/>
        </w:rPr>
      </w:pPr>
      <w:r w:rsidRPr="008A6652">
        <w:rPr>
          <w:rFonts w:ascii="Times New Roman" w:eastAsia="MS Mincho" w:hAnsi="Times New Roman" w:cs="Times New Roman"/>
          <w:sz w:val="24"/>
          <w:szCs w:val="24"/>
          <w:lang w:val="sq-AL"/>
        </w:rPr>
        <w:t>Pamjet e publikuara, të cilat janë realizuar si nga vetë magjistrat</w:t>
      </w:r>
      <w:r w:rsidR="00427C99" w:rsidRPr="008A6652">
        <w:rPr>
          <w:rFonts w:ascii="Times New Roman" w:eastAsia="MS Mincho" w:hAnsi="Times New Roman" w:cs="Times New Roman"/>
          <w:sz w:val="24"/>
          <w:szCs w:val="24"/>
          <w:lang w:val="sq-AL"/>
        </w:rPr>
        <w:t>i</w:t>
      </w:r>
      <w:r w:rsidRPr="008A6652">
        <w:rPr>
          <w:rFonts w:ascii="Times New Roman" w:eastAsia="MS Mincho" w:hAnsi="Times New Roman" w:cs="Times New Roman"/>
          <w:sz w:val="24"/>
          <w:szCs w:val="24"/>
          <w:lang w:val="sq-AL"/>
        </w:rPr>
        <w:t xml:space="preserve">, apo dhe nga të tjerë, si në ambientet e zyrës, në ambientet e tjera të gjykatës, si dhe në automjet, </w:t>
      </w:r>
      <w:r w:rsidRPr="001169C2">
        <w:rPr>
          <w:rFonts w:ascii="Times New Roman" w:eastAsia="MS Mincho" w:hAnsi="Times New Roman" w:cs="Times New Roman"/>
          <w:b/>
          <w:i/>
          <w:sz w:val="24"/>
          <w:szCs w:val="24"/>
          <w:lang w:val="sq-AL"/>
        </w:rPr>
        <w:t>u vlerësuan si jo dinjitoze në sytë e një vëzhguesi të arsyeshëm dhe konfirmonin një sjellje të pahijshme të magjistrat</w:t>
      </w:r>
      <w:r w:rsidR="00427C99" w:rsidRPr="001169C2">
        <w:rPr>
          <w:rFonts w:ascii="Times New Roman" w:eastAsia="MS Mincho" w:hAnsi="Times New Roman" w:cs="Times New Roman"/>
          <w:b/>
          <w:i/>
          <w:sz w:val="24"/>
          <w:szCs w:val="24"/>
          <w:lang w:val="sq-AL"/>
        </w:rPr>
        <w:t>it</w:t>
      </w:r>
      <w:r w:rsidRPr="001169C2">
        <w:rPr>
          <w:rFonts w:ascii="Times New Roman" w:eastAsia="MS Mincho" w:hAnsi="Times New Roman" w:cs="Times New Roman"/>
          <w:b/>
          <w:i/>
          <w:sz w:val="24"/>
          <w:szCs w:val="24"/>
          <w:lang w:val="sq-AL"/>
        </w:rPr>
        <w:t>, të realizuar me dashje direkte.</w:t>
      </w:r>
      <w:r w:rsidRPr="008A6652">
        <w:rPr>
          <w:rFonts w:ascii="Times New Roman" w:eastAsia="MS Mincho" w:hAnsi="Times New Roman" w:cs="Times New Roman"/>
          <w:sz w:val="24"/>
          <w:szCs w:val="24"/>
          <w:lang w:val="sq-AL"/>
        </w:rPr>
        <w:t xml:space="preserve"> Sjellja e magjistratit në video, referuar edhe tekstit të këngës që këndonte në zyrën ku ushtronte veprimtarinë e tij, </w:t>
      </w:r>
      <w:r w:rsidRPr="001169C2">
        <w:rPr>
          <w:rFonts w:ascii="Times New Roman" w:eastAsia="MS Mincho" w:hAnsi="Times New Roman" w:cs="Times New Roman"/>
          <w:b/>
          <w:i/>
          <w:sz w:val="24"/>
          <w:szCs w:val="24"/>
          <w:lang w:val="sq-AL"/>
        </w:rPr>
        <w:t xml:space="preserve">u konkludua se është perceptuar nga publiku i gjerë si sjellje aspak e denjë për funksionin që magjistrati ushtron, pozicionin që përfaqëson, apo si sjellje që dëmtojnë besimin e publikut në sistemin gjyqësor. </w:t>
      </w:r>
    </w:p>
    <w:p w14:paraId="7FAA00EA" w14:textId="77777777" w:rsidR="00B022DE" w:rsidRPr="008A6652" w:rsidRDefault="00B022DE" w:rsidP="008A6652">
      <w:pPr>
        <w:spacing w:after="0" w:line="276" w:lineRule="auto"/>
        <w:jc w:val="both"/>
        <w:rPr>
          <w:rFonts w:ascii="Times New Roman" w:eastAsia="MS Mincho" w:hAnsi="Times New Roman" w:cs="Times New Roman"/>
          <w:sz w:val="24"/>
          <w:szCs w:val="24"/>
          <w:lang w:val="sq-AL"/>
        </w:rPr>
      </w:pPr>
    </w:p>
    <w:p w14:paraId="11C25562" w14:textId="79348B0E" w:rsidR="00391CC3" w:rsidRDefault="00E0327E" w:rsidP="008A2995">
      <w:pPr>
        <w:spacing w:after="0" w:line="276" w:lineRule="auto"/>
        <w:jc w:val="both"/>
        <w:rPr>
          <w:rFonts w:ascii="Times New Roman" w:eastAsia="MS Mincho" w:hAnsi="Times New Roman" w:cs="Times New Roman"/>
          <w:sz w:val="24"/>
          <w:szCs w:val="24"/>
          <w:lang w:val="sq-AL"/>
        </w:rPr>
      </w:pPr>
      <w:r w:rsidRPr="008A6652">
        <w:rPr>
          <w:rFonts w:ascii="Times New Roman" w:eastAsia="MS Mincho" w:hAnsi="Times New Roman" w:cs="Times New Roman"/>
          <w:sz w:val="24"/>
          <w:szCs w:val="24"/>
          <w:lang w:val="sq-AL"/>
        </w:rPr>
        <w:t>Këto sjellje dhe veprime të kryera jashtë ushtrimit të detyrës, por në ambientet e ushtrimit të detyrës, u konsiderua</w:t>
      </w:r>
      <w:r w:rsidR="00BA4EC3">
        <w:rPr>
          <w:rFonts w:ascii="Times New Roman" w:eastAsia="MS Mincho" w:hAnsi="Times New Roman" w:cs="Times New Roman"/>
          <w:sz w:val="24"/>
          <w:szCs w:val="24"/>
          <w:lang w:val="sq-AL"/>
        </w:rPr>
        <w:t>n</w:t>
      </w:r>
      <w:r w:rsidRPr="008A6652">
        <w:rPr>
          <w:rFonts w:ascii="Times New Roman" w:eastAsia="MS Mincho" w:hAnsi="Times New Roman" w:cs="Times New Roman"/>
          <w:sz w:val="24"/>
          <w:szCs w:val="24"/>
          <w:lang w:val="sq-AL"/>
        </w:rPr>
        <w:t xml:space="preserve"> si sjellje që diskreditojnë pozitën dhe figurën e magjistratit dhe </w:t>
      </w:r>
      <w:r w:rsidRPr="008A6652">
        <w:rPr>
          <w:rFonts w:ascii="Times New Roman" w:eastAsia="MS Mincho" w:hAnsi="Times New Roman" w:cs="Times New Roman"/>
          <w:sz w:val="24"/>
          <w:szCs w:val="24"/>
          <w:lang w:val="sq-AL"/>
        </w:rPr>
        <w:lastRenderedPageBreak/>
        <w:t>dëmtonin besimin e publikut në sistemin gjyqësor, duke u parashikuar si shkelje disiplinore në nenin 103, paragrafi 1, shkronja "dh" e Ligjit për Statusin</w:t>
      </w:r>
      <w:r w:rsidR="00A007E2" w:rsidRPr="008A6652">
        <w:rPr>
          <w:rStyle w:val="FootnoteReference"/>
          <w:rFonts w:ascii="Times New Roman" w:eastAsia="MS Mincho" w:hAnsi="Times New Roman" w:cs="Times New Roman"/>
          <w:sz w:val="24"/>
          <w:szCs w:val="24"/>
          <w:lang w:val="sq-AL"/>
        </w:rPr>
        <w:footnoteReference w:id="3"/>
      </w:r>
      <w:r w:rsidRPr="008A6652">
        <w:rPr>
          <w:rFonts w:ascii="Times New Roman" w:eastAsia="MS Mincho" w:hAnsi="Times New Roman" w:cs="Times New Roman"/>
          <w:sz w:val="24"/>
          <w:szCs w:val="24"/>
          <w:lang w:val="sq-AL"/>
        </w:rPr>
        <w:t xml:space="preserve">. </w:t>
      </w:r>
    </w:p>
    <w:sectPr w:rsidR="00391CC3">
      <w:headerReference w:type="even" r:id="rId25"/>
      <w:headerReference w:type="default" r:id="rId26"/>
      <w:footerReference w:type="even"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739142" w14:textId="77777777" w:rsidR="002948F7" w:rsidRDefault="002948F7" w:rsidP="00BD768B">
      <w:pPr>
        <w:spacing w:after="0" w:line="240" w:lineRule="auto"/>
      </w:pPr>
      <w:r>
        <w:separator/>
      </w:r>
    </w:p>
  </w:endnote>
  <w:endnote w:type="continuationSeparator" w:id="0">
    <w:p w14:paraId="4C8C7C0B" w14:textId="77777777" w:rsidR="002948F7" w:rsidRDefault="002948F7" w:rsidP="00BD76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MT">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A68F61" w14:textId="77777777" w:rsidR="00E65194" w:rsidRDefault="00E6519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9296386"/>
      <w:docPartObj>
        <w:docPartGallery w:val="Page Numbers (Bottom of Page)"/>
        <w:docPartUnique/>
      </w:docPartObj>
    </w:sdtPr>
    <w:sdtEndPr>
      <w:rPr>
        <w:noProof/>
      </w:rPr>
    </w:sdtEndPr>
    <w:sdtContent>
      <w:p w14:paraId="20E9374E" w14:textId="23BE11B4" w:rsidR="00E65194" w:rsidRDefault="00E65194">
        <w:pPr>
          <w:pStyle w:val="Footer"/>
          <w:jc w:val="right"/>
        </w:pPr>
        <w:r>
          <w:fldChar w:fldCharType="begin"/>
        </w:r>
        <w:r>
          <w:instrText xml:space="preserve"> PAGE   \* MERGEFORMAT </w:instrText>
        </w:r>
        <w:r>
          <w:fldChar w:fldCharType="separate"/>
        </w:r>
        <w:r w:rsidR="00391917">
          <w:rPr>
            <w:noProof/>
          </w:rPr>
          <w:t>4</w:t>
        </w:r>
        <w:r>
          <w:rPr>
            <w:noProof/>
          </w:rPr>
          <w:fldChar w:fldCharType="end"/>
        </w:r>
      </w:p>
    </w:sdtContent>
  </w:sdt>
  <w:p w14:paraId="149248FE" w14:textId="77777777" w:rsidR="00E65194" w:rsidRDefault="00E6519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55B37" w14:textId="77777777" w:rsidR="00E65194" w:rsidRDefault="00E6519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10514F" w14:textId="77777777" w:rsidR="002948F7" w:rsidRDefault="002948F7" w:rsidP="00BD768B">
      <w:pPr>
        <w:spacing w:after="0" w:line="240" w:lineRule="auto"/>
      </w:pPr>
      <w:r>
        <w:separator/>
      </w:r>
    </w:p>
  </w:footnote>
  <w:footnote w:type="continuationSeparator" w:id="0">
    <w:p w14:paraId="72628B98" w14:textId="77777777" w:rsidR="002948F7" w:rsidRDefault="002948F7" w:rsidP="00BD768B">
      <w:pPr>
        <w:spacing w:after="0" w:line="240" w:lineRule="auto"/>
      </w:pPr>
      <w:r>
        <w:continuationSeparator/>
      </w:r>
    </w:p>
  </w:footnote>
  <w:footnote w:id="1">
    <w:p w14:paraId="300361CE" w14:textId="77777777" w:rsidR="00BD768B" w:rsidRPr="00E0327E" w:rsidRDefault="00BD768B">
      <w:pPr>
        <w:pStyle w:val="FootnoteText"/>
        <w:rPr>
          <w:rFonts w:ascii="Times New Roman" w:hAnsi="Times New Roman" w:cs="Times New Roman"/>
          <w:sz w:val="18"/>
          <w:szCs w:val="18"/>
          <w:lang w:val="sq-AL"/>
        </w:rPr>
      </w:pPr>
      <w:r w:rsidRPr="00E0327E">
        <w:rPr>
          <w:rStyle w:val="FootnoteReference"/>
          <w:rFonts w:ascii="Times New Roman" w:hAnsi="Times New Roman" w:cs="Times New Roman"/>
          <w:sz w:val="18"/>
          <w:szCs w:val="18"/>
          <w:lang w:val="sq-AL"/>
        </w:rPr>
        <w:footnoteRef/>
      </w:r>
      <w:r w:rsidRPr="00E0327E">
        <w:rPr>
          <w:rFonts w:ascii="Times New Roman" w:hAnsi="Times New Roman" w:cs="Times New Roman"/>
          <w:sz w:val="18"/>
          <w:szCs w:val="18"/>
          <w:lang w:val="sq-AL"/>
        </w:rPr>
        <w:t xml:space="preserve"> Miratuar me vendimin nr.171, datë 22.04.2021 të Këshillit të Lartë Gjyqësor.</w:t>
      </w:r>
    </w:p>
  </w:footnote>
  <w:footnote w:id="2">
    <w:p w14:paraId="0CCBDD54" w14:textId="77777777" w:rsidR="00E0327E" w:rsidRPr="00E0327E" w:rsidRDefault="00E0327E" w:rsidP="00E0327E">
      <w:pPr>
        <w:pStyle w:val="FootnoteText"/>
        <w:jc w:val="both"/>
        <w:rPr>
          <w:rFonts w:ascii="Times New Roman" w:hAnsi="Times New Roman" w:cs="Times New Roman"/>
          <w:sz w:val="18"/>
          <w:szCs w:val="18"/>
          <w:lang w:val="sq-AL"/>
        </w:rPr>
      </w:pPr>
      <w:r w:rsidRPr="00E0327E">
        <w:rPr>
          <w:rStyle w:val="FootnoteReference"/>
          <w:rFonts w:ascii="Times New Roman" w:hAnsi="Times New Roman" w:cs="Times New Roman"/>
          <w:sz w:val="18"/>
          <w:szCs w:val="18"/>
          <w:lang w:val="sq-AL"/>
        </w:rPr>
        <w:footnoteRef/>
      </w:r>
      <w:r w:rsidRPr="00E0327E">
        <w:rPr>
          <w:rFonts w:ascii="Times New Roman" w:hAnsi="Times New Roman" w:cs="Times New Roman"/>
          <w:sz w:val="18"/>
          <w:szCs w:val="18"/>
          <w:lang w:val="sq-AL"/>
        </w:rPr>
        <w:t xml:space="preserve"> </w:t>
      </w:r>
      <w:r w:rsidRPr="00E0327E">
        <w:rPr>
          <w:rFonts w:ascii="Times New Roman" w:eastAsia="Calibri" w:hAnsi="Times New Roman" w:cs="Times New Roman"/>
          <w:color w:val="000000"/>
          <w:sz w:val="18"/>
          <w:szCs w:val="18"/>
          <w:lang w:val="sq-AL" w:eastAsia="x-none"/>
        </w:rPr>
        <w:t xml:space="preserve">Kreun II, Seksionin </w:t>
      </w:r>
      <w:r w:rsidRPr="00E0327E">
        <w:rPr>
          <w:rFonts w:ascii="Times New Roman" w:eastAsia="MS Mincho" w:hAnsi="Times New Roman" w:cs="Times New Roman"/>
          <w:sz w:val="18"/>
          <w:szCs w:val="18"/>
          <w:lang w:val="sq-AL" w:eastAsia="x-none"/>
        </w:rPr>
        <w:t xml:space="preserve">“C” i Kodit të Etikës i titulluar </w:t>
      </w:r>
      <w:r w:rsidRPr="00E0327E">
        <w:rPr>
          <w:rFonts w:ascii="Times New Roman" w:eastAsia="MS Mincho" w:hAnsi="Times New Roman" w:cs="Times New Roman"/>
          <w:i/>
          <w:sz w:val="18"/>
          <w:szCs w:val="18"/>
          <w:lang w:val="sq-AL" w:eastAsia="x-none"/>
        </w:rPr>
        <w:t xml:space="preserve">“Parimi i integritetit”, </w:t>
      </w:r>
      <w:r w:rsidRPr="00E0327E">
        <w:rPr>
          <w:rFonts w:ascii="Times New Roman" w:eastAsia="Calibri" w:hAnsi="Times New Roman" w:cs="Times New Roman"/>
          <w:color w:val="000000"/>
          <w:sz w:val="18"/>
          <w:szCs w:val="18"/>
          <w:lang w:val="sq-AL" w:eastAsia="x-none"/>
        </w:rPr>
        <w:t xml:space="preserve">parashikon se: </w:t>
      </w:r>
      <w:r w:rsidRPr="00E0327E">
        <w:rPr>
          <w:rFonts w:ascii="Times New Roman" w:eastAsia="ArialMT" w:hAnsi="Times New Roman" w:cs="Times New Roman"/>
          <w:i/>
          <w:sz w:val="18"/>
          <w:szCs w:val="18"/>
          <w:lang w:val="sq-AL"/>
        </w:rPr>
        <w:t xml:space="preserve">“8. Gjyqtari sillet gjithmonë në mënyrë të tillë që të ruajë dinjitetin, përgjegjësitë në funksion dhe paanshmërinë e pavarësinë e gjyqësorit. Sjellja dhe qëndrimi i gjyqtarit duhet të rikonfirmojë besimin e qytetarëve tek integriteti i gjyqësorit. Sipas këtij parimi, gjyqtari: a) </w:t>
      </w:r>
      <w:r w:rsidRPr="00E0327E">
        <w:rPr>
          <w:rFonts w:ascii="Times New Roman" w:eastAsia="ArialMT" w:hAnsi="Times New Roman" w:cs="Times New Roman"/>
          <w:i/>
          <w:sz w:val="18"/>
          <w:szCs w:val="18"/>
          <w:lang w:val="sq-AL" w:eastAsia="x-none"/>
        </w:rPr>
        <w:t xml:space="preserve">kujdeset për ruajtjen e integritetit si gjatë ushtrimit të detyrës, ashtu dhe në jetën e tij private, me qëllim garantimin e besimit të publikut tek sistemi gjyqësor; </w:t>
      </w:r>
      <w:r w:rsidRPr="00E0327E">
        <w:rPr>
          <w:rFonts w:ascii="Times New Roman" w:eastAsia="ArialMT" w:hAnsi="Times New Roman" w:cs="Times New Roman"/>
          <w:i/>
          <w:sz w:val="18"/>
          <w:szCs w:val="18"/>
          <w:lang w:val="sq-AL"/>
        </w:rPr>
        <w:t>b) sigurohet që sjellja e tij të jetë dinjitoze në sytë e një vëzhguesi të arsyeshëm;...”</w:t>
      </w:r>
      <w:r w:rsidRPr="00E0327E">
        <w:rPr>
          <w:rFonts w:ascii="Times New Roman" w:eastAsia="Calibri" w:hAnsi="Times New Roman" w:cs="Times New Roman"/>
          <w:color w:val="000000"/>
          <w:sz w:val="18"/>
          <w:szCs w:val="18"/>
          <w:lang w:val="sq-AL" w:eastAsia="x-none"/>
        </w:rPr>
        <w:t xml:space="preserve"> Seksionin </w:t>
      </w:r>
      <w:r w:rsidRPr="00E0327E">
        <w:rPr>
          <w:rFonts w:ascii="Times New Roman" w:eastAsia="MS Mincho" w:hAnsi="Times New Roman" w:cs="Times New Roman"/>
          <w:sz w:val="18"/>
          <w:szCs w:val="18"/>
          <w:lang w:val="sq-AL" w:eastAsia="x-none"/>
        </w:rPr>
        <w:t xml:space="preserve">“Ç”, titulluar </w:t>
      </w:r>
      <w:r w:rsidRPr="00E0327E">
        <w:rPr>
          <w:rFonts w:ascii="Times New Roman" w:eastAsia="MS Mincho" w:hAnsi="Times New Roman" w:cs="Times New Roman"/>
          <w:i/>
          <w:sz w:val="18"/>
          <w:szCs w:val="18"/>
          <w:lang w:val="sq-AL" w:eastAsia="x-none"/>
        </w:rPr>
        <w:t xml:space="preserve">“Parimi i sjelljes së hijshme dhe me vetëpërmbajtje”, </w:t>
      </w:r>
      <w:r w:rsidRPr="00E0327E">
        <w:rPr>
          <w:rFonts w:ascii="Times New Roman" w:eastAsia="Calibri" w:hAnsi="Times New Roman" w:cs="Times New Roman"/>
          <w:color w:val="000000"/>
          <w:sz w:val="18"/>
          <w:szCs w:val="18"/>
          <w:lang w:val="sq-AL" w:eastAsia="x-none"/>
        </w:rPr>
        <w:t xml:space="preserve">parashikohet se: </w:t>
      </w:r>
      <w:r w:rsidRPr="00E0327E">
        <w:rPr>
          <w:rFonts w:ascii="Times New Roman" w:eastAsia="MS Mincho" w:hAnsi="Times New Roman" w:cs="Times New Roman"/>
          <w:i/>
          <w:sz w:val="18"/>
          <w:szCs w:val="18"/>
          <w:lang w:val="sq-AL"/>
        </w:rPr>
        <w:t>“9. Gjyqtari shmang sjelljen e pahijshme dhe shfaqjen e saj në të gjitha aktivitetet e tij. Si subjekt i vëzhgimit të vazhdueshëm publik, gjyqtari duhet të pranojë kufizime personale që mund të shihen si të paarsyeshme për një qytetar të thjeshtë dhe këtë duhet ta bëjë lirshëm dhe me dëshirë.</w:t>
      </w:r>
      <w:r w:rsidRPr="00E0327E">
        <w:rPr>
          <w:rFonts w:ascii="Times New Roman" w:eastAsia="ArialMT" w:hAnsi="Times New Roman" w:cs="Times New Roman"/>
          <w:i/>
          <w:sz w:val="18"/>
          <w:szCs w:val="18"/>
          <w:lang w:val="sq-AL"/>
        </w:rPr>
        <w:t xml:space="preserve"> Gjyqtari shmang çdo sjellje, e cila krijon dyshimin e arsyeshëm se vendimet e tij nxiten nga motive të tjera, përtej zbatimit të drejtë të ligjit. Gjyqtari sillet me vetëpërmbajtje me synim arritjen e një balance mes të drejtave të tij si qytetar dhe kufizimeve që lidhen me funksionin e tij. </w:t>
      </w:r>
      <w:r w:rsidRPr="00E0327E">
        <w:rPr>
          <w:rFonts w:ascii="Times New Roman" w:eastAsia="MS Mincho" w:hAnsi="Times New Roman" w:cs="Times New Roman"/>
          <w:i/>
          <w:sz w:val="18"/>
          <w:szCs w:val="18"/>
          <w:lang w:val="sq-AL"/>
        </w:rPr>
        <w:t>Sipas këtij parimi, gjyqtari: …c) nuk lejon që zyra e tij të përdoret për qëllime të tjera të ndryshme nga ato që lidhen me ushtrimin e veprimtarisë gjyqësore;</w:t>
      </w:r>
    </w:p>
  </w:footnote>
  <w:footnote w:id="3">
    <w:p w14:paraId="03F6898E" w14:textId="77777777" w:rsidR="00A007E2" w:rsidRPr="00A007E2" w:rsidRDefault="00A007E2" w:rsidP="00A007E2">
      <w:pPr>
        <w:pStyle w:val="FootnoteText"/>
        <w:jc w:val="both"/>
        <w:rPr>
          <w:sz w:val="18"/>
          <w:szCs w:val="18"/>
          <w:lang w:val="sq-AL"/>
        </w:rPr>
      </w:pPr>
      <w:r>
        <w:rPr>
          <w:rStyle w:val="FootnoteReference"/>
        </w:rPr>
        <w:footnoteRef/>
      </w:r>
      <w:r>
        <w:t xml:space="preserve"> </w:t>
      </w:r>
      <w:r w:rsidRPr="00A007E2">
        <w:rPr>
          <w:rFonts w:ascii="Times New Roman" w:hAnsi="Times New Roman"/>
          <w:sz w:val="18"/>
          <w:szCs w:val="18"/>
          <w:lang w:val="sq-AL"/>
        </w:rPr>
        <w:t>“</w:t>
      </w:r>
      <w:r w:rsidRPr="00A007E2">
        <w:rPr>
          <w:rFonts w:ascii="Times New Roman" w:hAnsi="Times New Roman"/>
          <w:i/>
          <w:sz w:val="18"/>
          <w:szCs w:val="18"/>
          <w:lang w:val="sq-AL"/>
        </w:rPr>
        <w:t>Shkeljet disiplinore jashtë ushtrimit të funksionit janë, në veçanti, por pa u kufizuar në to, veprimet, mosveprimet ose sjelljet e magjistratit, si më poshtë: a) shkelja e rregullave të papajtueshmërisë me funksionin e magjistratit ose të kufizimeve për shkak të funksionit, sipas parashikimeve të bëra në nenet 6 dhe 7 të këtij ligji; b) përdorimi i statusit të magjistratit, me qëllim krijimin e përfitimeve për vete ose për të tjerët; c) ushtrimi i veprimtarive, me pagesë, jashtë funksionit, pa miratimin paraprak të Këshillit;  ç) shoqërimi me persona që janë nën ndjekje penale, janë subjekt të një procedimit penal ose me persona të dënuar dhe të parehabilituar, kur nuk kanë lidhje të ngushta gjaku ose ligjore me magjistratin ose vendosja e marrëdhënieve të papërshtatshme të biznesit me këta persona; d) përfitimi i padrejtë, në mënyrë të drejtpërdrejtë ose të tërthortë i dhuratave, favoreve, premtimeve ose trajtimeve preferenciale të çfarëdo lloji, të cilat jepen për shkak të funksionit që ushtron ose si rrjedhojë e shfrytëzimit të pozicionit të magjistratit, edhe në rastin kur formalizohen me një veprim juridik; dh) raste të tjera të sjelljes që diskrediton pozitën dhe figurën e magjistratit dhe dëmton besimin e publikut në sistemin gjyqësor ose të prokurorisë, të kryera jashtë ushtrimit të detyrës</w:t>
      </w:r>
      <w:r w:rsidRPr="00A007E2">
        <w:rPr>
          <w:rFonts w:ascii="Times New Roman" w:hAnsi="Times New Roman"/>
          <w:sz w:val="18"/>
          <w:szCs w:val="18"/>
          <w:lang w:val="sq-A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46E6F" w14:textId="77777777" w:rsidR="00E65194" w:rsidRDefault="00E651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D62CCF" w14:textId="77777777" w:rsidR="00E65194" w:rsidRDefault="00E6519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3F351" w14:textId="77777777" w:rsidR="00E65194" w:rsidRDefault="00E6519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45752"/>
    <w:multiLevelType w:val="hybridMultilevel"/>
    <w:tmpl w:val="3C9810C0"/>
    <w:lvl w:ilvl="0" w:tplc="D63C3D02">
      <w:start w:val="1"/>
      <w:numFmt w:val="lowerLetter"/>
      <w:lvlText w:val="%1)"/>
      <w:lvlJc w:val="left"/>
      <w:pPr>
        <w:ind w:left="11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F8C9F0">
      <w:start w:val="1"/>
      <w:numFmt w:val="lowerLetter"/>
      <w:lvlText w:val="%2"/>
      <w:lvlJc w:val="left"/>
      <w:pPr>
        <w:ind w:left="14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C8A50FE">
      <w:start w:val="1"/>
      <w:numFmt w:val="lowerRoman"/>
      <w:lvlText w:val="%3"/>
      <w:lvlJc w:val="left"/>
      <w:pPr>
        <w:ind w:left="2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8D5BA">
      <w:start w:val="1"/>
      <w:numFmt w:val="decimal"/>
      <w:lvlText w:val="%4"/>
      <w:lvlJc w:val="left"/>
      <w:pPr>
        <w:ind w:left="28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EA2416">
      <w:start w:val="1"/>
      <w:numFmt w:val="lowerLetter"/>
      <w:lvlText w:val="%5"/>
      <w:lvlJc w:val="left"/>
      <w:pPr>
        <w:ind w:left="36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DE6E5A">
      <w:start w:val="1"/>
      <w:numFmt w:val="lowerRoman"/>
      <w:lvlText w:val="%6"/>
      <w:lvlJc w:val="left"/>
      <w:pPr>
        <w:ind w:left="43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A2F18A">
      <w:start w:val="1"/>
      <w:numFmt w:val="decimal"/>
      <w:lvlText w:val="%7"/>
      <w:lvlJc w:val="left"/>
      <w:pPr>
        <w:ind w:left="5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60FFF4">
      <w:start w:val="1"/>
      <w:numFmt w:val="lowerLetter"/>
      <w:lvlText w:val="%8"/>
      <w:lvlJc w:val="left"/>
      <w:pPr>
        <w:ind w:left="5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944A162">
      <w:start w:val="1"/>
      <w:numFmt w:val="lowerRoman"/>
      <w:lvlText w:val="%9"/>
      <w:lvlJc w:val="left"/>
      <w:pPr>
        <w:ind w:left="64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4B94E74"/>
    <w:multiLevelType w:val="hybridMultilevel"/>
    <w:tmpl w:val="B84E41CC"/>
    <w:lvl w:ilvl="0" w:tplc="0DCE18E0">
      <w:numFmt w:val="bullet"/>
      <w:lvlText w:val="-"/>
      <w:lvlJc w:val="left"/>
      <w:pPr>
        <w:ind w:left="374" w:hanging="360"/>
      </w:pPr>
      <w:rPr>
        <w:rFonts w:ascii="Times New Roman" w:eastAsia="Times New Roman" w:hAnsi="Times New Roman" w:cs="Times New Roman" w:hint="default"/>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2">
    <w:nsid w:val="058D3129"/>
    <w:multiLevelType w:val="hybridMultilevel"/>
    <w:tmpl w:val="662E49A0"/>
    <w:lvl w:ilvl="0" w:tplc="D45208D6">
      <w:start w:val="2"/>
      <w:numFmt w:val="decimal"/>
      <w:lvlText w:val="(%1)"/>
      <w:lvlJc w:val="left"/>
      <w:pPr>
        <w:ind w:left="3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C2076D6">
      <w:start w:val="1"/>
      <w:numFmt w:val="lowerLetter"/>
      <w:lvlText w:val="%2"/>
      <w:lvlJc w:val="left"/>
      <w:pPr>
        <w:ind w:left="10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6CAC5E76">
      <w:start w:val="1"/>
      <w:numFmt w:val="lowerRoman"/>
      <w:lvlText w:val="%3"/>
      <w:lvlJc w:val="left"/>
      <w:pPr>
        <w:ind w:left="18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8A04DDC">
      <w:start w:val="1"/>
      <w:numFmt w:val="decimal"/>
      <w:lvlText w:val="%4"/>
      <w:lvlJc w:val="left"/>
      <w:pPr>
        <w:ind w:left="25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6BEC3EE">
      <w:start w:val="1"/>
      <w:numFmt w:val="lowerLetter"/>
      <w:lvlText w:val="%5"/>
      <w:lvlJc w:val="left"/>
      <w:pPr>
        <w:ind w:left="32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6A06E7C">
      <w:start w:val="1"/>
      <w:numFmt w:val="lowerRoman"/>
      <w:lvlText w:val="%6"/>
      <w:lvlJc w:val="left"/>
      <w:pPr>
        <w:ind w:left="39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B4C61B0">
      <w:start w:val="1"/>
      <w:numFmt w:val="decimal"/>
      <w:lvlText w:val="%7"/>
      <w:lvlJc w:val="left"/>
      <w:pPr>
        <w:ind w:left="46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A64D7C6">
      <w:start w:val="1"/>
      <w:numFmt w:val="lowerLetter"/>
      <w:lvlText w:val="%8"/>
      <w:lvlJc w:val="left"/>
      <w:pPr>
        <w:ind w:left="5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10CDA6">
      <w:start w:val="1"/>
      <w:numFmt w:val="lowerRoman"/>
      <w:lvlText w:val="%9"/>
      <w:lvlJc w:val="left"/>
      <w:pPr>
        <w:ind w:left="61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nsid w:val="1811710F"/>
    <w:multiLevelType w:val="hybridMultilevel"/>
    <w:tmpl w:val="277402D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F31655"/>
    <w:multiLevelType w:val="hybridMultilevel"/>
    <w:tmpl w:val="BB820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827633"/>
    <w:multiLevelType w:val="hybridMultilevel"/>
    <w:tmpl w:val="CA68A9A6"/>
    <w:lvl w:ilvl="0" w:tplc="E33C2286">
      <w:start w:val="14"/>
      <w:numFmt w:val="decimal"/>
      <w:lvlText w:val="%1."/>
      <w:lvlJc w:val="left"/>
      <w:pPr>
        <w:ind w:left="78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06EB09A">
      <w:start w:val="1"/>
      <w:numFmt w:val="lowerLetter"/>
      <w:lvlText w:val="%2"/>
      <w:lvlJc w:val="left"/>
      <w:pPr>
        <w:ind w:left="14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2D82CC8">
      <w:start w:val="1"/>
      <w:numFmt w:val="lowerRoman"/>
      <w:lvlText w:val="%3"/>
      <w:lvlJc w:val="left"/>
      <w:pPr>
        <w:ind w:left="22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E2CC20A">
      <w:start w:val="1"/>
      <w:numFmt w:val="decimal"/>
      <w:lvlText w:val="%4"/>
      <w:lvlJc w:val="left"/>
      <w:pPr>
        <w:ind w:left="29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99606BE0">
      <w:start w:val="1"/>
      <w:numFmt w:val="lowerLetter"/>
      <w:lvlText w:val="%5"/>
      <w:lvlJc w:val="left"/>
      <w:pPr>
        <w:ind w:left="365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0B1A609C">
      <w:start w:val="1"/>
      <w:numFmt w:val="lowerRoman"/>
      <w:lvlText w:val="%6"/>
      <w:lvlJc w:val="left"/>
      <w:pPr>
        <w:ind w:left="437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F400F6">
      <w:start w:val="1"/>
      <w:numFmt w:val="decimal"/>
      <w:lvlText w:val="%7"/>
      <w:lvlJc w:val="left"/>
      <w:pPr>
        <w:ind w:left="509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62F328">
      <w:start w:val="1"/>
      <w:numFmt w:val="lowerLetter"/>
      <w:lvlText w:val="%8"/>
      <w:lvlJc w:val="left"/>
      <w:pPr>
        <w:ind w:left="581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F7E319C">
      <w:start w:val="1"/>
      <w:numFmt w:val="lowerRoman"/>
      <w:lvlText w:val="%9"/>
      <w:lvlJc w:val="left"/>
      <w:pPr>
        <w:ind w:left="6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6">
    <w:nsid w:val="2BAD5639"/>
    <w:multiLevelType w:val="hybridMultilevel"/>
    <w:tmpl w:val="7BF4D228"/>
    <w:lvl w:ilvl="0" w:tplc="0409000B">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nsid w:val="3B380150"/>
    <w:multiLevelType w:val="hybridMultilevel"/>
    <w:tmpl w:val="167E1F36"/>
    <w:lvl w:ilvl="0" w:tplc="E05E2348">
      <w:start w:val="1"/>
      <w:numFmt w:val="lowerLetter"/>
      <w:lvlText w:val="%1)"/>
      <w:lvlJc w:val="left"/>
      <w:pPr>
        <w:ind w:left="1118"/>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E550CDA6">
      <w:start w:val="1"/>
      <w:numFmt w:val="lowerLetter"/>
      <w:lvlText w:val="%2"/>
      <w:lvlJc w:val="left"/>
      <w:pPr>
        <w:ind w:left="18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EF1A5D80">
      <w:start w:val="1"/>
      <w:numFmt w:val="lowerRoman"/>
      <w:lvlText w:val="%3"/>
      <w:lvlJc w:val="left"/>
      <w:pPr>
        <w:ind w:left="25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2AA47D6">
      <w:start w:val="1"/>
      <w:numFmt w:val="decimal"/>
      <w:lvlText w:val="%4"/>
      <w:lvlJc w:val="left"/>
      <w:pPr>
        <w:ind w:left="32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4EAEBEB6">
      <w:start w:val="1"/>
      <w:numFmt w:val="lowerLetter"/>
      <w:lvlText w:val="%5"/>
      <w:lvlJc w:val="left"/>
      <w:pPr>
        <w:ind w:left="396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E2C065B8">
      <w:start w:val="1"/>
      <w:numFmt w:val="lowerRoman"/>
      <w:lvlText w:val="%6"/>
      <w:lvlJc w:val="left"/>
      <w:pPr>
        <w:ind w:left="468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C05E704A">
      <w:start w:val="1"/>
      <w:numFmt w:val="decimal"/>
      <w:lvlText w:val="%7"/>
      <w:lvlJc w:val="left"/>
      <w:pPr>
        <w:ind w:left="540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5C28D864">
      <w:start w:val="1"/>
      <w:numFmt w:val="lowerLetter"/>
      <w:lvlText w:val="%8"/>
      <w:lvlJc w:val="left"/>
      <w:pPr>
        <w:ind w:left="612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9B67972">
      <w:start w:val="1"/>
      <w:numFmt w:val="lowerRoman"/>
      <w:lvlText w:val="%9"/>
      <w:lvlJc w:val="left"/>
      <w:pPr>
        <w:ind w:left="684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8">
    <w:nsid w:val="40653458"/>
    <w:multiLevelType w:val="hybridMultilevel"/>
    <w:tmpl w:val="871A97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9134E7"/>
    <w:multiLevelType w:val="hybridMultilevel"/>
    <w:tmpl w:val="88BCFD54"/>
    <w:lvl w:ilvl="0" w:tplc="4B789564">
      <w:start w:val="2"/>
      <w:numFmt w:val="decimal"/>
      <w:lvlText w:val="(%1)"/>
      <w:lvlJc w:val="left"/>
      <w:pPr>
        <w:ind w:left="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790D304">
      <w:start w:val="1"/>
      <w:numFmt w:val="lowerLetter"/>
      <w:lvlText w:val="%2"/>
      <w:lvlJc w:val="left"/>
      <w:pPr>
        <w:ind w:left="10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14575E">
      <w:start w:val="1"/>
      <w:numFmt w:val="lowerRoman"/>
      <w:lvlText w:val="%3"/>
      <w:lvlJc w:val="left"/>
      <w:pPr>
        <w:ind w:left="18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48A6784C">
      <w:start w:val="1"/>
      <w:numFmt w:val="decimal"/>
      <w:lvlText w:val="%4"/>
      <w:lvlJc w:val="left"/>
      <w:pPr>
        <w:ind w:left="25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26297E">
      <w:start w:val="1"/>
      <w:numFmt w:val="lowerLetter"/>
      <w:lvlText w:val="%5"/>
      <w:lvlJc w:val="left"/>
      <w:pPr>
        <w:ind w:left="325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ABE2D14">
      <w:start w:val="1"/>
      <w:numFmt w:val="lowerRoman"/>
      <w:lvlText w:val="%6"/>
      <w:lvlJc w:val="left"/>
      <w:pPr>
        <w:ind w:left="39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6E81D7E">
      <w:start w:val="1"/>
      <w:numFmt w:val="decimal"/>
      <w:lvlText w:val="%7"/>
      <w:lvlJc w:val="left"/>
      <w:pPr>
        <w:ind w:left="469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1E4E946">
      <w:start w:val="1"/>
      <w:numFmt w:val="lowerLetter"/>
      <w:lvlText w:val="%8"/>
      <w:lvlJc w:val="left"/>
      <w:pPr>
        <w:ind w:left="541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34FB42">
      <w:start w:val="1"/>
      <w:numFmt w:val="lowerRoman"/>
      <w:lvlText w:val="%9"/>
      <w:lvlJc w:val="left"/>
      <w:pPr>
        <w:ind w:left="6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nsid w:val="4EE73322"/>
    <w:multiLevelType w:val="hybridMultilevel"/>
    <w:tmpl w:val="94FE5704"/>
    <w:lvl w:ilvl="0" w:tplc="CD5CEBAC">
      <w:start w:val="1"/>
      <w:numFmt w:val="lowerLetter"/>
      <w:lvlText w:val="%1)"/>
      <w:lvlJc w:val="left"/>
      <w:pPr>
        <w:ind w:left="1137"/>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71264AE">
      <w:start w:val="1"/>
      <w:numFmt w:val="lowerLetter"/>
      <w:lvlText w:val="%2"/>
      <w:lvlJc w:val="left"/>
      <w:pPr>
        <w:ind w:left="18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4BE325C">
      <w:start w:val="1"/>
      <w:numFmt w:val="lowerRoman"/>
      <w:lvlText w:val="%3"/>
      <w:lvlJc w:val="left"/>
      <w:pPr>
        <w:ind w:left="25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68481F58">
      <w:start w:val="1"/>
      <w:numFmt w:val="decimal"/>
      <w:lvlText w:val="%4"/>
      <w:lvlJc w:val="left"/>
      <w:pPr>
        <w:ind w:left="32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50CACA0">
      <w:start w:val="1"/>
      <w:numFmt w:val="lowerLetter"/>
      <w:lvlText w:val="%5"/>
      <w:lvlJc w:val="left"/>
      <w:pPr>
        <w:ind w:left="398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F63298B8">
      <w:start w:val="1"/>
      <w:numFmt w:val="lowerRoman"/>
      <w:lvlText w:val="%6"/>
      <w:lvlJc w:val="left"/>
      <w:pPr>
        <w:ind w:left="470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600AC358">
      <w:start w:val="1"/>
      <w:numFmt w:val="decimal"/>
      <w:lvlText w:val="%7"/>
      <w:lvlJc w:val="left"/>
      <w:pPr>
        <w:ind w:left="542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7848C214">
      <w:start w:val="1"/>
      <w:numFmt w:val="lowerLetter"/>
      <w:lvlText w:val="%8"/>
      <w:lvlJc w:val="left"/>
      <w:pPr>
        <w:ind w:left="614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0406CFFC">
      <w:start w:val="1"/>
      <w:numFmt w:val="lowerRoman"/>
      <w:lvlText w:val="%9"/>
      <w:lvlJc w:val="left"/>
      <w:pPr>
        <w:ind w:left="686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1">
    <w:nsid w:val="513D4890"/>
    <w:multiLevelType w:val="hybridMultilevel"/>
    <w:tmpl w:val="F0129E6A"/>
    <w:lvl w:ilvl="0" w:tplc="0409000B">
      <w:start w:val="1"/>
      <w:numFmt w:val="bullet"/>
      <w:lvlText w:val=""/>
      <w:lvlJc w:val="left"/>
      <w:pPr>
        <w:ind w:left="734" w:hanging="360"/>
      </w:pPr>
      <w:rPr>
        <w:rFonts w:ascii="Wingdings" w:hAnsi="Wingdings" w:hint="default"/>
      </w:rPr>
    </w:lvl>
    <w:lvl w:ilvl="1" w:tplc="04090003" w:tentative="1">
      <w:start w:val="1"/>
      <w:numFmt w:val="bullet"/>
      <w:lvlText w:val="o"/>
      <w:lvlJc w:val="left"/>
      <w:pPr>
        <w:ind w:left="1454" w:hanging="360"/>
      </w:pPr>
      <w:rPr>
        <w:rFonts w:ascii="Courier New" w:hAnsi="Courier New" w:cs="Courier New" w:hint="default"/>
      </w:rPr>
    </w:lvl>
    <w:lvl w:ilvl="2" w:tplc="04090005" w:tentative="1">
      <w:start w:val="1"/>
      <w:numFmt w:val="bullet"/>
      <w:lvlText w:val=""/>
      <w:lvlJc w:val="left"/>
      <w:pPr>
        <w:ind w:left="2174" w:hanging="360"/>
      </w:pPr>
      <w:rPr>
        <w:rFonts w:ascii="Wingdings" w:hAnsi="Wingdings" w:hint="default"/>
      </w:rPr>
    </w:lvl>
    <w:lvl w:ilvl="3" w:tplc="04090001" w:tentative="1">
      <w:start w:val="1"/>
      <w:numFmt w:val="bullet"/>
      <w:lvlText w:val=""/>
      <w:lvlJc w:val="left"/>
      <w:pPr>
        <w:ind w:left="2894" w:hanging="360"/>
      </w:pPr>
      <w:rPr>
        <w:rFonts w:ascii="Symbol" w:hAnsi="Symbol" w:hint="default"/>
      </w:rPr>
    </w:lvl>
    <w:lvl w:ilvl="4" w:tplc="04090003" w:tentative="1">
      <w:start w:val="1"/>
      <w:numFmt w:val="bullet"/>
      <w:lvlText w:val="o"/>
      <w:lvlJc w:val="left"/>
      <w:pPr>
        <w:ind w:left="3614" w:hanging="360"/>
      </w:pPr>
      <w:rPr>
        <w:rFonts w:ascii="Courier New" w:hAnsi="Courier New" w:cs="Courier New" w:hint="default"/>
      </w:rPr>
    </w:lvl>
    <w:lvl w:ilvl="5" w:tplc="04090005" w:tentative="1">
      <w:start w:val="1"/>
      <w:numFmt w:val="bullet"/>
      <w:lvlText w:val=""/>
      <w:lvlJc w:val="left"/>
      <w:pPr>
        <w:ind w:left="4334" w:hanging="360"/>
      </w:pPr>
      <w:rPr>
        <w:rFonts w:ascii="Wingdings" w:hAnsi="Wingdings" w:hint="default"/>
      </w:rPr>
    </w:lvl>
    <w:lvl w:ilvl="6" w:tplc="04090001" w:tentative="1">
      <w:start w:val="1"/>
      <w:numFmt w:val="bullet"/>
      <w:lvlText w:val=""/>
      <w:lvlJc w:val="left"/>
      <w:pPr>
        <w:ind w:left="5054" w:hanging="360"/>
      </w:pPr>
      <w:rPr>
        <w:rFonts w:ascii="Symbol" w:hAnsi="Symbol" w:hint="default"/>
      </w:rPr>
    </w:lvl>
    <w:lvl w:ilvl="7" w:tplc="04090003" w:tentative="1">
      <w:start w:val="1"/>
      <w:numFmt w:val="bullet"/>
      <w:lvlText w:val="o"/>
      <w:lvlJc w:val="left"/>
      <w:pPr>
        <w:ind w:left="5774" w:hanging="360"/>
      </w:pPr>
      <w:rPr>
        <w:rFonts w:ascii="Courier New" w:hAnsi="Courier New" w:cs="Courier New" w:hint="default"/>
      </w:rPr>
    </w:lvl>
    <w:lvl w:ilvl="8" w:tplc="04090005" w:tentative="1">
      <w:start w:val="1"/>
      <w:numFmt w:val="bullet"/>
      <w:lvlText w:val=""/>
      <w:lvlJc w:val="left"/>
      <w:pPr>
        <w:ind w:left="6494" w:hanging="360"/>
      </w:pPr>
      <w:rPr>
        <w:rFonts w:ascii="Wingdings" w:hAnsi="Wingdings" w:hint="default"/>
      </w:rPr>
    </w:lvl>
  </w:abstractNum>
  <w:abstractNum w:abstractNumId="12">
    <w:nsid w:val="58C54C10"/>
    <w:multiLevelType w:val="hybridMultilevel"/>
    <w:tmpl w:val="693221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AC93FB4"/>
    <w:multiLevelType w:val="hybridMultilevel"/>
    <w:tmpl w:val="5E9CDCEE"/>
    <w:lvl w:ilvl="0" w:tplc="92C2AA00">
      <w:start w:val="6"/>
      <w:numFmt w:val="lowerLetter"/>
      <w:lvlText w:val="%1)"/>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13"/>
  </w:num>
  <w:num w:numId="4">
    <w:abstractNumId w:val="0"/>
  </w:num>
  <w:num w:numId="5">
    <w:abstractNumId w:val="7"/>
  </w:num>
  <w:num w:numId="6">
    <w:abstractNumId w:val="8"/>
  </w:num>
  <w:num w:numId="7">
    <w:abstractNumId w:val="9"/>
  </w:num>
  <w:num w:numId="8">
    <w:abstractNumId w:val="2"/>
  </w:num>
  <w:num w:numId="9">
    <w:abstractNumId w:val="4"/>
  </w:num>
  <w:num w:numId="10">
    <w:abstractNumId w:val="12"/>
  </w:num>
  <w:num w:numId="11">
    <w:abstractNumId w:val="6"/>
  </w:num>
  <w:num w:numId="12">
    <w:abstractNumId w:val="11"/>
  </w:num>
  <w:num w:numId="13">
    <w:abstractNumId w:val="5"/>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CC3"/>
    <w:rsid w:val="00032B89"/>
    <w:rsid w:val="000574FD"/>
    <w:rsid w:val="000A16F3"/>
    <w:rsid w:val="000B050E"/>
    <w:rsid w:val="000C269E"/>
    <w:rsid w:val="000F7DFD"/>
    <w:rsid w:val="001169C2"/>
    <w:rsid w:val="00131427"/>
    <w:rsid w:val="0016677F"/>
    <w:rsid w:val="001E3F1F"/>
    <w:rsid w:val="001E4B4C"/>
    <w:rsid w:val="00213174"/>
    <w:rsid w:val="0023447F"/>
    <w:rsid w:val="002425FD"/>
    <w:rsid w:val="002636C8"/>
    <w:rsid w:val="002948F7"/>
    <w:rsid w:val="00296067"/>
    <w:rsid w:val="002965AB"/>
    <w:rsid w:val="002B77A3"/>
    <w:rsid w:val="002C2EAA"/>
    <w:rsid w:val="002C691C"/>
    <w:rsid w:val="003140E5"/>
    <w:rsid w:val="00377004"/>
    <w:rsid w:val="0038305A"/>
    <w:rsid w:val="003836E1"/>
    <w:rsid w:val="003906FC"/>
    <w:rsid w:val="00391917"/>
    <w:rsid w:val="00391CC3"/>
    <w:rsid w:val="003A5B1B"/>
    <w:rsid w:val="003E4F7D"/>
    <w:rsid w:val="00427C99"/>
    <w:rsid w:val="004B6B2F"/>
    <w:rsid w:val="004C150E"/>
    <w:rsid w:val="004E5C02"/>
    <w:rsid w:val="004E5F83"/>
    <w:rsid w:val="004E7E7A"/>
    <w:rsid w:val="005065A3"/>
    <w:rsid w:val="005C1D89"/>
    <w:rsid w:val="005E6962"/>
    <w:rsid w:val="00630D11"/>
    <w:rsid w:val="0066138E"/>
    <w:rsid w:val="006841D0"/>
    <w:rsid w:val="00717634"/>
    <w:rsid w:val="007311DA"/>
    <w:rsid w:val="00732396"/>
    <w:rsid w:val="007A7514"/>
    <w:rsid w:val="007E56F5"/>
    <w:rsid w:val="0083439D"/>
    <w:rsid w:val="008771D4"/>
    <w:rsid w:val="008A2965"/>
    <w:rsid w:val="008A2995"/>
    <w:rsid w:val="008A6652"/>
    <w:rsid w:val="008F3384"/>
    <w:rsid w:val="00911755"/>
    <w:rsid w:val="00926090"/>
    <w:rsid w:val="00947B7A"/>
    <w:rsid w:val="009712D9"/>
    <w:rsid w:val="00977AA3"/>
    <w:rsid w:val="00991058"/>
    <w:rsid w:val="009A0FBF"/>
    <w:rsid w:val="009B012B"/>
    <w:rsid w:val="009F4B65"/>
    <w:rsid w:val="00A007E2"/>
    <w:rsid w:val="00A05B51"/>
    <w:rsid w:val="00A40361"/>
    <w:rsid w:val="00A51392"/>
    <w:rsid w:val="00A52002"/>
    <w:rsid w:val="00A54740"/>
    <w:rsid w:val="00AA4EDE"/>
    <w:rsid w:val="00B022DE"/>
    <w:rsid w:val="00B766D5"/>
    <w:rsid w:val="00BA4EC3"/>
    <w:rsid w:val="00BB1EAF"/>
    <w:rsid w:val="00BD768B"/>
    <w:rsid w:val="00BE4D77"/>
    <w:rsid w:val="00C503D0"/>
    <w:rsid w:val="00C66BE8"/>
    <w:rsid w:val="00CD1D61"/>
    <w:rsid w:val="00D2271E"/>
    <w:rsid w:val="00D26BD2"/>
    <w:rsid w:val="00D3725B"/>
    <w:rsid w:val="00D41A9D"/>
    <w:rsid w:val="00D63460"/>
    <w:rsid w:val="00DF2C9E"/>
    <w:rsid w:val="00DF4838"/>
    <w:rsid w:val="00DF5DBB"/>
    <w:rsid w:val="00E0327E"/>
    <w:rsid w:val="00E1453C"/>
    <w:rsid w:val="00E65194"/>
    <w:rsid w:val="00EA21C6"/>
    <w:rsid w:val="00EA313E"/>
    <w:rsid w:val="00EC3B23"/>
    <w:rsid w:val="00F240B9"/>
    <w:rsid w:val="00F269FE"/>
    <w:rsid w:val="00F3798F"/>
    <w:rsid w:val="00F45903"/>
    <w:rsid w:val="00F65691"/>
    <w:rsid w:val="00F93FAA"/>
    <w:rsid w:val="00FA6E75"/>
    <w:rsid w:val="00FF27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9F1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CC3"/>
  </w:style>
  <w:style w:type="paragraph" w:styleId="Heading1">
    <w:name w:val="heading 1"/>
    <w:basedOn w:val="Normal"/>
    <w:next w:val="Normal"/>
    <w:link w:val="Heading1Char"/>
    <w:uiPriority w:val="9"/>
    <w:qFormat/>
    <w:rsid w:val="003140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9F4B65"/>
    <w:pPr>
      <w:keepNext/>
      <w:keepLines/>
      <w:spacing w:after="229"/>
      <w:ind w:left="10" w:right="115" w:hanging="10"/>
      <w:outlineLvl w:val="1"/>
    </w:pPr>
    <w:rPr>
      <w:rFonts w:ascii="Times New Roman" w:eastAsia="Times New Roman" w:hAnsi="Times New Roman" w:cs="Times New Roman"/>
      <w:color w:val="000000"/>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A54740"/>
  </w:style>
  <w:style w:type="paragraph" w:styleId="NoSpacing">
    <w:name w:val="No Spacing"/>
    <w:uiPriority w:val="1"/>
    <w:qFormat/>
    <w:rsid w:val="004C150E"/>
    <w:pPr>
      <w:spacing w:after="0" w:line="240" w:lineRule="auto"/>
    </w:pPr>
  </w:style>
  <w:style w:type="paragraph" w:styleId="FootnoteText">
    <w:name w:val="footnote text"/>
    <w:basedOn w:val="Normal"/>
    <w:link w:val="FootnoteTextChar"/>
    <w:uiPriority w:val="99"/>
    <w:semiHidden/>
    <w:unhideWhenUsed/>
    <w:rsid w:val="00BD76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768B"/>
    <w:rPr>
      <w:sz w:val="20"/>
      <w:szCs w:val="20"/>
    </w:rPr>
  </w:style>
  <w:style w:type="character" w:styleId="FootnoteReference">
    <w:name w:val="footnote reference"/>
    <w:basedOn w:val="DefaultParagraphFont"/>
    <w:uiPriority w:val="99"/>
    <w:semiHidden/>
    <w:unhideWhenUsed/>
    <w:rsid w:val="00BD768B"/>
    <w:rPr>
      <w:vertAlign w:val="superscript"/>
    </w:rPr>
  </w:style>
  <w:style w:type="paragraph" w:styleId="ListParagraph">
    <w:name w:val="List Paragraph"/>
    <w:basedOn w:val="Normal"/>
    <w:uiPriority w:val="34"/>
    <w:qFormat/>
    <w:rsid w:val="00A52002"/>
    <w:pPr>
      <w:ind w:left="720"/>
      <w:contextualSpacing/>
    </w:pPr>
  </w:style>
  <w:style w:type="character" w:customStyle="1" w:styleId="Bodytext2Italic">
    <w:name w:val="Body text (2) + Italic"/>
    <w:basedOn w:val="DefaultParagraphFont"/>
    <w:rsid w:val="00F45903"/>
    <w:rPr>
      <w:rFonts w:ascii="Times New Roman" w:eastAsia="Times New Roman" w:hAnsi="Times New Roman" w:cs="Times New Roman"/>
      <w:b w:val="0"/>
      <w:bCs w:val="0"/>
      <w:i/>
      <w:iCs/>
      <w:smallCaps w:val="0"/>
      <w:strike w:val="0"/>
      <w:color w:val="000000"/>
      <w:spacing w:val="0"/>
      <w:w w:val="100"/>
      <w:position w:val="0"/>
      <w:sz w:val="22"/>
      <w:szCs w:val="22"/>
      <w:u w:val="none"/>
      <w:lang w:val="sq-AL" w:eastAsia="sq-AL" w:bidi="sq-AL"/>
    </w:rPr>
  </w:style>
  <w:style w:type="character" w:customStyle="1" w:styleId="Bodytext2">
    <w:name w:val="Body text (2)_"/>
    <w:basedOn w:val="DefaultParagraphFont"/>
    <w:link w:val="Bodytext20"/>
    <w:rsid w:val="00F45903"/>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45903"/>
    <w:pPr>
      <w:widowControl w:val="0"/>
      <w:shd w:val="clear" w:color="auto" w:fill="FFFFFF"/>
      <w:spacing w:before="360" w:after="240" w:line="298" w:lineRule="exact"/>
      <w:ind w:hanging="420"/>
      <w:jc w:val="both"/>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9F4B65"/>
    <w:rPr>
      <w:rFonts w:ascii="Times New Roman" w:eastAsia="Times New Roman" w:hAnsi="Times New Roman" w:cs="Times New Roman"/>
      <w:color w:val="000000"/>
      <w:sz w:val="26"/>
      <w:lang w:val="en-US"/>
    </w:rPr>
  </w:style>
  <w:style w:type="character" w:customStyle="1" w:styleId="Heading1Char">
    <w:name w:val="Heading 1 Char"/>
    <w:basedOn w:val="DefaultParagraphFont"/>
    <w:link w:val="Heading1"/>
    <w:uiPriority w:val="9"/>
    <w:rsid w:val="003140E5"/>
    <w:rPr>
      <w:rFonts w:asciiTheme="majorHAnsi" w:eastAsiaTheme="majorEastAsia" w:hAnsiTheme="majorHAnsi" w:cstheme="majorBidi"/>
      <w:color w:val="2E74B5" w:themeColor="accent1" w:themeShade="BF"/>
      <w:sz w:val="32"/>
      <w:szCs w:val="32"/>
    </w:rPr>
  </w:style>
  <w:style w:type="paragraph" w:customStyle="1" w:styleId="footnotedescription">
    <w:name w:val="footnote description"/>
    <w:next w:val="Normal"/>
    <w:link w:val="footnotedescriptionChar"/>
    <w:hidden/>
    <w:rsid w:val="00CD1D61"/>
    <w:pPr>
      <w:spacing w:after="0" w:line="247" w:lineRule="auto"/>
      <w:ind w:left="31" w:firstLine="7"/>
    </w:pPr>
    <w:rPr>
      <w:rFonts w:ascii="Times New Roman" w:eastAsia="Times New Roman" w:hAnsi="Times New Roman" w:cs="Times New Roman"/>
      <w:color w:val="000000"/>
      <w:sz w:val="18"/>
      <w:lang w:val="en-US"/>
    </w:rPr>
  </w:style>
  <w:style w:type="character" w:customStyle="1" w:styleId="footnotedescriptionChar">
    <w:name w:val="footnote description Char"/>
    <w:link w:val="footnotedescription"/>
    <w:rsid w:val="00CD1D61"/>
    <w:rPr>
      <w:rFonts w:ascii="Times New Roman" w:eastAsia="Times New Roman" w:hAnsi="Times New Roman" w:cs="Times New Roman"/>
      <w:color w:val="000000"/>
      <w:sz w:val="18"/>
      <w:lang w:val="en-US"/>
    </w:rPr>
  </w:style>
  <w:style w:type="character" w:customStyle="1" w:styleId="footnotemark">
    <w:name w:val="footnote mark"/>
    <w:hidden/>
    <w:rsid w:val="00CD1D61"/>
    <w:rPr>
      <w:rFonts w:ascii="Times New Roman" w:eastAsia="Times New Roman" w:hAnsi="Times New Roman" w:cs="Times New Roman"/>
      <w:color w:val="000000"/>
      <w:sz w:val="18"/>
      <w:vertAlign w:val="superscript"/>
    </w:rPr>
  </w:style>
  <w:style w:type="paragraph" w:styleId="Header">
    <w:name w:val="header"/>
    <w:basedOn w:val="Normal"/>
    <w:link w:val="HeaderChar"/>
    <w:uiPriority w:val="99"/>
    <w:unhideWhenUsed/>
    <w:rsid w:val="00E65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194"/>
  </w:style>
  <w:style w:type="paragraph" w:styleId="Footer">
    <w:name w:val="footer"/>
    <w:basedOn w:val="Normal"/>
    <w:link w:val="FooterChar"/>
    <w:uiPriority w:val="99"/>
    <w:unhideWhenUsed/>
    <w:rsid w:val="00E65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194"/>
  </w:style>
  <w:style w:type="paragraph" w:styleId="BalloonText">
    <w:name w:val="Balloon Text"/>
    <w:basedOn w:val="Normal"/>
    <w:link w:val="BalloonTextChar"/>
    <w:uiPriority w:val="99"/>
    <w:semiHidden/>
    <w:unhideWhenUsed/>
    <w:rsid w:val="00A51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392"/>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CC3"/>
  </w:style>
  <w:style w:type="paragraph" w:styleId="Heading1">
    <w:name w:val="heading 1"/>
    <w:basedOn w:val="Normal"/>
    <w:next w:val="Normal"/>
    <w:link w:val="Heading1Char"/>
    <w:uiPriority w:val="9"/>
    <w:qFormat/>
    <w:rsid w:val="003140E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next w:val="Normal"/>
    <w:link w:val="Heading2Char"/>
    <w:uiPriority w:val="9"/>
    <w:unhideWhenUsed/>
    <w:qFormat/>
    <w:rsid w:val="009F4B65"/>
    <w:pPr>
      <w:keepNext/>
      <w:keepLines/>
      <w:spacing w:after="229"/>
      <w:ind w:left="10" w:right="115" w:hanging="10"/>
      <w:outlineLvl w:val="1"/>
    </w:pPr>
    <w:rPr>
      <w:rFonts w:ascii="Times New Roman" w:eastAsia="Times New Roman" w:hAnsi="Times New Roman" w:cs="Times New Roman"/>
      <w:color w:val="000000"/>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y2iqfc">
    <w:name w:val="y2iqfc"/>
    <w:basedOn w:val="DefaultParagraphFont"/>
    <w:rsid w:val="00A54740"/>
  </w:style>
  <w:style w:type="paragraph" w:styleId="NoSpacing">
    <w:name w:val="No Spacing"/>
    <w:uiPriority w:val="1"/>
    <w:qFormat/>
    <w:rsid w:val="004C150E"/>
    <w:pPr>
      <w:spacing w:after="0" w:line="240" w:lineRule="auto"/>
    </w:pPr>
  </w:style>
  <w:style w:type="paragraph" w:styleId="FootnoteText">
    <w:name w:val="footnote text"/>
    <w:basedOn w:val="Normal"/>
    <w:link w:val="FootnoteTextChar"/>
    <w:uiPriority w:val="99"/>
    <w:semiHidden/>
    <w:unhideWhenUsed/>
    <w:rsid w:val="00BD76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D768B"/>
    <w:rPr>
      <w:sz w:val="20"/>
      <w:szCs w:val="20"/>
    </w:rPr>
  </w:style>
  <w:style w:type="character" w:styleId="FootnoteReference">
    <w:name w:val="footnote reference"/>
    <w:basedOn w:val="DefaultParagraphFont"/>
    <w:uiPriority w:val="99"/>
    <w:semiHidden/>
    <w:unhideWhenUsed/>
    <w:rsid w:val="00BD768B"/>
    <w:rPr>
      <w:vertAlign w:val="superscript"/>
    </w:rPr>
  </w:style>
  <w:style w:type="paragraph" w:styleId="ListParagraph">
    <w:name w:val="List Paragraph"/>
    <w:basedOn w:val="Normal"/>
    <w:uiPriority w:val="34"/>
    <w:qFormat/>
    <w:rsid w:val="00A52002"/>
    <w:pPr>
      <w:ind w:left="720"/>
      <w:contextualSpacing/>
    </w:pPr>
  </w:style>
  <w:style w:type="character" w:customStyle="1" w:styleId="Bodytext2Italic">
    <w:name w:val="Body text (2) + Italic"/>
    <w:basedOn w:val="DefaultParagraphFont"/>
    <w:rsid w:val="00F45903"/>
    <w:rPr>
      <w:rFonts w:ascii="Times New Roman" w:eastAsia="Times New Roman" w:hAnsi="Times New Roman" w:cs="Times New Roman"/>
      <w:b w:val="0"/>
      <w:bCs w:val="0"/>
      <w:i/>
      <w:iCs/>
      <w:smallCaps w:val="0"/>
      <w:strike w:val="0"/>
      <w:color w:val="000000"/>
      <w:spacing w:val="0"/>
      <w:w w:val="100"/>
      <w:position w:val="0"/>
      <w:sz w:val="22"/>
      <w:szCs w:val="22"/>
      <w:u w:val="none"/>
      <w:lang w:val="sq-AL" w:eastAsia="sq-AL" w:bidi="sq-AL"/>
    </w:rPr>
  </w:style>
  <w:style w:type="character" w:customStyle="1" w:styleId="Bodytext2">
    <w:name w:val="Body text (2)_"/>
    <w:basedOn w:val="DefaultParagraphFont"/>
    <w:link w:val="Bodytext20"/>
    <w:rsid w:val="00F45903"/>
    <w:rPr>
      <w:rFonts w:ascii="Times New Roman" w:eastAsia="Times New Roman" w:hAnsi="Times New Roman" w:cs="Times New Roman"/>
      <w:shd w:val="clear" w:color="auto" w:fill="FFFFFF"/>
    </w:rPr>
  </w:style>
  <w:style w:type="paragraph" w:customStyle="1" w:styleId="Bodytext20">
    <w:name w:val="Body text (2)"/>
    <w:basedOn w:val="Normal"/>
    <w:link w:val="Bodytext2"/>
    <w:rsid w:val="00F45903"/>
    <w:pPr>
      <w:widowControl w:val="0"/>
      <w:shd w:val="clear" w:color="auto" w:fill="FFFFFF"/>
      <w:spacing w:before="360" w:after="240" w:line="298" w:lineRule="exact"/>
      <w:ind w:hanging="420"/>
      <w:jc w:val="both"/>
    </w:pPr>
    <w:rPr>
      <w:rFonts w:ascii="Times New Roman" w:eastAsia="Times New Roman" w:hAnsi="Times New Roman" w:cs="Times New Roman"/>
    </w:rPr>
  </w:style>
  <w:style w:type="character" w:customStyle="1" w:styleId="Heading2Char">
    <w:name w:val="Heading 2 Char"/>
    <w:basedOn w:val="DefaultParagraphFont"/>
    <w:link w:val="Heading2"/>
    <w:uiPriority w:val="9"/>
    <w:rsid w:val="009F4B65"/>
    <w:rPr>
      <w:rFonts w:ascii="Times New Roman" w:eastAsia="Times New Roman" w:hAnsi="Times New Roman" w:cs="Times New Roman"/>
      <w:color w:val="000000"/>
      <w:sz w:val="26"/>
      <w:lang w:val="en-US"/>
    </w:rPr>
  </w:style>
  <w:style w:type="character" w:customStyle="1" w:styleId="Heading1Char">
    <w:name w:val="Heading 1 Char"/>
    <w:basedOn w:val="DefaultParagraphFont"/>
    <w:link w:val="Heading1"/>
    <w:uiPriority w:val="9"/>
    <w:rsid w:val="003140E5"/>
    <w:rPr>
      <w:rFonts w:asciiTheme="majorHAnsi" w:eastAsiaTheme="majorEastAsia" w:hAnsiTheme="majorHAnsi" w:cstheme="majorBidi"/>
      <w:color w:val="2E74B5" w:themeColor="accent1" w:themeShade="BF"/>
      <w:sz w:val="32"/>
      <w:szCs w:val="32"/>
    </w:rPr>
  </w:style>
  <w:style w:type="paragraph" w:customStyle="1" w:styleId="footnotedescription">
    <w:name w:val="footnote description"/>
    <w:next w:val="Normal"/>
    <w:link w:val="footnotedescriptionChar"/>
    <w:hidden/>
    <w:rsid w:val="00CD1D61"/>
    <w:pPr>
      <w:spacing w:after="0" w:line="247" w:lineRule="auto"/>
      <w:ind w:left="31" w:firstLine="7"/>
    </w:pPr>
    <w:rPr>
      <w:rFonts w:ascii="Times New Roman" w:eastAsia="Times New Roman" w:hAnsi="Times New Roman" w:cs="Times New Roman"/>
      <w:color w:val="000000"/>
      <w:sz w:val="18"/>
      <w:lang w:val="en-US"/>
    </w:rPr>
  </w:style>
  <w:style w:type="character" w:customStyle="1" w:styleId="footnotedescriptionChar">
    <w:name w:val="footnote description Char"/>
    <w:link w:val="footnotedescription"/>
    <w:rsid w:val="00CD1D61"/>
    <w:rPr>
      <w:rFonts w:ascii="Times New Roman" w:eastAsia="Times New Roman" w:hAnsi="Times New Roman" w:cs="Times New Roman"/>
      <w:color w:val="000000"/>
      <w:sz w:val="18"/>
      <w:lang w:val="en-US"/>
    </w:rPr>
  </w:style>
  <w:style w:type="character" w:customStyle="1" w:styleId="footnotemark">
    <w:name w:val="footnote mark"/>
    <w:hidden/>
    <w:rsid w:val="00CD1D61"/>
    <w:rPr>
      <w:rFonts w:ascii="Times New Roman" w:eastAsia="Times New Roman" w:hAnsi="Times New Roman" w:cs="Times New Roman"/>
      <w:color w:val="000000"/>
      <w:sz w:val="18"/>
      <w:vertAlign w:val="superscript"/>
    </w:rPr>
  </w:style>
  <w:style w:type="paragraph" w:styleId="Header">
    <w:name w:val="header"/>
    <w:basedOn w:val="Normal"/>
    <w:link w:val="HeaderChar"/>
    <w:uiPriority w:val="99"/>
    <w:unhideWhenUsed/>
    <w:rsid w:val="00E6519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194"/>
  </w:style>
  <w:style w:type="paragraph" w:styleId="Footer">
    <w:name w:val="footer"/>
    <w:basedOn w:val="Normal"/>
    <w:link w:val="FooterChar"/>
    <w:uiPriority w:val="99"/>
    <w:unhideWhenUsed/>
    <w:rsid w:val="00E651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194"/>
  </w:style>
  <w:style w:type="paragraph" w:styleId="BalloonText">
    <w:name w:val="Balloon Text"/>
    <w:basedOn w:val="Normal"/>
    <w:link w:val="BalloonTextChar"/>
    <w:uiPriority w:val="99"/>
    <w:semiHidden/>
    <w:unhideWhenUsed/>
    <w:rsid w:val="00A5139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139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jp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footnotes" Target="footnotes.xml"/><Relationship Id="rId12" Type="http://schemas.openxmlformats.org/officeDocument/2006/relationships/image" Target="media/image4.jpg"/><Relationship Id="rId17" Type="http://schemas.openxmlformats.org/officeDocument/2006/relationships/image" Target="media/image9.jp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8.jpg"/><Relationship Id="rId20" Type="http://schemas.openxmlformats.org/officeDocument/2006/relationships/image" Target="media/image12.jp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g"/><Relationship Id="rId23" Type="http://schemas.openxmlformats.org/officeDocument/2006/relationships/image" Target="media/image15.jpg"/><Relationship Id="rId28" Type="http://schemas.openxmlformats.org/officeDocument/2006/relationships/footer" Target="footer2.xml"/><Relationship Id="rId10" Type="http://schemas.openxmlformats.org/officeDocument/2006/relationships/image" Target="media/image2.jpg"/><Relationship Id="rId19" Type="http://schemas.openxmlformats.org/officeDocument/2006/relationships/image" Target="media/image11.jp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g"/><Relationship Id="rId22" Type="http://schemas.openxmlformats.org/officeDocument/2006/relationships/image" Target="media/image14.jpg"/><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4EC57-7957-43A2-AF2F-FC09BE510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2668</Words>
  <Characters>15212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admin</cp:lastModifiedBy>
  <cp:revision>2</cp:revision>
  <cp:lastPrinted>2023-01-30T07:43:00Z</cp:lastPrinted>
  <dcterms:created xsi:type="dcterms:W3CDTF">2023-01-30T15:46:00Z</dcterms:created>
  <dcterms:modified xsi:type="dcterms:W3CDTF">2023-01-30T15:46:00Z</dcterms:modified>
</cp:coreProperties>
</file>