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theme/themeOverride1.xml" ContentType="application/vnd.openxmlformats-officedocument.themeOverride+xml"/>
  <Override PartName="/word/charts/chart10.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73BF" w:rsidRPr="006621AA" w:rsidRDefault="007D5A1A" w:rsidP="00B70876">
      <w:pPr>
        <w:tabs>
          <w:tab w:val="left" w:pos="10260"/>
        </w:tabs>
      </w:pPr>
      <w:r w:rsidRPr="006621AA">
        <w:rPr>
          <w:noProof/>
          <w:lang w:eastAsia="en-US"/>
        </w:rPr>
        <w:drawing>
          <wp:anchor distT="0" distB="0" distL="114300" distR="114300" simplePos="0" relativeHeight="251658240" behindDoc="1" locked="0" layoutInCell="1" allowOverlap="1" wp14:anchorId="555A1AED" wp14:editId="7CC7DC26">
            <wp:simplePos x="0" y="0"/>
            <wp:positionH relativeFrom="column">
              <wp:posOffset>-742950</wp:posOffset>
            </wp:positionH>
            <wp:positionV relativeFrom="paragraph">
              <wp:posOffset>-638174</wp:posOffset>
            </wp:positionV>
            <wp:extent cx="7971888" cy="7736840"/>
            <wp:effectExtent l="0" t="0" r="0" b="0"/>
            <wp:wrapNone/>
            <wp:docPr id="5" name="Picture 5" descr="C:\Users\Imagine7\Desktop\word\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magine7\Desktop\word\image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74730" cy="7739598"/>
                    </a:xfrm>
                    <a:prstGeom prst="rect">
                      <a:avLst/>
                    </a:prstGeom>
                    <a:noFill/>
                    <a:ln>
                      <a:noFill/>
                    </a:ln>
                  </pic:spPr>
                </pic:pic>
              </a:graphicData>
            </a:graphic>
            <wp14:sizeRelV relativeFrom="margin">
              <wp14:pctHeight>0</wp14:pctHeight>
            </wp14:sizeRelV>
          </wp:anchor>
        </w:drawing>
      </w:r>
      <w:r>
        <w:rPr>
          <w:noProof/>
          <w:lang w:eastAsia="en-US"/>
        </w:rPr>
        <w:pict>
          <v:shapetype id="_x0000_t202" coordsize="21600,21600" o:spt="202" path="m,l,21600r21600,l21600,xe">
            <v:stroke joinstyle="miter"/>
            <v:path gradientshapeok="t" o:connecttype="rect"/>
          </v:shapetype>
          <v:shape id="Text Box 172" o:spid="_x0000_s1027" type="#_x0000_t202" style="position:absolute;margin-left:-35.8pt;margin-top:-34.35pt;width:587.65pt;height:3.55pt;z-index:25168025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" filled="f" stroked="f">
            <v:textbox style="mso-next-textbox:#Text Box 172">
              <w:txbxContent>
                <w:p w:rsidR="005372E3" w:rsidRPr="006621AA" w:rsidRDefault="005372E3" w:rsidP="001F452F">
                  <w:pPr>
                    <w:jc w:val="center"/>
                    <w:rPr>
                      <w:color w:val="FFFFFF"/>
                      <w:sz w:val="60"/>
                    </w:rPr>
                  </w:pPr>
                </w:p>
              </w:txbxContent>
            </v:textbox>
          </v:shape>
        </w:pict>
      </w:r>
      <w:r w:rsidR="00CF3AE0">
        <w:rPr>
          <w:noProof/>
          <w:lang w:eastAsia="en-US"/>
        </w:rPr>
        <w:pict>
          <v:rect id="Rectangle 186" o:spid="_x0000_s1026" style="position:absolute;margin-left:-59.75pt;margin-top:530.6pt;width:629.25pt;height:224.35pt;z-index:-2516413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" fillcolor="#4f81bd" stroked="f"/>
        </w:pict>
      </w:r>
      <w:r w:rsidR="00CF3AE0">
        <w:rPr>
          <w:noProof/>
          <w:lang w:eastAsia="en-US"/>
        </w:rPr>
        <w:pict>
          <v:rect id="Rectangle 187" o:spid="_x0000_s1036" style="position:absolute;margin-left:365.1pt;margin-top:530.6pt;width:199.15pt;height:235.2pt;z-index:-2516392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" fillcolor="#c0504d" stroked="f"/>
        </w:pict>
      </w: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1C3E2F" w:rsidRPr="006621AA" w:rsidRDefault="001C3E2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B70876" w:rsidRPr="006621AA" w:rsidRDefault="00B70876" w:rsidP="00B70876">
      <w:pPr>
        <w:tabs>
          <w:tab w:val="left" w:pos="10260"/>
        </w:tabs>
      </w:pPr>
    </w:p>
    <w:p w:rsidR="001351ED" w:rsidRPr="006621AA" w:rsidRDefault="001351ED" w:rsidP="001351ED">
      <w:pPr>
        <w:tabs>
          <w:tab w:val="left" w:pos="10260"/>
        </w:tabs>
      </w:pPr>
    </w:p>
    <w:p w:rsidR="001351ED" w:rsidRPr="006621AA" w:rsidRDefault="00CF3AE0">
      <w:r>
        <w:rPr>
          <w:noProof/>
          <w:lang w:eastAsia="en-US"/>
        </w:rPr>
        <w:pict>
          <v:shape id="Text Box 4" o:spid="_x0000_s1028" type="#_x0000_t202" style="position:absolute;margin-left:-40.3pt;margin-top:600pt;width:402.5pt;height:170.6pt;z-index:251652608;visibility:visible;mso-wrap-distance-left:2.88pt;mso-wrap-distance-top:2.88pt;mso-wrap-distance-right:2.88pt;mso-wrap-distance-bottom:2.88p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" filled="f" fillcolor="#fffffe" stroked="f" strokecolor="#212120" insetpen="t">
            <v:textbox style="mso-next-textbox:#Text Box 4" inset="2.88pt,2.88pt,2.88pt,2.88pt">
              <w:txbxContent>
                <w:p w:rsidR="007D5A1A" w:rsidRDefault="007D5A1A" w:rsidP="00696F52">
                  <w:pPr>
                    <w:jc w:val="center"/>
                    <w:rPr>
                      <w:color w:val="FFFFFF" w:themeColor="background1"/>
                      <w:sz w:val="52"/>
                      <w:szCs w:val="68"/>
                    </w:rPr>
                  </w:pPr>
                </w:p>
                <w:p w:rsidR="00696F52" w:rsidRDefault="007D5A1A" w:rsidP="00696F52">
                  <w:pPr>
                    <w:jc w:val="center"/>
                    <w:rPr>
                      <w:color w:val="FFFFFF" w:themeColor="background1"/>
                      <w:sz w:val="52"/>
                      <w:szCs w:val="68"/>
                    </w:rPr>
                  </w:pPr>
                  <w:r w:rsidRPr="007D5A1A">
                    <w:rPr>
                      <w:color w:val="FFFFFF" w:themeColor="background1"/>
                      <w:sz w:val="52"/>
                      <w:szCs w:val="68"/>
                    </w:rPr>
                    <w:t>Raporti i Veprimtarisë Akademike të Shkollës së</w:t>
                  </w:r>
                  <w:r w:rsidR="00696F52" w:rsidRPr="007D5A1A">
                    <w:rPr>
                      <w:color w:val="FFFFFF" w:themeColor="background1"/>
                      <w:sz w:val="52"/>
                      <w:szCs w:val="68"/>
                    </w:rPr>
                    <w:t xml:space="preserve"> Magjistraturës</w:t>
                  </w:r>
                </w:p>
                <w:p w:rsidR="007D5A1A" w:rsidRPr="007D5A1A" w:rsidRDefault="007D5A1A" w:rsidP="00696F52">
                  <w:pPr>
                    <w:jc w:val="center"/>
                    <w:rPr>
                      <w:color w:val="FFFFFF" w:themeColor="background1"/>
                      <w:sz w:val="52"/>
                      <w:szCs w:val="68"/>
                    </w:rPr>
                  </w:pPr>
                </w:p>
                <w:p w:rsidR="007D5A1A" w:rsidRPr="007D5A1A" w:rsidRDefault="007D5A1A" w:rsidP="00696F52">
                  <w:pPr>
                    <w:jc w:val="center"/>
                    <w:rPr>
                      <w:color w:val="FFFFFF" w:themeColor="background1"/>
                      <w:sz w:val="52"/>
                      <w:szCs w:val="68"/>
                    </w:rPr>
                  </w:pPr>
                  <w:r>
                    <w:rPr>
                      <w:color w:val="FFFFFF" w:themeColor="background1"/>
                      <w:sz w:val="52"/>
                      <w:szCs w:val="68"/>
                    </w:rPr>
                    <w:t xml:space="preserve">Viti </w:t>
                  </w:r>
                  <w:r w:rsidRPr="007D5A1A">
                    <w:rPr>
                      <w:color w:val="FFFFFF" w:themeColor="background1"/>
                      <w:sz w:val="52"/>
                      <w:szCs w:val="68"/>
                    </w:rPr>
                    <w:t>2017-2018</w:t>
                  </w:r>
                </w:p>
                <w:p w:rsidR="00E86793" w:rsidRPr="00E86793" w:rsidRDefault="00E86793" w:rsidP="00FD7487">
                  <w:pPr>
                    <w:rPr>
                      <w:rStyle w:val="sowc"/>
                      <w:b/>
                      <w:color w:val="FFFFFF" w:themeColor="background1"/>
                      <w:sz w:val="28"/>
                      <w:szCs w:val="40"/>
                    </w:rPr>
                  </w:pPr>
                </w:p>
              </w:txbxContent>
            </v:textbox>
            <w10:wrap anchory="page"/>
          </v:shape>
        </w:pict>
      </w:r>
      <w:r>
        <w:rPr>
          <w:noProof/>
          <w:lang w:eastAsia="en-US"/>
        </w:rPr>
        <w:pict>
          <v:shape id="Text Box 166" o:spid="_x0000_s1035" type="#_x0000_t202" style="position:absolute;margin-left:380.05pt;margin-top:235.55pt;width:168.1pt;height:159.2pt;z-index:25167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" filled="f" stroked="f">
            <v:textbox>
              <w:txbxContent>
                <w:p w:rsidR="005372E3" w:rsidRPr="006621AA" w:rsidRDefault="005372E3" w:rsidP="005372E3">
                  <w:pPr>
                    <w:jc w:val="center"/>
                    <w:rPr>
                      <w:color w:val="FFFFFF" w:themeColor="background1"/>
                      <w:sz w:val="28"/>
                      <w:szCs w:val="38"/>
                    </w:rPr>
                  </w:pPr>
                  <w:r w:rsidRPr="005372E3">
                    <w:rPr>
                      <w:noProof/>
                      <w:lang w:eastAsia="en-US"/>
                    </w:rPr>
                    <w:drawing>
                      <wp:inline distT="0" distB="0" distL="0" distR="0">
                        <wp:extent cx="1352550" cy="1352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52550" cy="1352550"/>
                                </a:xfrm>
                                <a:prstGeom prst="rect">
                                  <a:avLst/>
                                </a:prstGeom>
                                <a:noFill/>
                                <a:ln>
                                  <a:noFill/>
                                </a:ln>
                              </pic:spPr>
                            </pic:pic>
                          </a:graphicData>
                        </a:graphic>
                      </wp:inline>
                    </w:drawing>
                  </w:r>
                </w:p>
              </w:txbxContent>
            </v:textbox>
          </v:shape>
        </w:pict>
      </w:r>
      <w:r w:rsidR="001351ED" w:rsidRPr="006621AA">
        <w:br w:type="page"/>
      </w:r>
    </w:p>
    <w:p w:rsidR="00132A79" w:rsidRDefault="00132A79" w:rsidP="001351ED">
      <w:pPr>
        <w:tabs>
          <w:tab w:val="left" w:pos="10260"/>
        </w:tabs>
        <w:jc w:val="center"/>
        <w:rPr>
          <w:b/>
          <w:bCs/>
          <w:color w:val="CC9966" w:themeColor="accent2"/>
          <w:kern w:val="32"/>
          <w:sz w:val="36"/>
        </w:rPr>
      </w:pPr>
    </w:p>
    <w:p w:rsidR="00B70876" w:rsidRDefault="00132A79" w:rsidP="001351ED">
      <w:pPr>
        <w:tabs>
          <w:tab w:val="left" w:pos="10260"/>
        </w:tabs>
        <w:jc w:val="center"/>
        <w:rPr>
          <w:b/>
          <w:bCs/>
          <w:color w:val="CC9966" w:themeColor="accent2"/>
          <w:kern w:val="32"/>
          <w:sz w:val="36"/>
        </w:rPr>
      </w:pPr>
      <w:r>
        <w:rPr>
          <w:b/>
          <w:bCs/>
          <w:color w:val="CC9966" w:themeColor="accent2"/>
          <w:kern w:val="32"/>
          <w:sz w:val="36"/>
        </w:rPr>
        <w:t>P</w:t>
      </w:r>
      <w:r w:rsidRPr="00132A79">
        <w:rPr>
          <w:b/>
          <w:bCs/>
          <w:color w:val="CC9966" w:themeColor="accent2"/>
          <w:kern w:val="32"/>
          <w:sz w:val="36"/>
        </w:rPr>
        <w:t>Ë</w:t>
      </w:r>
      <w:r>
        <w:rPr>
          <w:b/>
          <w:bCs/>
          <w:color w:val="CC9966" w:themeColor="accent2"/>
          <w:kern w:val="32"/>
          <w:sz w:val="36"/>
        </w:rPr>
        <w:t>RMBAJTJA</w:t>
      </w:r>
    </w:p>
    <w:p w:rsidR="00132A79" w:rsidRDefault="00132A79" w:rsidP="001351ED">
      <w:pPr>
        <w:tabs>
          <w:tab w:val="left" w:pos="10260"/>
        </w:tabs>
        <w:jc w:val="center"/>
        <w:rPr>
          <w:b/>
          <w:bCs/>
          <w:color w:val="CC9966" w:themeColor="accent2"/>
          <w:kern w:val="32"/>
          <w:sz w:val="36"/>
        </w:rPr>
      </w:pPr>
    </w:p>
    <w:p w:rsidR="00132A79" w:rsidRPr="00132A79" w:rsidRDefault="00132A79" w:rsidP="005C2687">
      <w:pPr>
        <w:pStyle w:val="ListParagraph"/>
        <w:numPr>
          <w:ilvl w:val="0"/>
          <w:numId w:val="1"/>
        </w:numPr>
        <w:tabs>
          <w:tab w:val="left" w:pos="10260"/>
        </w:tabs>
        <w:spacing w:line="276" w:lineRule="auto"/>
        <w:rPr>
          <w:b/>
          <w:color w:val="7F5034" w:themeColor="accent1"/>
          <w:sz w:val="28"/>
        </w:rPr>
      </w:pPr>
      <w:r w:rsidRPr="00132A79">
        <w:rPr>
          <w:b/>
          <w:color w:val="7F5034" w:themeColor="accent1"/>
          <w:sz w:val="28"/>
        </w:rPr>
        <w:t>PROGRAMI I FORMIMIT FILLESTAR</w:t>
      </w:r>
    </w:p>
    <w:p w:rsidR="00132A79" w:rsidRPr="00132A79" w:rsidRDefault="00132A79" w:rsidP="005C2687">
      <w:pPr>
        <w:pStyle w:val="ListParagraph"/>
        <w:numPr>
          <w:ilvl w:val="1"/>
          <w:numId w:val="1"/>
        </w:numPr>
        <w:tabs>
          <w:tab w:val="left" w:pos="10260"/>
        </w:tabs>
        <w:spacing w:line="276" w:lineRule="auto"/>
      </w:pPr>
      <w:r w:rsidRPr="00132A79">
        <w:t>Objektivat e Programit të Formimit Fillestar për vitin akademik 2017-2018</w:t>
      </w:r>
    </w:p>
    <w:p w:rsidR="00132A79" w:rsidRPr="00132A79" w:rsidRDefault="00132A79" w:rsidP="005C2687">
      <w:pPr>
        <w:pStyle w:val="ListParagraph"/>
        <w:numPr>
          <w:ilvl w:val="1"/>
          <w:numId w:val="1"/>
        </w:numPr>
        <w:tabs>
          <w:tab w:val="left" w:pos="10260"/>
        </w:tabs>
        <w:spacing w:line="276" w:lineRule="auto"/>
      </w:pPr>
      <w:r>
        <w:t xml:space="preserve"> </w:t>
      </w:r>
      <w:r w:rsidRPr="00132A79">
        <w:t>Realizimi i programit mësimor të Trajnimit Fillestar për vitin akademik 2017-2018</w:t>
      </w:r>
    </w:p>
    <w:p w:rsidR="00132A79" w:rsidRPr="00132A79" w:rsidRDefault="00132A79" w:rsidP="00132A79">
      <w:pPr>
        <w:pStyle w:val="ListParagraph"/>
        <w:tabs>
          <w:tab w:val="left" w:pos="10260"/>
        </w:tabs>
        <w:spacing w:line="276" w:lineRule="auto"/>
        <w:ind w:left="792"/>
      </w:pPr>
      <w:r w:rsidRPr="00132A79">
        <w:t>1.2.1 Mbi provimin e pranimit në Shkollën e Magjistraturës për vitin akademik 2017-2018</w:t>
      </w:r>
    </w:p>
    <w:p w:rsidR="00132A79" w:rsidRPr="00132A79" w:rsidRDefault="00132A79" w:rsidP="005C2687">
      <w:pPr>
        <w:pStyle w:val="ListParagraph"/>
        <w:numPr>
          <w:ilvl w:val="1"/>
          <w:numId w:val="1"/>
        </w:numPr>
        <w:tabs>
          <w:tab w:val="left" w:pos="10260"/>
        </w:tabs>
        <w:spacing w:line="276" w:lineRule="auto"/>
      </w:pPr>
      <w:r>
        <w:t xml:space="preserve"> </w:t>
      </w:r>
      <w:r w:rsidRPr="00132A79">
        <w:t>Realizimi i programit të vitit të parë të Shkollës</w:t>
      </w:r>
    </w:p>
    <w:p w:rsidR="00132A79" w:rsidRPr="00132A79" w:rsidRDefault="00132A79" w:rsidP="005C2687">
      <w:pPr>
        <w:pStyle w:val="ListParagraph"/>
        <w:numPr>
          <w:ilvl w:val="1"/>
          <w:numId w:val="1"/>
        </w:numPr>
        <w:tabs>
          <w:tab w:val="left" w:pos="10260"/>
        </w:tabs>
        <w:spacing w:line="276" w:lineRule="auto"/>
      </w:pPr>
      <w:r>
        <w:t xml:space="preserve"> </w:t>
      </w:r>
      <w:r w:rsidRPr="00132A79">
        <w:t>Realizimi i programit mësimor të vitit të dytë të Shkollës</w:t>
      </w:r>
    </w:p>
    <w:p w:rsidR="00132A79" w:rsidRPr="00132A79" w:rsidRDefault="00132A79" w:rsidP="00132A79">
      <w:pPr>
        <w:pStyle w:val="ListParagraph"/>
        <w:tabs>
          <w:tab w:val="left" w:pos="10260"/>
        </w:tabs>
        <w:spacing w:line="276" w:lineRule="auto"/>
        <w:ind w:left="792"/>
      </w:pPr>
      <w:r w:rsidRPr="00132A79">
        <w:t>1.4.1 Plani mësimor i vitit të dytë</w:t>
      </w:r>
    </w:p>
    <w:p w:rsidR="00132A79" w:rsidRPr="00132A79" w:rsidRDefault="00132A79" w:rsidP="005C2687">
      <w:pPr>
        <w:pStyle w:val="ListParagraph"/>
        <w:numPr>
          <w:ilvl w:val="1"/>
          <w:numId w:val="1"/>
        </w:numPr>
        <w:tabs>
          <w:tab w:val="left" w:pos="10260"/>
        </w:tabs>
        <w:spacing w:line="276" w:lineRule="auto"/>
      </w:pPr>
      <w:r>
        <w:t xml:space="preserve"> </w:t>
      </w:r>
      <w:r w:rsidRPr="00132A79">
        <w:t xml:space="preserve">Viti i tretë </w:t>
      </w:r>
    </w:p>
    <w:p w:rsidR="00132A79" w:rsidRPr="00132A79" w:rsidRDefault="00132A79" w:rsidP="00132A79">
      <w:pPr>
        <w:tabs>
          <w:tab w:val="left" w:pos="10260"/>
        </w:tabs>
        <w:jc w:val="center"/>
        <w:rPr>
          <w:b/>
          <w:bCs/>
          <w:color w:val="CC9966" w:themeColor="accent2"/>
          <w:kern w:val="32"/>
          <w:sz w:val="36"/>
        </w:rPr>
      </w:pPr>
    </w:p>
    <w:p w:rsidR="00132A79" w:rsidRPr="00132A79" w:rsidRDefault="00132A79" w:rsidP="005C2687">
      <w:pPr>
        <w:pStyle w:val="ListParagraph"/>
        <w:numPr>
          <w:ilvl w:val="0"/>
          <w:numId w:val="1"/>
        </w:numPr>
        <w:tabs>
          <w:tab w:val="left" w:pos="10260"/>
        </w:tabs>
        <w:spacing w:line="276" w:lineRule="auto"/>
        <w:rPr>
          <w:b/>
          <w:color w:val="7F5034" w:themeColor="accent1"/>
          <w:sz w:val="28"/>
        </w:rPr>
      </w:pPr>
      <w:r w:rsidRPr="00132A79">
        <w:rPr>
          <w:b/>
          <w:color w:val="7F5034" w:themeColor="accent1"/>
          <w:sz w:val="28"/>
        </w:rPr>
        <w:t>PROGRAMI I FORMIMIT VAZHDUES</w:t>
      </w:r>
    </w:p>
    <w:p w:rsidR="00132A79" w:rsidRPr="00132A79" w:rsidRDefault="00132A79" w:rsidP="005C2687">
      <w:pPr>
        <w:pStyle w:val="ListParagraph"/>
        <w:numPr>
          <w:ilvl w:val="1"/>
          <w:numId w:val="1"/>
        </w:numPr>
        <w:tabs>
          <w:tab w:val="left" w:pos="10260"/>
        </w:tabs>
        <w:spacing w:line="276" w:lineRule="auto"/>
      </w:pPr>
      <w:r w:rsidRPr="00132A79">
        <w:t>Realizimi i Programit të Formimit Vazhdues për vitin akademik 2017-2018</w:t>
      </w:r>
    </w:p>
    <w:p w:rsidR="00132A79" w:rsidRPr="00132A79" w:rsidRDefault="00132A79" w:rsidP="005C2687">
      <w:pPr>
        <w:pStyle w:val="ListParagraph"/>
        <w:numPr>
          <w:ilvl w:val="1"/>
          <w:numId w:val="1"/>
        </w:numPr>
        <w:tabs>
          <w:tab w:val="left" w:pos="10260"/>
        </w:tabs>
        <w:spacing w:line="276" w:lineRule="auto"/>
      </w:pPr>
      <w:r w:rsidRPr="00132A79">
        <w:t>Përmbajtja dhe tematika e Programit të Formimit Vazhdues për vitin akademik 2017- 2018</w:t>
      </w:r>
    </w:p>
    <w:p w:rsidR="00132A79" w:rsidRPr="00132A79" w:rsidRDefault="00132A79" w:rsidP="005C2687">
      <w:pPr>
        <w:pStyle w:val="ListParagraph"/>
        <w:numPr>
          <w:ilvl w:val="1"/>
          <w:numId w:val="1"/>
        </w:numPr>
        <w:tabs>
          <w:tab w:val="left" w:pos="10260"/>
        </w:tabs>
        <w:spacing w:line="276" w:lineRule="auto"/>
      </w:pPr>
      <w:r w:rsidRPr="00132A79">
        <w:t>Organizimi i sesioneve trajnuese dhe rezultatet</w:t>
      </w:r>
      <w:bookmarkStart w:id="0" w:name="_GoBack"/>
      <w:bookmarkEnd w:id="0"/>
    </w:p>
    <w:p w:rsidR="00132A79" w:rsidRPr="00132A79" w:rsidRDefault="00132A79" w:rsidP="00A32124">
      <w:pPr>
        <w:pStyle w:val="ListParagraph"/>
        <w:tabs>
          <w:tab w:val="left" w:pos="10260"/>
        </w:tabs>
        <w:spacing w:line="276" w:lineRule="auto"/>
        <w:ind w:left="792"/>
      </w:pPr>
      <w:r w:rsidRPr="00132A79">
        <w:t xml:space="preserve">2.3.1 Auditori </w:t>
      </w:r>
    </w:p>
    <w:p w:rsidR="00132A79" w:rsidRPr="00132A79" w:rsidRDefault="00132A79" w:rsidP="00A32124">
      <w:pPr>
        <w:pStyle w:val="ListParagraph"/>
        <w:tabs>
          <w:tab w:val="left" w:pos="10260"/>
        </w:tabs>
        <w:spacing w:line="276" w:lineRule="auto"/>
        <w:ind w:left="792"/>
      </w:pPr>
      <w:r w:rsidRPr="00132A79">
        <w:t xml:space="preserve">2.3.2 Pajisja me certifikatë dhe frekuentimi </w:t>
      </w:r>
    </w:p>
    <w:p w:rsidR="00132A79" w:rsidRPr="00132A79" w:rsidRDefault="00132A79" w:rsidP="00A32124">
      <w:pPr>
        <w:pStyle w:val="ListParagraph"/>
        <w:tabs>
          <w:tab w:val="left" w:pos="10260"/>
        </w:tabs>
        <w:spacing w:line="276" w:lineRule="auto"/>
        <w:ind w:left="792"/>
      </w:pPr>
      <w:r w:rsidRPr="00132A79">
        <w:t>2.3.3 Pyetësorët e vlerësimit</w:t>
      </w:r>
    </w:p>
    <w:p w:rsidR="00132A79" w:rsidRPr="00132A79" w:rsidRDefault="00132A79" w:rsidP="00A32124">
      <w:pPr>
        <w:pStyle w:val="ListParagraph"/>
        <w:tabs>
          <w:tab w:val="left" w:pos="10260"/>
        </w:tabs>
        <w:spacing w:line="276" w:lineRule="auto"/>
        <w:ind w:left="792"/>
      </w:pPr>
      <w:r w:rsidRPr="00132A79">
        <w:t>2.3.4 Fluksi i sesioneve për muaj</w:t>
      </w:r>
    </w:p>
    <w:p w:rsidR="00132A79" w:rsidRPr="00132A79" w:rsidRDefault="00132A79" w:rsidP="005C2687">
      <w:pPr>
        <w:pStyle w:val="ListParagraph"/>
        <w:numPr>
          <w:ilvl w:val="1"/>
          <w:numId w:val="1"/>
        </w:numPr>
        <w:tabs>
          <w:tab w:val="left" w:pos="10260"/>
        </w:tabs>
        <w:spacing w:line="276" w:lineRule="auto"/>
      </w:pPr>
      <w:r w:rsidRPr="00132A79">
        <w:t>Ekspertiza. Ekspertët</w:t>
      </w:r>
    </w:p>
    <w:p w:rsidR="00132A79" w:rsidRPr="00132A79" w:rsidRDefault="00132A79" w:rsidP="005C2687">
      <w:pPr>
        <w:pStyle w:val="ListParagraph"/>
        <w:numPr>
          <w:ilvl w:val="1"/>
          <w:numId w:val="1"/>
        </w:numPr>
        <w:tabs>
          <w:tab w:val="left" w:pos="10260"/>
        </w:tabs>
        <w:spacing w:line="276" w:lineRule="auto"/>
      </w:pPr>
      <w:r w:rsidRPr="00132A79">
        <w:t>Bashkëpunimi me aktorë të rëndësishëm të sistemit të drejtësisë në vendin tonë</w:t>
      </w:r>
    </w:p>
    <w:p w:rsidR="00132A79" w:rsidRPr="00132A79" w:rsidRDefault="00132A79" w:rsidP="005C2687">
      <w:pPr>
        <w:pStyle w:val="ListParagraph"/>
        <w:numPr>
          <w:ilvl w:val="1"/>
          <w:numId w:val="1"/>
        </w:numPr>
        <w:tabs>
          <w:tab w:val="left" w:pos="10260"/>
        </w:tabs>
        <w:spacing w:line="276" w:lineRule="auto"/>
      </w:pPr>
      <w:r w:rsidRPr="00132A79">
        <w:t>Metodologjia e përdorur në hartimin e përmbajtjes tematike të Programit</w:t>
      </w:r>
    </w:p>
    <w:p w:rsidR="00132A79" w:rsidRPr="00132A79" w:rsidRDefault="00132A79" w:rsidP="005C2687">
      <w:pPr>
        <w:pStyle w:val="ListParagraph"/>
        <w:numPr>
          <w:ilvl w:val="1"/>
          <w:numId w:val="1"/>
        </w:numPr>
        <w:tabs>
          <w:tab w:val="left" w:pos="10260"/>
        </w:tabs>
        <w:spacing w:line="276" w:lineRule="auto"/>
      </w:pPr>
      <w:r w:rsidRPr="00132A79">
        <w:t xml:space="preserve">Trajnimi i trajnerëve </w:t>
      </w:r>
    </w:p>
    <w:p w:rsidR="00132A79" w:rsidRPr="00132A79" w:rsidRDefault="00132A79" w:rsidP="00132A79">
      <w:pPr>
        <w:tabs>
          <w:tab w:val="left" w:pos="10260"/>
        </w:tabs>
        <w:jc w:val="center"/>
        <w:rPr>
          <w:b/>
          <w:bCs/>
          <w:color w:val="CC9966" w:themeColor="accent2"/>
          <w:kern w:val="32"/>
          <w:sz w:val="36"/>
        </w:rPr>
      </w:pPr>
    </w:p>
    <w:p w:rsidR="00132A79" w:rsidRPr="00A32124" w:rsidRDefault="00132A79" w:rsidP="005C2687">
      <w:pPr>
        <w:pStyle w:val="ListParagraph"/>
        <w:numPr>
          <w:ilvl w:val="0"/>
          <w:numId w:val="1"/>
        </w:numPr>
        <w:tabs>
          <w:tab w:val="left" w:pos="10260"/>
        </w:tabs>
        <w:spacing w:line="276" w:lineRule="auto"/>
        <w:rPr>
          <w:b/>
          <w:color w:val="7F5034" w:themeColor="accent1"/>
          <w:sz w:val="28"/>
        </w:rPr>
      </w:pPr>
      <w:r w:rsidRPr="00A32124">
        <w:rPr>
          <w:b/>
          <w:color w:val="7F5034" w:themeColor="accent1"/>
          <w:sz w:val="28"/>
        </w:rPr>
        <w:t xml:space="preserve">BASHKËPUNIMI ME PARTNERËT NDËRKOMBËTARË </w:t>
      </w:r>
    </w:p>
    <w:p w:rsidR="00132A79" w:rsidRPr="00A32124" w:rsidRDefault="00132A79" w:rsidP="005C2687">
      <w:pPr>
        <w:pStyle w:val="ListParagraph"/>
        <w:numPr>
          <w:ilvl w:val="1"/>
          <w:numId w:val="1"/>
        </w:numPr>
        <w:tabs>
          <w:tab w:val="left" w:pos="10260"/>
        </w:tabs>
        <w:spacing w:line="276" w:lineRule="auto"/>
      </w:pPr>
      <w:r w:rsidRPr="00A32124">
        <w:t xml:space="preserve">Mbështetja financiare e aktiviteteve trajnuese nga partnerët ndërkombëtarë gjatë vitit akademik 2017- 2018 </w:t>
      </w:r>
    </w:p>
    <w:p w:rsidR="00132A79" w:rsidRPr="00A32124" w:rsidRDefault="00132A79" w:rsidP="005C2687">
      <w:pPr>
        <w:pStyle w:val="ListParagraph"/>
        <w:numPr>
          <w:ilvl w:val="1"/>
          <w:numId w:val="1"/>
        </w:numPr>
        <w:tabs>
          <w:tab w:val="left" w:pos="10260"/>
        </w:tabs>
        <w:spacing w:line="276" w:lineRule="auto"/>
      </w:pPr>
      <w:r w:rsidRPr="00A32124">
        <w:t>Takime pune/konferenca/seminare dhe vizita studimore gjatë vitit akademik 2017-2018</w:t>
      </w:r>
    </w:p>
    <w:p w:rsidR="00132A79" w:rsidRPr="00132A79" w:rsidRDefault="00132A79" w:rsidP="00132A79">
      <w:pPr>
        <w:tabs>
          <w:tab w:val="left" w:pos="10260"/>
        </w:tabs>
        <w:jc w:val="center"/>
        <w:rPr>
          <w:b/>
          <w:bCs/>
          <w:color w:val="CC9966" w:themeColor="accent2"/>
          <w:kern w:val="32"/>
          <w:sz w:val="36"/>
        </w:rPr>
      </w:pPr>
    </w:p>
    <w:p w:rsidR="00132A79" w:rsidRPr="00A32124" w:rsidRDefault="00132A79" w:rsidP="005C2687">
      <w:pPr>
        <w:pStyle w:val="ListParagraph"/>
        <w:numPr>
          <w:ilvl w:val="0"/>
          <w:numId w:val="1"/>
        </w:numPr>
        <w:tabs>
          <w:tab w:val="left" w:pos="10260"/>
        </w:tabs>
        <w:spacing w:line="276" w:lineRule="auto"/>
        <w:rPr>
          <w:b/>
          <w:color w:val="7F5034" w:themeColor="accent1"/>
          <w:sz w:val="28"/>
        </w:rPr>
      </w:pPr>
      <w:r w:rsidRPr="00A32124">
        <w:rPr>
          <w:b/>
          <w:color w:val="7F5034" w:themeColor="accent1"/>
          <w:sz w:val="28"/>
        </w:rPr>
        <w:t>BOTIME, PUBLIKIME DHE STUDIME</w:t>
      </w:r>
    </w:p>
    <w:p w:rsidR="00132A79" w:rsidRPr="00A32124" w:rsidRDefault="00132A79" w:rsidP="005C2687">
      <w:pPr>
        <w:pStyle w:val="ListParagraph"/>
        <w:numPr>
          <w:ilvl w:val="1"/>
          <w:numId w:val="1"/>
        </w:numPr>
        <w:tabs>
          <w:tab w:val="left" w:pos="10260"/>
        </w:tabs>
        <w:spacing w:line="276" w:lineRule="auto"/>
      </w:pPr>
      <w:r w:rsidRPr="00A32124">
        <w:t>Botime të revistës “Jeta Juridike” për vitin akademik 2017 - 2018</w:t>
      </w:r>
    </w:p>
    <w:p w:rsidR="00132A79" w:rsidRPr="00A32124" w:rsidRDefault="00132A79" w:rsidP="005C2687">
      <w:pPr>
        <w:pStyle w:val="ListParagraph"/>
        <w:numPr>
          <w:ilvl w:val="1"/>
          <w:numId w:val="1"/>
        </w:numPr>
        <w:tabs>
          <w:tab w:val="left" w:pos="10260"/>
        </w:tabs>
        <w:spacing w:line="276" w:lineRule="auto"/>
      </w:pPr>
      <w:r w:rsidRPr="00A32124">
        <w:t>Raporti për botimet e teksteve shkencore të Shkollës së Magjistraturës 2017 - 2018</w:t>
      </w:r>
    </w:p>
    <w:p w:rsidR="00132A79" w:rsidRPr="00A32124" w:rsidRDefault="00132A79" w:rsidP="005C2687">
      <w:pPr>
        <w:pStyle w:val="ListParagraph"/>
        <w:numPr>
          <w:ilvl w:val="1"/>
          <w:numId w:val="1"/>
        </w:numPr>
        <w:tabs>
          <w:tab w:val="left" w:pos="10260"/>
        </w:tabs>
        <w:spacing w:line="276" w:lineRule="auto"/>
      </w:pPr>
      <w:r w:rsidRPr="00A32124">
        <w:t xml:space="preserve">Publikimet dhe puna kërkimore-shkencore </w:t>
      </w:r>
    </w:p>
    <w:p w:rsidR="00132A79" w:rsidRPr="00A32124" w:rsidRDefault="00132A79" w:rsidP="005C2687">
      <w:pPr>
        <w:pStyle w:val="ListParagraph"/>
        <w:numPr>
          <w:ilvl w:val="1"/>
          <w:numId w:val="1"/>
        </w:numPr>
        <w:tabs>
          <w:tab w:val="left" w:pos="10260"/>
        </w:tabs>
        <w:spacing w:line="276" w:lineRule="auto"/>
      </w:pPr>
      <w:r w:rsidRPr="00A32124">
        <w:t xml:space="preserve">Biblioteka </w:t>
      </w:r>
    </w:p>
    <w:p w:rsidR="00132A79" w:rsidRPr="00132A79" w:rsidRDefault="00132A79" w:rsidP="00132A79">
      <w:pPr>
        <w:tabs>
          <w:tab w:val="left" w:pos="10260"/>
        </w:tabs>
        <w:jc w:val="center"/>
        <w:rPr>
          <w:b/>
          <w:bCs/>
          <w:color w:val="CC9966" w:themeColor="accent2"/>
          <w:kern w:val="32"/>
          <w:sz w:val="36"/>
        </w:rPr>
      </w:pPr>
    </w:p>
    <w:p w:rsidR="00132A79" w:rsidRPr="00A32124" w:rsidRDefault="00132A79" w:rsidP="005C2687">
      <w:pPr>
        <w:pStyle w:val="ListParagraph"/>
        <w:numPr>
          <w:ilvl w:val="0"/>
          <w:numId w:val="1"/>
        </w:numPr>
        <w:tabs>
          <w:tab w:val="left" w:pos="10260"/>
        </w:tabs>
        <w:spacing w:line="276" w:lineRule="auto"/>
        <w:rPr>
          <w:b/>
          <w:color w:val="7F5034" w:themeColor="accent1"/>
          <w:sz w:val="28"/>
        </w:rPr>
      </w:pPr>
      <w:r w:rsidRPr="00A32124">
        <w:rPr>
          <w:b/>
          <w:color w:val="7F5034" w:themeColor="accent1"/>
          <w:sz w:val="28"/>
        </w:rPr>
        <w:t>PËRDORIMI I TEKNOLOGJISË SË PËRPARUAR TË INFORMACIONIT</w:t>
      </w:r>
    </w:p>
    <w:p w:rsidR="00132A79" w:rsidRPr="00A32124" w:rsidRDefault="00132A79" w:rsidP="005C2687">
      <w:pPr>
        <w:pStyle w:val="ListParagraph"/>
        <w:numPr>
          <w:ilvl w:val="1"/>
          <w:numId w:val="1"/>
        </w:numPr>
        <w:tabs>
          <w:tab w:val="left" w:pos="10260"/>
        </w:tabs>
        <w:spacing w:line="276" w:lineRule="auto"/>
      </w:pPr>
      <w:r w:rsidRPr="00A32124">
        <w:t xml:space="preserve">Aksesi në faqen zyrtare të Shkollës së Magjistraturës </w:t>
      </w:r>
    </w:p>
    <w:p w:rsidR="00132A79" w:rsidRPr="00A32124" w:rsidRDefault="00132A79" w:rsidP="005C2687">
      <w:pPr>
        <w:pStyle w:val="ListParagraph"/>
        <w:numPr>
          <w:ilvl w:val="1"/>
          <w:numId w:val="1"/>
        </w:numPr>
        <w:tabs>
          <w:tab w:val="left" w:pos="10260"/>
        </w:tabs>
        <w:spacing w:line="276" w:lineRule="auto"/>
      </w:pPr>
      <w:r w:rsidRPr="00A32124">
        <w:t>Sistemet dhe pajisjet teknologjike</w:t>
      </w:r>
    </w:p>
    <w:p w:rsidR="00132A79" w:rsidRPr="00A32124" w:rsidRDefault="00132A79" w:rsidP="005C2687">
      <w:pPr>
        <w:pStyle w:val="ListParagraph"/>
        <w:numPr>
          <w:ilvl w:val="1"/>
          <w:numId w:val="1"/>
        </w:numPr>
        <w:tabs>
          <w:tab w:val="left" w:pos="10260"/>
        </w:tabs>
        <w:spacing w:line="276" w:lineRule="auto"/>
      </w:pPr>
      <w:r w:rsidRPr="00A32124">
        <w:lastRenderedPageBreak/>
        <w:t>Risia e teknologjisë: Platforma E-learning “Moodle”</w:t>
      </w:r>
    </w:p>
    <w:p w:rsidR="00132A79" w:rsidRPr="00132A79" w:rsidRDefault="00132A79" w:rsidP="00A32124">
      <w:pPr>
        <w:tabs>
          <w:tab w:val="left" w:pos="10260"/>
        </w:tabs>
        <w:rPr>
          <w:b/>
          <w:bCs/>
          <w:color w:val="CC9966" w:themeColor="accent2"/>
          <w:kern w:val="32"/>
          <w:sz w:val="36"/>
        </w:rPr>
      </w:pPr>
      <w:r w:rsidRPr="00132A79">
        <w:rPr>
          <w:b/>
          <w:bCs/>
          <w:color w:val="CC9966" w:themeColor="accent2"/>
          <w:kern w:val="32"/>
          <w:sz w:val="36"/>
        </w:rPr>
        <w:t xml:space="preserve"> </w:t>
      </w:r>
    </w:p>
    <w:p w:rsidR="00132A79" w:rsidRPr="00A32124" w:rsidRDefault="00132A79" w:rsidP="005C2687">
      <w:pPr>
        <w:pStyle w:val="ListParagraph"/>
        <w:numPr>
          <w:ilvl w:val="0"/>
          <w:numId w:val="1"/>
        </w:numPr>
        <w:tabs>
          <w:tab w:val="left" w:pos="10260"/>
        </w:tabs>
        <w:spacing w:line="276" w:lineRule="auto"/>
        <w:rPr>
          <w:b/>
          <w:color w:val="7F5034" w:themeColor="accent1"/>
          <w:sz w:val="28"/>
        </w:rPr>
      </w:pPr>
      <w:r w:rsidRPr="00A32124">
        <w:rPr>
          <w:b/>
          <w:color w:val="7F5034" w:themeColor="accent1"/>
          <w:sz w:val="28"/>
        </w:rPr>
        <w:t>PERSPEKTIVA DHE VIZIONI PËR TË ARDHMEN</w:t>
      </w:r>
    </w:p>
    <w:p w:rsidR="00132A79" w:rsidRDefault="00132A79" w:rsidP="005C2687">
      <w:pPr>
        <w:pStyle w:val="ListParagraph"/>
        <w:numPr>
          <w:ilvl w:val="1"/>
          <w:numId w:val="1"/>
        </w:numPr>
        <w:tabs>
          <w:tab w:val="left" w:pos="10260"/>
        </w:tabs>
        <w:spacing w:line="276" w:lineRule="auto"/>
      </w:pPr>
      <w:r w:rsidRPr="00A32124">
        <w:t>Trajnimi Fillestar</w:t>
      </w:r>
    </w:p>
    <w:p w:rsidR="00132A79" w:rsidRPr="00A32124" w:rsidRDefault="00132A79" w:rsidP="005C2687">
      <w:pPr>
        <w:pStyle w:val="ListParagraph"/>
        <w:numPr>
          <w:ilvl w:val="1"/>
          <w:numId w:val="1"/>
        </w:numPr>
        <w:tabs>
          <w:tab w:val="left" w:pos="10260"/>
        </w:tabs>
        <w:spacing w:line="276" w:lineRule="auto"/>
      </w:pPr>
      <w:r w:rsidRPr="00A32124">
        <w:t>Trajnimi i Vazhduar</w:t>
      </w:r>
    </w:p>
    <w:p w:rsidR="00132A79" w:rsidRPr="00A32124" w:rsidRDefault="00132A79" w:rsidP="005C2687">
      <w:pPr>
        <w:pStyle w:val="ListParagraph"/>
        <w:numPr>
          <w:ilvl w:val="1"/>
          <w:numId w:val="1"/>
        </w:numPr>
        <w:tabs>
          <w:tab w:val="left" w:pos="10260"/>
        </w:tabs>
        <w:spacing w:line="276" w:lineRule="auto"/>
      </w:pPr>
      <w:r w:rsidRPr="00A32124">
        <w:t>Publikimet dhe puna kërkimore-shkencore</w:t>
      </w:r>
    </w:p>
    <w:p w:rsidR="00132A79" w:rsidRPr="00A32124" w:rsidRDefault="00132A79" w:rsidP="005C2687">
      <w:pPr>
        <w:pStyle w:val="ListParagraph"/>
        <w:numPr>
          <w:ilvl w:val="1"/>
          <w:numId w:val="1"/>
        </w:numPr>
        <w:tabs>
          <w:tab w:val="left" w:pos="10260"/>
        </w:tabs>
        <w:spacing w:line="276" w:lineRule="auto"/>
      </w:pPr>
      <w:r w:rsidRPr="00A32124">
        <w:t xml:space="preserve">Biblioteka </w:t>
      </w:r>
    </w:p>
    <w:p w:rsidR="00132A79" w:rsidRPr="00A32124" w:rsidRDefault="00132A79" w:rsidP="005C2687">
      <w:pPr>
        <w:pStyle w:val="ListParagraph"/>
        <w:numPr>
          <w:ilvl w:val="1"/>
          <w:numId w:val="1"/>
        </w:numPr>
        <w:tabs>
          <w:tab w:val="left" w:pos="10260"/>
        </w:tabs>
        <w:spacing w:line="276" w:lineRule="auto"/>
      </w:pPr>
      <w:r w:rsidRPr="00A32124">
        <w:t>Avancimi i Teknologjisë së Informacionit</w:t>
      </w:r>
    </w:p>
    <w:p w:rsidR="00132A79" w:rsidRDefault="00132A79"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Pr="00A32124" w:rsidRDefault="00A32124" w:rsidP="00A32124">
      <w:pPr>
        <w:tabs>
          <w:tab w:val="left" w:pos="10260"/>
        </w:tabs>
        <w:spacing w:line="276" w:lineRule="auto"/>
      </w:pPr>
    </w:p>
    <w:p w:rsidR="001351ED" w:rsidRPr="006621AA" w:rsidRDefault="001351ED" w:rsidP="001351ED">
      <w:pPr>
        <w:tabs>
          <w:tab w:val="left" w:pos="10260"/>
        </w:tabs>
        <w:jc w:val="center"/>
        <w:rPr>
          <w:sz w:val="20"/>
        </w:rPr>
      </w:pPr>
    </w:p>
    <w:p w:rsidR="004A73BF" w:rsidRPr="006621AA" w:rsidRDefault="00CF3AE0" w:rsidP="00B70876">
      <w:pPr>
        <w:tabs>
          <w:tab w:val="left" w:pos="10260"/>
        </w:tabs>
      </w:pPr>
      <w:r>
        <w:rPr>
          <w:noProof/>
          <w:lang w:eastAsia="en-US"/>
        </w:rPr>
        <w:lastRenderedPageBreak/>
        <w:pict>
          <v:rect id="Rectangle 11" o:spid="_x0000_s1029" style="position:absolute;margin-left:-24.75pt;margin-top:-11.55pt;width:602.05pt;height:43.2pt;z-index:2516608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" fillcolor="#4f81bd" stroked="f" strokeweight="2pt">
            <v:textbox>
              <w:txbxContent>
                <w:p w:rsidR="005372E3" w:rsidRPr="00FF271F" w:rsidRDefault="005372E3" w:rsidP="00FF271F">
                  <w:pPr>
                    <w:rPr>
                      <w:szCs w:val="56"/>
                    </w:rPr>
                  </w:pPr>
                  <w:r w:rsidRPr="00FF271F">
                    <w:rPr>
                      <w:b/>
                      <w:color w:val="FFFFFF" w:themeColor="background1"/>
                      <w:sz w:val="56"/>
                      <w:szCs w:val="56"/>
                    </w:rPr>
                    <w:t>1.</w:t>
                  </w:r>
                  <w:r w:rsidRPr="00FF271F">
                    <w:rPr>
                      <w:b/>
                      <w:color w:val="FFFFFF" w:themeColor="background1"/>
                      <w:sz w:val="56"/>
                      <w:szCs w:val="56"/>
                    </w:rPr>
                    <w:tab/>
                    <w:t>PROGRAMI I FORMIMIT FILLESTAR</w:t>
                  </w:r>
                </w:p>
              </w:txbxContent>
            </v:textbox>
          </v:rect>
        </w:pict>
      </w:r>
    </w:p>
    <w:p w:rsidR="004A73BF" w:rsidRPr="006621AA" w:rsidRDefault="004A73BF" w:rsidP="00B70876">
      <w:pPr>
        <w:tabs>
          <w:tab w:val="left" w:pos="360"/>
          <w:tab w:val="left" w:pos="10260"/>
          <w:tab w:val="left" w:pos="11520"/>
          <w:tab w:val="left" w:pos="12060"/>
        </w:tabs>
      </w:pPr>
    </w:p>
    <w:p w:rsidR="004A73BF" w:rsidRPr="006621AA" w:rsidRDefault="004A73BF" w:rsidP="00B70876">
      <w:pPr>
        <w:tabs>
          <w:tab w:val="left" w:pos="10260"/>
        </w:tabs>
      </w:pPr>
    </w:p>
    <w:p w:rsidR="00F0441F" w:rsidRPr="006621AA" w:rsidRDefault="00F0441F" w:rsidP="00B70876">
      <w:pPr>
        <w:tabs>
          <w:tab w:val="left" w:pos="10260"/>
        </w:tabs>
      </w:pPr>
    </w:p>
    <w:p w:rsidR="00A87BD2" w:rsidRPr="006621AA" w:rsidRDefault="00A87BD2" w:rsidP="00A87BD2">
      <w:pPr>
        <w:pStyle w:val="MyHeadtitle"/>
        <w:spacing w:before="0" w:after="0" w:line="276" w:lineRule="auto"/>
        <w:jc w:val="both"/>
        <w:rPr>
          <w:rFonts w:ascii="Times New Roman" w:hAnsi="Times New Roman" w:cs="Times New Roman"/>
          <w:color w:val="CC9966" w:themeColor="accent2"/>
          <w:sz w:val="40"/>
          <w:szCs w:val="24"/>
        </w:rPr>
        <w:sectPr w:rsidR="00A87BD2" w:rsidRPr="006621AA" w:rsidSect="00A87BD2">
          <w:footerReference w:type="default" r:id="rId10"/>
          <w:pgSz w:w="12240" w:h="15840" w:code="1"/>
          <w:pgMar w:top="810" w:right="990" w:bottom="1620" w:left="990" w:header="360" w:footer="371" w:gutter="0"/>
          <w:cols w:space="708"/>
          <w:docGrid w:linePitch="360"/>
        </w:sectPr>
      </w:pPr>
    </w:p>
    <w:p w:rsidR="00FF271F" w:rsidRDefault="00FF271F" w:rsidP="005F5AE4">
      <w:pPr>
        <w:pStyle w:val="My"/>
        <w:spacing w:line="276" w:lineRule="auto"/>
        <w:jc w:val="both"/>
        <w:rPr>
          <w:rFonts w:ascii="Times New Roman" w:hAnsi="Times New Roman" w:cs="Times New Roman"/>
          <w:b/>
          <w:color w:val="CC9966" w:themeColor="accent2"/>
          <w:sz w:val="32"/>
          <w:lang w:val="en-US"/>
        </w:rPr>
      </w:pPr>
      <w:r w:rsidRPr="00FF271F">
        <w:rPr>
          <w:rFonts w:ascii="Times New Roman" w:hAnsi="Times New Roman" w:cs="Times New Roman"/>
          <w:b/>
          <w:color w:val="CC9966" w:themeColor="accent2"/>
          <w:sz w:val="32"/>
          <w:lang w:val="en-US"/>
        </w:rPr>
        <w:t>1.1</w:t>
      </w:r>
      <w:r w:rsidR="009D4032">
        <w:rPr>
          <w:rFonts w:ascii="Times New Roman" w:hAnsi="Times New Roman" w:cs="Times New Roman"/>
          <w:b/>
          <w:color w:val="CC9966" w:themeColor="accent2"/>
          <w:sz w:val="32"/>
          <w:lang w:val="en-US"/>
        </w:rPr>
        <w:t>.</w:t>
      </w:r>
      <w:r w:rsidRPr="00FF271F">
        <w:rPr>
          <w:rFonts w:ascii="Times New Roman" w:hAnsi="Times New Roman" w:cs="Times New Roman"/>
          <w:b/>
          <w:color w:val="CC9966" w:themeColor="accent2"/>
          <w:sz w:val="32"/>
          <w:lang w:val="en-US"/>
        </w:rPr>
        <w:t xml:space="preserve"> Objektivat e Programit të Formimit Fillestar për vitin akademik </w:t>
      </w:r>
      <w:r>
        <w:rPr>
          <w:rFonts w:ascii="Times New Roman" w:hAnsi="Times New Roman" w:cs="Times New Roman"/>
          <w:b/>
          <w:color w:val="CC9966" w:themeColor="accent2"/>
          <w:sz w:val="32"/>
          <w:lang w:val="en-US"/>
        </w:rPr>
        <w:t xml:space="preserve"> </w:t>
      </w:r>
      <w:r w:rsidRPr="00FF271F">
        <w:rPr>
          <w:rFonts w:ascii="Times New Roman" w:hAnsi="Times New Roman" w:cs="Times New Roman"/>
          <w:b/>
          <w:color w:val="CC9966" w:themeColor="accent2"/>
          <w:sz w:val="32"/>
          <w:lang w:val="en-US"/>
        </w:rPr>
        <w:t>2017-2018</w:t>
      </w:r>
    </w:p>
    <w:p w:rsidR="00FF271F" w:rsidRDefault="00FF271F" w:rsidP="005F5AE4">
      <w:pPr>
        <w:pStyle w:val="My"/>
        <w:spacing w:line="276" w:lineRule="auto"/>
        <w:jc w:val="both"/>
        <w:rPr>
          <w:rFonts w:ascii="Times New Roman" w:hAnsi="Times New Roman" w:cs="Times New Roman"/>
          <w:lang w:val="en-US"/>
        </w:rPr>
      </w:pP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Procesi i mësimdhënies në Shkollën e Magjistraturës gjatë vitit akademik 2017-2018 solli si rezultat plotësimin e objektivave të mëposhtme:</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Rritjen e shprehive teorike, në komentimin dhe interpretimin e ligjeve në nivele më të avancuara dhe më të thelluara se ato të programit mësimor të përmbushur në fakultetet e drejtësisë.</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Njohjen me përmbajtjen e ligjeve të reja të aprovuara rishtazi, me mënyrën e zbatimit dhe të analizimit të tyre, si dhe me mënyrën e ndërthurjes së tyre me kornizën ligjore ekzistuese.</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Rritjen e shprehive praktike të magjistratëve në drejtim të zbatimit të ligjeve në zgjidhjet konkrete të rasteve të praktikës gjyqësore.</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 xml:space="preserve">Rritjen e aftësive intelektuale dhe shkencore në drejtim të argumentimit logjik dhe analitik të praktikës gjyqësore, drejt bazueshmërisë së vendimeve gjyqësore dhe akteve të tjera procedurale në prova dhe në ligj. </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 xml:space="preserve">Rritjen e shprehive në nivele bashkëkohore në drejtim të shkrimit dhe arsyetimit ligjor. </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Unifikimin e zgjidhjeve ligjore të rasteve praktike, me qëllim mënjanimin e zgjidhjeve paralele apo të kundërta, për rastet që janë të ngjashme.</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 xml:space="preserve">Rritjen e shkallës së komunikimit dhe të sjelljes së magjistratëve të ardhshëm brenda normave të etikës profesionale. </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 xml:space="preserve">Edukimin e magjistratëve me shprehitë e nevojshme për zbatimin në punën e tyre të parimeve të: </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 xml:space="preserve">pavarësisë; </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paanësisë;</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ndershmërisë profesionale;</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në dhënien e vendimeve dhe shqyrtimin e çështjeve penale e civile.</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Organizimin e praktikës aktive si gjyqtarë dhe prokurorë në vitin e tretë të Shkollës së Magjistraturës.</w:t>
      </w:r>
    </w:p>
    <w:p w:rsidR="00FF271F" w:rsidRPr="00FF271F" w:rsidRDefault="00FF271F" w:rsidP="00FF271F">
      <w:pPr>
        <w:pStyle w:val="My"/>
        <w:spacing w:line="276" w:lineRule="auto"/>
        <w:jc w:val="both"/>
        <w:rPr>
          <w:rFonts w:ascii="Times New Roman" w:hAnsi="Times New Roman" w:cs="Times New Roman"/>
          <w:lang w:val="en-US"/>
        </w:rPr>
      </w:pP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Objektivat e sipërpërmendura gjatë vitit akademik 2017-2018 u realizuan nëpërmjet:</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Mësimdhënies tradicionale me leksione teorike, me kujdesin e shmangies së përsëritjes së njohurive të marra në Fakultetin Juridik.</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Organizimit të debateve juridike lidhur me dispozita të diskutueshme juridike apo boshllëqe ligjore, sqarime termash e shprehjesh, realizime interpretimesh e komentesh ligjore dhe me analizat përkatëse.</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 xml:space="preserve">Diskutimit dhe zgjidhjes së rasteve të nxjerra nga praktika gjyqësore nga kandidatët me grupe pune ose me gjithë auditorin në tërësi. </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Realizimit të gjyqeve imituese, duke ndarë kandidatët në rolin e aktorëve të procesit, si: gjyqtarë, prokurorë, avokatë, ekspertë e të tjera, në mënyrë që të marrin shprehitë e duhura të qëndrimit dhe të menaxhimit të procesit gjyqësor.</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Përgatitjes së eseve, temave dhe materialeve të tjera lidhur me probleme të mprehta të praktikës gjyqësore dhe të jurisprudencës në përgjithësi për të fituar shprehitë e shfrytëzimit të literaturave dhe të burimeve bashkëkohore të internetit.</w:t>
      </w:r>
    </w:p>
    <w:p w:rsid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lastRenderedPageBreak/>
        <w:t>-</w:t>
      </w:r>
      <w:r w:rsidRPr="00FF271F">
        <w:rPr>
          <w:rFonts w:ascii="Times New Roman" w:hAnsi="Times New Roman" w:cs="Times New Roman"/>
          <w:lang w:val="en-US"/>
        </w:rPr>
        <w:tab/>
        <w:t>Organizimit të takimeve dhe të vizitave pranë institucioneve të drejtësisë të të gjitha shkallëve etj.</w:t>
      </w:r>
    </w:p>
    <w:p w:rsidR="00FF271F" w:rsidRDefault="00FF271F" w:rsidP="005F5AE4">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Gjatë vitit akademik 2017 - 2018 në mjediset e Shkollës së Magjistraturës janë përgatitur përkatësisht 56 kandidatë për magjistratë, sipas ndarjes së mëposhtme:</w:t>
      </w:r>
    </w:p>
    <w:p w:rsidR="00F611A4" w:rsidRDefault="00F611A4" w:rsidP="005F5AE4">
      <w:pPr>
        <w:pStyle w:val="My"/>
        <w:spacing w:line="276" w:lineRule="auto"/>
        <w:jc w:val="both"/>
        <w:rPr>
          <w:rFonts w:ascii="Times New Roman" w:hAnsi="Times New Roman" w:cs="Times New Roman"/>
          <w:lang w:val="en-US"/>
        </w:rPr>
      </w:pPr>
    </w:p>
    <w:p w:rsidR="00FF271F" w:rsidRDefault="00813171" w:rsidP="005F5AE4">
      <w:pPr>
        <w:pStyle w:val="My"/>
        <w:spacing w:line="276" w:lineRule="auto"/>
        <w:jc w:val="both"/>
        <w:rPr>
          <w:rFonts w:ascii="Times New Roman" w:hAnsi="Times New Roman" w:cs="Times New Roman"/>
          <w:lang w:val="en-US"/>
        </w:rPr>
      </w:pPr>
      <w:r>
        <w:rPr>
          <w:rFonts w:ascii="Times New Roman" w:hAnsi="Times New Roman" w:cs="Times New Roman"/>
          <w:noProof/>
          <w:lang w:val="en-US" w:eastAsia="en-US"/>
        </w:rPr>
        <w:drawing>
          <wp:inline distT="0" distB="0" distL="0" distR="0">
            <wp:extent cx="3067050" cy="2057400"/>
            <wp:effectExtent l="19050" t="0" r="0" b="0"/>
            <wp:docPr id="9" name="Picture 9" descr="C:\Users\C.R.C\Desktop\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R.C\Desktop\fig.2.jpg"/>
                    <pic:cNvPicPr>
                      <a:picLocks noChangeAspect="1" noChangeArrowheads="1"/>
                    </pic:cNvPicPr>
                  </pic:nvPicPr>
                  <pic:blipFill>
                    <a:blip r:embed="rId11"/>
                    <a:srcRect/>
                    <a:stretch>
                      <a:fillRect/>
                    </a:stretch>
                  </pic:blipFill>
                  <pic:spPr bwMode="auto">
                    <a:xfrm>
                      <a:off x="0" y="0"/>
                      <a:ext cx="3070181" cy="2059500"/>
                    </a:xfrm>
                    <a:prstGeom prst="rect">
                      <a:avLst/>
                    </a:prstGeom>
                    <a:noFill/>
                    <a:ln w="9525">
                      <a:noFill/>
                      <a:miter lim="800000"/>
                      <a:headEnd/>
                      <a:tailEnd/>
                    </a:ln>
                  </pic:spPr>
                </pic:pic>
              </a:graphicData>
            </a:graphic>
          </wp:inline>
        </w:drawing>
      </w:r>
    </w:p>
    <w:p w:rsidR="00FF271F" w:rsidRPr="00813171" w:rsidRDefault="004130C9" w:rsidP="005F5AE4">
      <w:pPr>
        <w:pStyle w:val="My"/>
        <w:spacing w:line="276" w:lineRule="auto"/>
        <w:jc w:val="both"/>
        <w:rPr>
          <w:rFonts w:ascii="Times New Roman" w:hAnsi="Times New Roman" w:cs="Times New Roman"/>
          <w:i/>
          <w:sz w:val="20"/>
          <w:lang w:val="en-US"/>
        </w:rPr>
      </w:pPr>
      <w:r>
        <w:rPr>
          <w:rFonts w:ascii="Times New Roman" w:hAnsi="Times New Roman" w:cs="Times New Roman"/>
          <w:lang w:val="en-US"/>
        </w:rPr>
        <w:t xml:space="preserve">            </w:t>
      </w:r>
      <w:r w:rsidR="00813171" w:rsidRPr="00813171">
        <w:rPr>
          <w:rFonts w:ascii="Times New Roman" w:hAnsi="Times New Roman" w:cs="Times New Roman"/>
          <w:i/>
          <w:sz w:val="20"/>
          <w:lang w:val="en-US"/>
        </w:rPr>
        <w:t>Figura nr. 1 Kandidatët për magjistratë</w:t>
      </w:r>
    </w:p>
    <w:p w:rsidR="00FF271F" w:rsidRDefault="00FF271F" w:rsidP="005F5AE4">
      <w:pPr>
        <w:pStyle w:val="My"/>
        <w:spacing w:line="276" w:lineRule="auto"/>
        <w:jc w:val="both"/>
        <w:rPr>
          <w:rFonts w:ascii="Times New Roman" w:hAnsi="Times New Roman" w:cs="Times New Roman"/>
          <w:lang w:val="en-US"/>
        </w:rPr>
      </w:pPr>
    </w:p>
    <w:p w:rsidR="00FF271F" w:rsidRDefault="00FF271F" w:rsidP="005F5AE4">
      <w:pPr>
        <w:pStyle w:val="My"/>
        <w:spacing w:line="276" w:lineRule="auto"/>
        <w:jc w:val="both"/>
        <w:rPr>
          <w:rFonts w:ascii="Times New Roman" w:hAnsi="Times New Roman" w:cs="Times New Roman"/>
          <w:noProof/>
          <w:lang w:val="en-US" w:eastAsia="en-US"/>
        </w:rPr>
      </w:pPr>
    </w:p>
    <w:p w:rsidR="00FF271F" w:rsidRPr="004130C9" w:rsidRDefault="004130C9" w:rsidP="005F5AE4">
      <w:pPr>
        <w:pStyle w:val="My"/>
        <w:spacing w:line="276" w:lineRule="auto"/>
        <w:jc w:val="both"/>
        <w:rPr>
          <w:rFonts w:ascii="Times New Roman" w:hAnsi="Times New Roman" w:cs="Times New Roman"/>
          <w:b/>
          <w:color w:val="CC9966" w:themeColor="accent2"/>
          <w:sz w:val="32"/>
          <w:lang w:val="en-US"/>
        </w:rPr>
      </w:pPr>
      <w:r w:rsidRPr="004130C9">
        <w:rPr>
          <w:rFonts w:ascii="Times New Roman" w:hAnsi="Times New Roman" w:cs="Times New Roman"/>
          <w:b/>
          <w:color w:val="CC9966" w:themeColor="accent2"/>
          <w:sz w:val="32"/>
          <w:lang w:val="en-US"/>
        </w:rPr>
        <w:t>1.2</w:t>
      </w:r>
      <w:r w:rsidR="009D4032">
        <w:rPr>
          <w:rFonts w:ascii="Times New Roman" w:hAnsi="Times New Roman" w:cs="Times New Roman"/>
          <w:b/>
          <w:color w:val="CC9966" w:themeColor="accent2"/>
          <w:sz w:val="32"/>
          <w:lang w:val="en-US"/>
        </w:rPr>
        <w:t>.</w:t>
      </w:r>
      <w:r w:rsidRPr="004130C9">
        <w:rPr>
          <w:rFonts w:ascii="Times New Roman" w:hAnsi="Times New Roman" w:cs="Times New Roman"/>
          <w:b/>
          <w:color w:val="CC9966" w:themeColor="accent2"/>
          <w:sz w:val="32"/>
          <w:lang w:val="en-US"/>
        </w:rPr>
        <w:t xml:space="preserve"> Realizimi i programit mësimor të Trajnimit Fillestar për vitin akademik 2017-2018</w:t>
      </w:r>
    </w:p>
    <w:p w:rsidR="004130C9" w:rsidRDefault="004130C9" w:rsidP="005F5AE4">
      <w:pPr>
        <w:pStyle w:val="My"/>
        <w:spacing w:line="276" w:lineRule="auto"/>
        <w:jc w:val="both"/>
        <w:rPr>
          <w:rFonts w:ascii="Times New Roman" w:hAnsi="Times New Roman" w:cs="Times New Roman"/>
          <w:noProof/>
          <w:lang w:val="en-US" w:eastAsia="en-US"/>
        </w:rPr>
      </w:pPr>
    </w:p>
    <w:p w:rsidR="004130C9" w:rsidRDefault="004130C9" w:rsidP="005F5AE4">
      <w:pPr>
        <w:pStyle w:val="My"/>
        <w:spacing w:line="276" w:lineRule="auto"/>
        <w:jc w:val="both"/>
        <w:rPr>
          <w:rFonts w:ascii="Times New Roman" w:hAnsi="Times New Roman" w:cs="Times New Roman"/>
          <w:noProof/>
          <w:lang w:val="en-US" w:eastAsia="en-US"/>
        </w:rPr>
      </w:pPr>
      <w:r w:rsidRPr="004130C9">
        <w:rPr>
          <w:rFonts w:ascii="Times New Roman" w:hAnsi="Times New Roman" w:cs="Times New Roman"/>
          <w:noProof/>
          <w:lang w:val="en-US" w:eastAsia="en-US"/>
        </w:rPr>
        <w:drawing>
          <wp:inline distT="0" distB="0" distL="0" distR="0">
            <wp:extent cx="3028950" cy="1485900"/>
            <wp:effectExtent l="1905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lum bright="10000"/>
                    </a:blip>
                    <a:srcRect t="18783"/>
                    <a:stretch>
                      <a:fillRect/>
                    </a:stretch>
                  </pic:blipFill>
                  <pic:spPr>
                    <a:xfrm>
                      <a:off x="0" y="0"/>
                      <a:ext cx="3032760" cy="1487769"/>
                    </a:xfrm>
                    <a:prstGeom prst="rect">
                      <a:avLst/>
                    </a:prstGeom>
                  </pic:spPr>
                </pic:pic>
              </a:graphicData>
            </a:graphic>
          </wp:inline>
        </w:drawing>
      </w:r>
    </w:p>
    <w:p w:rsidR="00FF271F" w:rsidRDefault="004130C9" w:rsidP="005F5AE4">
      <w:pPr>
        <w:pStyle w:val="My"/>
        <w:spacing w:line="276" w:lineRule="auto"/>
        <w:jc w:val="both"/>
        <w:rPr>
          <w:rFonts w:ascii="Times New Roman" w:hAnsi="Times New Roman" w:cs="Times New Roman"/>
          <w:i/>
          <w:sz w:val="20"/>
          <w:lang w:val="en-US"/>
        </w:rPr>
      </w:pPr>
      <w:r>
        <w:rPr>
          <w:rFonts w:ascii="Times New Roman" w:hAnsi="Times New Roman" w:cs="Times New Roman"/>
          <w:noProof/>
          <w:lang w:val="en-US" w:eastAsia="en-US"/>
        </w:rPr>
        <w:t xml:space="preserve"> </w:t>
      </w:r>
      <w:r>
        <w:rPr>
          <w:rFonts w:ascii="Times New Roman" w:hAnsi="Times New Roman" w:cs="Times New Roman"/>
          <w:i/>
          <w:sz w:val="20"/>
          <w:lang w:val="en-US"/>
        </w:rPr>
        <w:t xml:space="preserve">Figura nr.2 </w:t>
      </w:r>
      <w:r w:rsidRPr="004130C9">
        <w:rPr>
          <w:rFonts w:ascii="Times New Roman" w:hAnsi="Times New Roman" w:cs="Times New Roman"/>
          <w:i/>
          <w:sz w:val="20"/>
          <w:lang w:val="en-US"/>
        </w:rPr>
        <w:t>Faza e parë e provimit të pranimit  21.4.2017</w:t>
      </w:r>
    </w:p>
    <w:p w:rsidR="004130C9" w:rsidRPr="004130C9" w:rsidRDefault="004130C9" w:rsidP="005F5AE4">
      <w:pPr>
        <w:pStyle w:val="My"/>
        <w:spacing w:line="276" w:lineRule="auto"/>
        <w:jc w:val="both"/>
        <w:rPr>
          <w:rFonts w:ascii="Times New Roman" w:hAnsi="Times New Roman" w:cs="Times New Roman"/>
          <w:i/>
          <w:sz w:val="20"/>
          <w:lang w:val="en-US"/>
        </w:rPr>
      </w:pPr>
    </w:p>
    <w:p w:rsidR="004130C9" w:rsidRDefault="004130C9" w:rsidP="005F5AE4">
      <w:pPr>
        <w:pStyle w:val="My"/>
        <w:spacing w:line="276" w:lineRule="auto"/>
        <w:jc w:val="both"/>
        <w:rPr>
          <w:rFonts w:ascii="Times New Roman" w:hAnsi="Times New Roman" w:cs="Times New Roman"/>
          <w:lang w:val="en-US"/>
        </w:rPr>
      </w:pPr>
    </w:p>
    <w:p w:rsidR="004130C9" w:rsidRPr="004130C9" w:rsidRDefault="009D4032" w:rsidP="004130C9">
      <w:pPr>
        <w:pStyle w:val="My"/>
        <w:spacing w:line="276" w:lineRule="auto"/>
        <w:jc w:val="both"/>
        <w:rPr>
          <w:rFonts w:ascii="Times New Roman" w:hAnsi="Times New Roman" w:cs="Times New Roman"/>
          <w:b/>
          <w:color w:val="CC9966" w:themeColor="accent2"/>
          <w:sz w:val="28"/>
          <w:lang w:val="en-US"/>
        </w:rPr>
      </w:pPr>
      <w:r>
        <w:rPr>
          <w:rFonts w:ascii="Times New Roman" w:hAnsi="Times New Roman" w:cs="Times New Roman"/>
          <w:b/>
          <w:color w:val="CC9966" w:themeColor="accent2"/>
          <w:sz w:val="28"/>
          <w:lang w:val="en-US"/>
        </w:rPr>
        <w:t>1.2.1.</w:t>
      </w:r>
      <w:r w:rsidR="004130C9" w:rsidRPr="004130C9">
        <w:rPr>
          <w:rFonts w:ascii="Times New Roman" w:hAnsi="Times New Roman" w:cs="Times New Roman"/>
          <w:b/>
          <w:color w:val="CC9966" w:themeColor="accent2"/>
          <w:sz w:val="28"/>
          <w:lang w:val="en-US"/>
        </w:rPr>
        <w:t xml:space="preserve"> Mbi provimin e pranimit në Shkollën e Magjistraturës për vitin akademik 2017-2018</w:t>
      </w:r>
    </w:p>
    <w:p w:rsidR="004130C9" w:rsidRDefault="004130C9" w:rsidP="005F5AE4">
      <w:pPr>
        <w:pStyle w:val="My"/>
        <w:spacing w:line="276" w:lineRule="auto"/>
        <w:jc w:val="both"/>
        <w:rPr>
          <w:rFonts w:ascii="Times New Roman" w:hAnsi="Times New Roman" w:cs="Times New Roman"/>
          <w:lang w:val="en-US"/>
        </w:rPr>
      </w:pPr>
    </w:p>
    <w:p w:rsidR="004130C9" w:rsidRPr="004130C9" w:rsidRDefault="004130C9" w:rsidP="004130C9">
      <w:pPr>
        <w:pStyle w:val="My"/>
        <w:spacing w:line="276" w:lineRule="auto"/>
        <w:jc w:val="both"/>
        <w:rPr>
          <w:rFonts w:ascii="Times New Roman" w:hAnsi="Times New Roman" w:cs="Times New Roman"/>
          <w:lang w:val="en-US"/>
        </w:rPr>
      </w:pPr>
      <w:r w:rsidRPr="004130C9">
        <w:rPr>
          <w:rFonts w:ascii="Times New Roman" w:hAnsi="Times New Roman" w:cs="Times New Roman"/>
          <w:lang w:val="en-US"/>
        </w:rPr>
        <w:t xml:space="preserve">Në zbatim të ligjit nr. 115/2016, “Për organet e qeverisjes së sistemit të drejtësisë”, ligjit nr. </w:t>
      </w:r>
      <w:r w:rsidRPr="004130C9">
        <w:rPr>
          <w:rFonts w:ascii="Times New Roman" w:hAnsi="Times New Roman" w:cs="Times New Roman"/>
          <w:lang w:val="en-US"/>
        </w:rPr>
        <w:t>96/2016, “Për statusin e gjyqtarëve dhe prokurorëve në Republikën e Shqipërisë”, si dhe ligjit nr. 84/2016, “Për rivlerësimin kalimtar të gjyqtarëve dhe prokurorëve në Republikën e Shqipërisë”, Shkolla e Magjistraturës zhvilloi provimin e pranimit për vitin akademik 2017-2018.</w:t>
      </w:r>
    </w:p>
    <w:p w:rsidR="004130C9" w:rsidRPr="004130C9" w:rsidRDefault="004130C9" w:rsidP="004130C9">
      <w:pPr>
        <w:pStyle w:val="My"/>
        <w:spacing w:line="276" w:lineRule="auto"/>
        <w:jc w:val="both"/>
        <w:rPr>
          <w:rFonts w:ascii="Times New Roman" w:hAnsi="Times New Roman" w:cs="Times New Roman"/>
          <w:lang w:val="en-US"/>
        </w:rPr>
      </w:pPr>
      <w:r w:rsidRPr="004130C9">
        <w:rPr>
          <w:rFonts w:ascii="Times New Roman" w:hAnsi="Times New Roman" w:cs="Times New Roman"/>
          <w:lang w:val="en-US"/>
        </w:rPr>
        <w:t>Këshilli Drejtues i Shkollës së Magjistraturës i mbledhur më datë 31.1.2017, pasi shqyrtoi situatën e krijuar me hyrjen në fuqi të ligjeve të sipërcituara, miratoi Rregulloren e Brendshme me të gjitha ndryshimet dhe risitë që solli reforma në drejtësi në lidhje me veprimtarinë e SHM-së në përgjithësi dhe procesin e rekrutimit në veçanti.</w:t>
      </w:r>
    </w:p>
    <w:p w:rsidR="004130C9" w:rsidRPr="004130C9" w:rsidRDefault="004130C9" w:rsidP="004130C9">
      <w:pPr>
        <w:pStyle w:val="My"/>
        <w:spacing w:line="276" w:lineRule="auto"/>
        <w:jc w:val="both"/>
        <w:rPr>
          <w:rFonts w:ascii="Times New Roman" w:hAnsi="Times New Roman" w:cs="Times New Roman"/>
          <w:lang w:val="en-US"/>
        </w:rPr>
      </w:pPr>
      <w:r w:rsidRPr="004130C9">
        <w:rPr>
          <w:rFonts w:ascii="Times New Roman" w:hAnsi="Times New Roman" w:cs="Times New Roman"/>
          <w:lang w:val="en-US"/>
        </w:rPr>
        <w:t xml:space="preserve">Me vendimin nr. 2, datë 31.1.2017, të Këshillit Drejtues dhe në zbatim të nenit 68, të ligjit nr. 84/2016 dhe nenit 285 të ligjit nr. 115/2016 dhe në mungesë të një marrëveshjeje midis dy organeve kompetente KLD dhe Prokurori e Përgjithshme, për ndarjen e profileve, Këshilli Drejtues vendosi mbi fillimin e procedurave të provimit të pranimit për vitin akademik 2017-2018, numri i vendeve vakante 25 kandidatë, të ndarë sipas profileve: 15 gjyqtarë dhe 10 prokurorë.  </w:t>
      </w:r>
    </w:p>
    <w:p w:rsidR="004130C9" w:rsidRPr="004130C9" w:rsidRDefault="004130C9" w:rsidP="004130C9">
      <w:pPr>
        <w:pStyle w:val="My"/>
        <w:spacing w:line="276" w:lineRule="auto"/>
        <w:jc w:val="both"/>
        <w:rPr>
          <w:rFonts w:ascii="Times New Roman" w:hAnsi="Times New Roman" w:cs="Times New Roman"/>
          <w:lang w:val="en-US"/>
        </w:rPr>
      </w:pPr>
      <w:r w:rsidRPr="004130C9">
        <w:rPr>
          <w:rFonts w:ascii="Times New Roman" w:hAnsi="Times New Roman" w:cs="Times New Roman"/>
          <w:lang w:val="en-US"/>
        </w:rPr>
        <w:t xml:space="preserve">Në datën 1.2.2017 Shkolla e Magjistraturës publikoi njoftimin për zhvillimin e provimit të pranimit, kriteret e pranimit dhe periudhën e regjistrimit. Ky njoftim u bë publik në faqen e internetit të Shkollës së Magjistraturës www.magjistratura.edu.al dhe në dy gazeta me tirazh të madh. </w:t>
      </w:r>
    </w:p>
    <w:p w:rsidR="004130C9" w:rsidRPr="004130C9" w:rsidRDefault="004130C9" w:rsidP="004130C9">
      <w:pPr>
        <w:pStyle w:val="My"/>
        <w:spacing w:line="276" w:lineRule="auto"/>
        <w:jc w:val="both"/>
        <w:rPr>
          <w:rFonts w:ascii="Times New Roman" w:hAnsi="Times New Roman" w:cs="Times New Roman"/>
          <w:lang w:val="en-US"/>
        </w:rPr>
      </w:pPr>
      <w:r w:rsidRPr="004130C9">
        <w:rPr>
          <w:rFonts w:ascii="Times New Roman" w:hAnsi="Times New Roman" w:cs="Times New Roman"/>
          <w:lang w:val="en-US"/>
        </w:rPr>
        <w:t>Në zbatim të nenit 30 të ligjit nr. 96/2016, periudha për t’u regjistruar ishte 1 - 27 shkurt 2017. U regjistruan gjithsej 82 konkurrentë të diplomuar në Universitetet e Drejtësisë, publike dhe private, të akredituara, brenda Shqipërisë dhe në Universitetet e tjera jashtë saj, pas ekuivalentimit të tyre nga Ministria e Arsimit dhe e Sportit.</w:t>
      </w:r>
      <w:r w:rsidR="00D0460F">
        <w:rPr>
          <w:rFonts w:ascii="Times New Roman" w:hAnsi="Times New Roman" w:cs="Times New Roman"/>
          <w:lang w:val="en-US"/>
        </w:rPr>
        <w:t xml:space="preserve"> </w:t>
      </w:r>
      <w:r w:rsidRPr="004130C9">
        <w:rPr>
          <w:rFonts w:ascii="Times New Roman" w:hAnsi="Times New Roman" w:cs="Times New Roman"/>
          <w:lang w:val="en-US"/>
        </w:rPr>
        <w:t xml:space="preserve">Në datë 21.3.2017, komisioni i verifikimit të dokumentacionit të regjistrimit në </w:t>
      </w:r>
      <w:r w:rsidRPr="004130C9">
        <w:rPr>
          <w:rFonts w:ascii="Times New Roman" w:hAnsi="Times New Roman" w:cs="Times New Roman"/>
          <w:lang w:val="en-US"/>
        </w:rPr>
        <w:lastRenderedPageBreak/>
        <w:t xml:space="preserve">konkursin e pranimit, publikoi në faqen e internetit të Shkollës listën e aplikantëve, që plotësonin kriteret për pjesëmarrje në këtë konkurs. </w:t>
      </w:r>
    </w:p>
    <w:p w:rsidR="004130C9" w:rsidRPr="004130C9" w:rsidRDefault="004130C9" w:rsidP="004130C9">
      <w:pPr>
        <w:pStyle w:val="My"/>
        <w:spacing w:line="276" w:lineRule="auto"/>
        <w:jc w:val="both"/>
        <w:rPr>
          <w:rFonts w:ascii="Times New Roman" w:hAnsi="Times New Roman" w:cs="Times New Roman"/>
          <w:lang w:val="en-US"/>
        </w:rPr>
      </w:pPr>
      <w:r w:rsidRPr="004130C9">
        <w:rPr>
          <w:rFonts w:ascii="Times New Roman" w:hAnsi="Times New Roman" w:cs="Times New Roman"/>
          <w:lang w:val="en-US"/>
        </w:rPr>
        <w:t>Në datën 19.4.2017, në mjediset e Shkollës u zhvillua procesi i trajnimit të aplikantëve në lidhje me rregullat e provimit në përgjithësi dhe në veçanti të fazës së parë, për mënyrën e plotësimit të fletës, si dhe të vlerësimit i cili bëhet në formë elektronike me anë të pajisjes scan-tron.</w:t>
      </w:r>
    </w:p>
    <w:p w:rsidR="004130C9" w:rsidRPr="004130C9" w:rsidRDefault="004130C9" w:rsidP="004130C9">
      <w:pPr>
        <w:pStyle w:val="My"/>
        <w:spacing w:line="276" w:lineRule="auto"/>
        <w:jc w:val="both"/>
        <w:rPr>
          <w:rFonts w:ascii="Times New Roman" w:hAnsi="Times New Roman" w:cs="Times New Roman"/>
          <w:lang w:val="en-US"/>
        </w:rPr>
      </w:pPr>
      <w:r w:rsidRPr="004130C9">
        <w:rPr>
          <w:rFonts w:ascii="Times New Roman" w:hAnsi="Times New Roman" w:cs="Times New Roman"/>
          <w:lang w:val="en-US"/>
        </w:rPr>
        <w:t>Këshilli Drejtues i Shkollës së Magjistraturës, me vendimin nr. 7, datë 20.4.2017 miratoi Komisionin Administrator të provimit të pranimit për vitin 2017 - 2018.</w:t>
      </w:r>
    </w:p>
    <w:p w:rsidR="004130C9" w:rsidRPr="004130C9" w:rsidRDefault="004130C9" w:rsidP="004130C9">
      <w:pPr>
        <w:pStyle w:val="My"/>
        <w:spacing w:line="276" w:lineRule="auto"/>
        <w:jc w:val="both"/>
        <w:rPr>
          <w:rFonts w:ascii="Times New Roman" w:hAnsi="Times New Roman" w:cs="Times New Roman"/>
          <w:lang w:val="en-US"/>
        </w:rPr>
      </w:pPr>
      <w:r w:rsidRPr="004130C9">
        <w:rPr>
          <w:rFonts w:ascii="Times New Roman" w:hAnsi="Times New Roman" w:cs="Times New Roman"/>
          <w:lang w:val="en-US"/>
        </w:rPr>
        <w:t>Duke pasur në vëmendje ndryshimet në Kushtetutën e Republikës së Shqipërisë, Kodin e Procedurave Administrative dhe rregullimet e reja mbi Etikën dhe Sjelljen e Prokurorëve, Drejtoria e Shkollës ngriti grupin e punës për rishikimin  e tezave të provimit për këto lëndë. Për secilën fushë u hartuan jo më shumë se 30 teza, sipas modelit të miratuar nga Këshilli Drejtues.</w:t>
      </w:r>
    </w:p>
    <w:p w:rsidR="004130C9" w:rsidRPr="004130C9" w:rsidRDefault="004130C9" w:rsidP="004130C9">
      <w:pPr>
        <w:pStyle w:val="My"/>
        <w:spacing w:line="276" w:lineRule="auto"/>
        <w:jc w:val="both"/>
        <w:rPr>
          <w:rFonts w:ascii="Times New Roman" w:hAnsi="Times New Roman" w:cs="Times New Roman"/>
          <w:lang w:val="en-US"/>
        </w:rPr>
      </w:pPr>
      <w:r w:rsidRPr="004130C9">
        <w:rPr>
          <w:rFonts w:ascii="Times New Roman" w:hAnsi="Times New Roman" w:cs="Times New Roman"/>
          <w:lang w:val="en-US"/>
        </w:rPr>
        <w:t>Provimi i pranimit u zhvillua në datat: 21.4.2017 faza e parë dhe 27.4.2017 faza e dytë, pranë Akademisë së Sigurisë, Sauk, Tiranë.</w:t>
      </w:r>
    </w:p>
    <w:p w:rsidR="004130C9" w:rsidRDefault="004130C9" w:rsidP="004130C9">
      <w:pPr>
        <w:pStyle w:val="My"/>
        <w:spacing w:line="276" w:lineRule="auto"/>
        <w:jc w:val="both"/>
        <w:rPr>
          <w:rFonts w:ascii="Times New Roman" w:hAnsi="Times New Roman" w:cs="Times New Roman"/>
          <w:lang w:val="en-US"/>
        </w:rPr>
      </w:pPr>
      <w:r w:rsidRPr="004130C9">
        <w:rPr>
          <w:rFonts w:ascii="Times New Roman" w:hAnsi="Times New Roman" w:cs="Times New Roman"/>
          <w:lang w:val="en-US"/>
        </w:rPr>
        <w:t>Monitorimi dhe survejimi i kandidatëve gjatë provimit u realizua nga një ekip i përbërë nga monitorues të huaj dhe vendas, jo juristë. Në këtë proces asistuan përfaqësues nga Këshilli i Europës, OSBE, EURALIUS, OPDAT.</w:t>
      </w:r>
    </w:p>
    <w:p w:rsidR="00D0460F" w:rsidRDefault="00D0460F" w:rsidP="004130C9">
      <w:pPr>
        <w:pStyle w:val="My"/>
        <w:spacing w:line="276" w:lineRule="auto"/>
        <w:jc w:val="both"/>
        <w:rPr>
          <w:rFonts w:ascii="Times New Roman" w:hAnsi="Times New Roman" w:cs="Times New Roman"/>
          <w:lang w:val="en-US"/>
        </w:rPr>
      </w:pPr>
    </w:p>
    <w:p w:rsidR="00D0460F" w:rsidRPr="00D0460F" w:rsidRDefault="00D0460F" w:rsidP="00D0460F">
      <w:pPr>
        <w:pStyle w:val="My"/>
        <w:spacing w:line="276" w:lineRule="auto"/>
        <w:jc w:val="both"/>
        <w:rPr>
          <w:rFonts w:ascii="Times New Roman" w:hAnsi="Times New Roman" w:cs="Times New Roman"/>
          <w:b/>
          <w:lang w:val="en-US"/>
        </w:rPr>
      </w:pPr>
      <w:r w:rsidRPr="00D0460F">
        <w:rPr>
          <w:rFonts w:ascii="Times New Roman" w:hAnsi="Times New Roman" w:cs="Times New Roman"/>
          <w:b/>
          <w:lang w:val="en-US"/>
        </w:rPr>
        <w:t>1.</w:t>
      </w:r>
      <w:r w:rsidRPr="00D0460F">
        <w:rPr>
          <w:rFonts w:ascii="Times New Roman" w:hAnsi="Times New Roman" w:cs="Times New Roman"/>
          <w:b/>
          <w:lang w:val="en-US"/>
        </w:rPr>
        <w:tab/>
        <w:t>Faza e parë e provimit - Testi i përgjithshëm</w:t>
      </w:r>
      <w:r w:rsidRPr="00D0460F">
        <w:rPr>
          <w:rFonts w:ascii="Times New Roman" w:hAnsi="Times New Roman" w:cs="Times New Roman"/>
          <w:b/>
          <w:lang w:val="en-US"/>
        </w:rPr>
        <w:tab/>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 xml:space="preserve">Teza përmban 100 pyetje, e përbërë nga 9 rubrika, nga fusha të ndryshme të së drejtës, test inteligjence, apo pyetje të tjera të karakterit të përgjithshëm, si edhe nga gjuha shqipe, e cila ka 20 pikë. Tezat e çdo rubrike ishin vendosur në zarfe (9 zarfe gjithsej). Teza e rënë në këtë fazë u përzgjodh nga konkurrentët në sallë, në mënyrë </w:t>
      </w:r>
      <w:r w:rsidRPr="00D0460F">
        <w:rPr>
          <w:rFonts w:ascii="Times New Roman" w:hAnsi="Times New Roman" w:cs="Times New Roman"/>
          <w:lang w:val="en-US"/>
        </w:rPr>
        <w:t xml:space="preserve">rastësore, për çdo rubrikë. Pyetjet u lexuan publikisht para kandidatëve dhe pasi u formua teza me 100 pyetje u fotokopjua në prani të tyre në sallën e provimit. Teza ishte e njëjtë për të gjithë. Kjo fazë kishte natyrë kualifikuese dhe vlerësimi u bë elektronik. </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Testi zgjati 2.5 orë dhe morën pjesë 77 kandidatë. Përgjigjet në mënyrë skematike pa fjalë sipas teknikës së scan-tron-it në përfundim u lexuan nga pajisja  scan-tron në mënyrë elektronike dhe u shpallën fitues 50 kandidatë të cilët morën jo më pak se 60% të pikëve në total.</w:t>
      </w:r>
    </w:p>
    <w:p w:rsidR="00D0460F" w:rsidRPr="00D0460F" w:rsidRDefault="00D0460F" w:rsidP="00D0460F">
      <w:pPr>
        <w:pStyle w:val="My"/>
        <w:spacing w:line="276" w:lineRule="auto"/>
        <w:jc w:val="both"/>
        <w:rPr>
          <w:rFonts w:ascii="Times New Roman" w:hAnsi="Times New Roman" w:cs="Times New Roman"/>
          <w:lang w:val="en-US"/>
        </w:rPr>
      </w:pPr>
    </w:p>
    <w:p w:rsidR="00D0460F" w:rsidRPr="00D0460F" w:rsidRDefault="00D0460F" w:rsidP="00D0460F">
      <w:pPr>
        <w:pStyle w:val="My"/>
        <w:spacing w:line="276" w:lineRule="auto"/>
        <w:jc w:val="both"/>
        <w:rPr>
          <w:rFonts w:ascii="Times New Roman" w:hAnsi="Times New Roman" w:cs="Times New Roman"/>
          <w:b/>
          <w:lang w:val="en-US"/>
        </w:rPr>
      </w:pPr>
      <w:r w:rsidRPr="00D0460F">
        <w:rPr>
          <w:rFonts w:ascii="Times New Roman" w:hAnsi="Times New Roman" w:cs="Times New Roman"/>
          <w:b/>
          <w:lang w:val="en-US"/>
        </w:rPr>
        <w:t>2.</w:t>
      </w:r>
      <w:r w:rsidRPr="00D0460F">
        <w:rPr>
          <w:rFonts w:ascii="Times New Roman" w:hAnsi="Times New Roman" w:cs="Times New Roman"/>
          <w:b/>
          <w:lang w:val="en-US"/>
        </w:rPr>
        <w:tab/>
        <w:t xml:space="preserve">Faza e dytë e provimit - Testi profesional      </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 xml:space="preserve">Pas shpalljes publike në datë 21.4.2017, të rezultateve të fazës së parë, të listës së konkurrentëve të kualifikuar për fazën e dytë, u njoftua data dhe vendi i zhvillimit të fazës së dytë të provimit datë 27.4.2017 pranë Akademisë së Sigurisë, Sauk.                                                              </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Shkolla e Magjistraturës kishte krijuar një fond prej gati 3000 pyetjesh/tezash, të cilat u futën në 7 zarfe. Teza u konceptua me pesë pyetje teorike nga fushat më të rëndësishme të së drejtës dhe dy kazuse praktike. Në provim çdo zarf, (përmbante tezat e një fushe), ku u zgjodhën pyetjet e provimit në mënyrë rastësore nga kandidatët në sallë që dolën vullnetarisht për të tërhequr tezat. Pyetjet u lexuan publikisht para kandidatëve. Tezat u fotokopjuan në sallë.</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Kohëzgjatja e provimit ishte 4 orë dhe morën pjesë 50 kandidatët të cilët u kualifikuan nga faza e parë (scan-tron).</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 xml:space="preserve">Pyetjet e provimit të testit profesional ishin të njëjta për të gjithë konkurruesit dhe u caktuan me short të hedhur nga një ose disa konkurrues, për secilin grup pyetjesh të ndara sipas fushave. </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 xml:space="preserve">Me mbarimin e fazës së dytë të konkursit, në bashkëpunim me monitoruesit ndërkombëtarë u realizua faza e sekretimit të zarfeve të mëdhenj dhe të vegjël që mbanin emrin e kandidatëve të </w:t>
      </w:r>
      <w:r w:rsidRPr="00D0460F">
        <w:rPr>
          <w:rFonts w:ascii="Times New Roman" w:hAnsi="Times New Roman" w:cs="Times New Roman"/>
          <w:lang w:val="en-US"/>
        </w:rPr>
        <w:lastRenderedPageBreak/>
        <w:t xml:space="preserve">mbyllur dhe vulosur në prani të tyre. Kutitë me zarfet e sekretuara u dërguan pranë zyrave të OSBE-së. </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Po atë ditë që u zhvillua faza e dytë e provimit, pas përfundimit të tij, Këshilli Drejtues i Shkollës, me vendimin nr. 11, datë 28.4.2017, miratoi anëtarët e Komisionit të Vlerësimit të përgjigjeve të provimit të përbërë nga 7 anëtarë, të cilët u propozuan nga Drejtori i Shkollës nga radhët e pedagogëve të brendshëm dhe të jashtëm të Shkollës, këta të fundit me eksperiencë, jo më pak se 5 vjet mësimdhënie në Shkollën e Magjistraturës.</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 xml:space="preserve">Çdo anëtar i komisionit dorëzoi vlerësimet me pikët për çdo numër sekretimi të pyetjes që korrigjoi. Shkolla bëri publike për kandidatët rezultatet e vlerësimit me pikë për çdo numër sekretimi. Korrigjimi u realizua nga data 2 maj deri në 4 maj 2017. </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Pas daljes së rezultateve sipas numrave të sekretimit, u njoftuan kandidatët konkurrues që të paraqiteshin në Shkollë në një orar të caktuar, për të zhvilluar në mënyrë sa më transparente procedurën e përputhjes së numrave me emrat, për të mësuar renditjen e tyre sipas pikëve. Një përfaqësues i OSBE-së solli në Shkollë, kutitë me zarfet e vegjël të emrave (që nuk dolën asnjëherë që nga dita e provimit nga selia e OSBE-së). Në këtë moment u zhvillua në prani të kandidatëve të provimit hyrës procedura e hapjes së zarfeve të vegjël për të mësuar emrat e fituesve, duke lexuar me zë të lartë emrat e pjesëmarrësve.</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 xml:space="preserve">Radhitja e rezultateve përfundimtare sipas hierarkisë së pikëve, u shpall publikisht e afishuar në mjediset e Shkollës, që në atë moment. Nga 50 kandidatë që konkurruan në këtë fazë, u shpallën fitues vetëm 15 prej tyre pavarësisht numrit 25 të miratuar, kjo në zbatim të ligjit nr. 115/2016 dhe Rregullores së Brendshme të Shkollës së Magjistraturës. Këta kandidatë u kualifikuan me pikët më të larta në </w:t>
      </w:r>
      <w:r w:rsidRPr="00D0460F">
        <w:rPr>
          <w:rFonts w:ascii="Times New Roman" w:hAnsi="Times New Roman" w:cs="Times New Roman"/>
          <w:lang w:val="en-US"/>
        </w:rPr>
        <w:t>rend zbritës (deri në 60% të pikëve të marra nga ky testim), pavarësisht limitit të vendeve të shpallura vakante.</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 xml:space="preserve">15 kandidatë u kualifikuan me mbi 60% të pikëve totale. </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Pas përfundimit të kësaj procedure Këshilli Drejtues i Shkollës pasi u njoh me rezultatet e testimit dhe ankesat e secilit prej kandidatëve miratoi listën e rezultateve të testimit profesional, e cila u bë publike në mjediset e Shkollës dhe në faqen e saj të internetit.</w:t>
      </w:r>
    </w:p>
    <w:p w:rsidR="00D0460F" w:rsidRPr="00D0460F" w:rsidRDefault="00D0460F" w:rsidP="00D0460F">
      <w:pPr>
        <w:pStyle w:val="My"/>
        <w:spacing w:line="276" w:lineRule="auto"/>
        <w:jc w:val="both"/>
        <w:rPr>
          <w:rFonts w:ascii="Times New Roman" w:hAnsi="Times New Roman" w:cs="Times New Roman"/>
          <w:lang w:val="en-US"/>
        </w:rPr>
      </w:pPr>
    </w:p>
    <w:p w:rsidR="00D0460F" w:rsidRPr="00D0460F" w:rsidRDefault="00D0460F" w:rsidP="00D0460F">
      <w:pPr>
        <w:pStyle w:val="My"/>
        <w:spacing w:line="276" w:lineRule="auto"/>
        <w:jc w:val="both"/>
        <w:rPr>
          <w:rFonts w:ascii="Times New Roman" w:hAnsi="Times New Roman" w:cs="Times New Roman"/>
          <w:b/>
          <w:lang w:val="en-US"/>
        </w:rPr>
      </w:pPr>
      <w:r w:rsidRPr="00D0460F">
        <w:rPr>
          <w:rFonts w:ascii="Times New Roman" w:hAnsi="Times New Roman" w:cs="Times New Roman"/>
          <w:b/>
          <w:lang w:val="en-US"/>
        </w:rPr>
        <w:t>3.</w:t>
      </w:r>
      <w:r w:rsidRPr="00D0460F">
        <w:rPr>
          <w:rFonts w:ascii="Times New Roman" w:hAnsi="Times New Roman" w:cs="Times New Roman"/>
          <w:b/>
          <w:lang w:val="en-US"/>
        </w:rPr>
        <w:tab/>
        <w:t>Testimi i shëndetit mendor dhe psikologjik</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 xml:space="preserve">Me vendimin nr. 13, datë 9.5.2017, Këshilli Drejtues i Shkollës miratoi Komisionin e Testimit të Shëndetit Mendor dhe Psikologjik, (referuar dhe listës me emrat e psikologëve dhe psikiatërve të miratuar paraprakisht nga Ministria e Drejtësisë), i përbërë nga dy psikologë, dy psikiatër dhe një pedagog i brendshëm me rolin e vëzhguesit nga Shkolla e Magjistraturës. </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 xml:space="preserve">Ky testim u realizua me shkrim dhe me gojë, u realizua në 4 ditë dhe rezultatet e tij iu bënë me dije Komisionit Administrator dhe Këshillit Drejtues të Shkollës. </w:t>
      </w:r>
    </w:p>
    <w:p w:rsid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Kandidatët për magjistratë u testuan mbi aftësitë psikologjike të tyre, mbi vlerësimin e përshtatshmërisë së tyre me profesionin dhe jo mbi gjendjen e tyre shëndetësore.</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Testi u zhvillua me shkrim dhe me gojë, nëpërmjet vlerësimit të funksionimit në grup dhe vlerësimit të një interviste individuale.</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Këshilli Drejtues me vendimin nr. 14, datë 15.5.2017, shpalli listën me rezultatet përfundimtare, sipas të cilës u shpallën fitues 15 kandidatë për magjistratë, për të ndjekur studimet në vitin akademik 2017-2018.</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 xml:space="preserve">Gjatë vitit akademik 2017-2018, Shkolla e Magjistraturës realizoi Programin Mësimor të Trajnimit Fillestar për vitin e parë, të dytë dhe të tretë. </w:t>
      </w:r>
    </w:p>
    <w:p w:rsidR="004130C9" w:rsidRDefault="00CF3AE0" w:rsidP="00D0460F">
      <w:pPr>
        <w:pStyle w:val="My"/>
        <w:spacing w:line="276" w:lineRule="auto"/>
        <w:jc w:val="both"/>
        <w:rPr>
          <w:rFonts w:ascii="Times New Roman" w:hAnsi="Times New Roman" w:cs="Times New Roman"/>
          <w:lang w:val="en-US"/>
        </w:rPr>
      </w:pPr>
      <w:r>
        <w:rPr>
          <w:rFonts w:ascii="Times New Roman" w:hAnsi="Times New Roman" w:cs="Times New Roman"/>
          <w:lang w:val="en-US"/>
        </w:rPr>
        <w:lastRenderedPageBreak/>
        <w:pict>
          <v:rect id="_x0000_s1050" style="position:absolute;left:0;text-align:left;margin-left:283.5pt;margin-top:31.85pt;width:233.35pt;height:447.4pt;z-index:2517160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" fillcolor="#4f81bd" stroked="f" strokeweight="2pt">
            <v:fill opacity="12336f"/>
            <v:textbox style="mso-next-textbox:#_x0000_s1050" inset="21.6pt,21.6pt,21.6pt,21.6pt">
              <w:txbxContent>
                <w:p w:rsidR="005372E3" w:rsidRDefault="005372E3" w:rsidP="00B02831">
                  <w:pPr>
                    <w:jc w:val="both"/>
                    <w:rPr>
                      <w:rFonts w:ascii="Arial" w:hAnsi="Arial" w:cs="Arial"/>
                      <w:b/>
                      <w:color w:val="CC9966" w:themeColor="accent2"/>
                      <w:sz w:val="36"/>
                    </w:rPr>
                  </w:pPr>
                  <w:r>
                    <w:rPr>
                      <w:rFonts w:ascii="Arial" w:hAnsi="Arial" w:cs="Arial"/>
                      <w:b/>
                      <w:color w:val="CC9966" w:themeColor="accent2"/>
                      <w:sz w:val="36"/>
                    </w:rPr>
                    <w:t>Grupi i par</w:t>
                  </w:r>
                  <w:r w:rsidRPr="00B02831">
                    <w:rPr>
                      <w:rFonts w:ascii="Arial" w:hAnsi="Arial" w:cs="Arial"/>
                      <w:b/>
                      <w:color w:val="CC9966" w:themeColor="accent2"/>
                      <w:sz w:val="36"/>
                    </w:rPr>
                    <w:t>ë</w:t>
                  </w:r>
                  <w:r>
                    <w:rPr>
                      <w:rFonts w:ascii="Arial" w:hAnsi="Arial" w:cs="Arial"/>
                      <w:b/>
                      <w:color w:val="CC9966" w:themeColor="accent2"/>
                      <w:sz w:val="36"/>
                    </w:rPr>
                    <w:t>:</w:t>
                  </w:r>
                </w:p>
                <w:p w:rsidR="005372E3" w:rsidRPr="00B02831" w:rsidRDefault="005372E3" w:rsidP="00B02831">
                  <w:pPr>
                    <w:jc w:val="both"/>
                    <w:rPr>
                      <w:rFonts w:ascii="Arial" w:hAnsi="Arial" w:cs="Arial"/>
                      <w:b/>
                      <w:color w:val="CC9966" w:themeColor="accent2"/>
                      <w:sz w:val="36"/>
                    </w:rPr>
                  </w:pPr>
                </w:p>
                <w:p w:rsidR="005372E3" w:rsidRPr="00B02831" w:rsidRDefault="005372E3" w:rsidP="00B02831">
                  <w:pPr>
                    <w:jc w:val="both"/>
                    <w:rPr>
                      <w:rFonts w:ascii="Arial" w:hAnsi="Arial" w:cs="Arial"/>
                    </w:rPr>
                  </w:pPr>
                  <w:r w:rsidRPr="00B02831">
                    <w:rPr>
                      <w:rFonts w:ascii="Arial" w:hAnsi="Arial" w:cs="Arial"/>
                    </w:rPr>
                    <w:t>1.</w:t>
                  </w:r>
                  <w:r w:rsidRPr="00B02831">
                    <w:rPr>
                      <w:rFonts w:ascii="Arial" w:hAnsi="Arial" w:cs="Arial"/>
                    </w:rPr>
                    <w:tab/>
                    <w:t>E drejta civile</w:t>
                  </w:r>
                </w:p>
                <w:p w:rsidR="005372E3" w:rsidRPr="00B02831" w:rsidRDefault="005372E3" w:rsidP="00B02831">
                  <w:pPr>
                    <w:jc w:val="both"/>
                    <w:rPr>
                      <w:rFonts w:ascii="Arial" w:hAnsi="Arial" w:cs="Arial"/>
                    </w:rPr>
                  </w:pPr>
                  <w:r w:rsidRPr="00B02831">
                    <w:rPr>
                      <w:rFonts w:ascii="Arial" w:hAnsi="Arial" w:cs="Arial"/>
                    </w:rPr>
                    <w:t>2.</w:t>
                  </w:r>
                  <w:r w:rsidRPr="00B02831">
                    <w:rPr>
                      <w:rFonts w:ascii="Arial" w:hAnsi="Arial" w:cs="Arial"/>
                    </w:rPr>
                    <w:tab/>
                    <w:t xml:space="preserve">E drejta penale </w:t>
                  </w:r>
                </w:p>
                <w:p w:rsidR="005372E3" w:rsidRPr="00B02831" w:rsidRDefault="005372E3" w:rsidP="00B02831">
                  <w:pPr>
                    <w:jc w:val="both"/>
                    <w:rPr>
                      <w:rFonts w:ascii="Arial" w:hAnsi="Arial" w:cs="Arial"/>
                    </w:rPr>
                  </w:pPr>
                  <w:r w:rsidRPr="00B02831">
                    <w:rPr>
                      <w:rFonts w:ascii="Arial" w:hAnsi="Arial" w:cs="Arial"/>
                    </w:rPr>
                    <w:t>3.</w:t>
                  </w:r>
                  <w:r w:rsidRPr="00B02831">
                    <w:rPr>
                      <w:rFonts w:ascii="Arial" w:hAnsi="Arial" w:cs="Arial"/>
                    </w:rPr>
                    <w:tab/>
                    <w:t>Procedura civile</w:t>
                  </w:r>
                </w:p>
                <w:p w:rsidR="005372E3" w:rsidRPr="00B02831" w:rsidRDefault="005372E3" w:rsidP="00B02831">
                  <w:pPr>
                    <w:jc w:val="both"/>
                    <w:rPr>
                      <w:rFonts w:ascii="Arial" w:hAnsi="Arial" w:cs="Arial"/>
                    </w:rPr>
                  </w:pPr>
                  <w:r w:rsidRPr="00B02831">
                    <w:rPr>
                      <w:rFonts w:ascii="Arial" w:hAnsi="Arial" w:cs="Arial"/>
                    </w:rPr>
                    <w:t>4.</w:t>
                  </w:r>
                  <w:r w:rsidRPr="00B02831">
                    <w:rPr>
                      <w:rFonts w:ascii="Arial" w:hAnsi="Arial" w:cs="Arial"/>
                    </w:rPr>
                    <w:tab/>
                    <w:t>Procedura penale</w:t>
                  </w:r>
                </w:p>
                <w:p w:rsidR="005372E3" w:rsidRPr="00B02831" w:rsidRDefault="005372E3" w:rsidP="00B02831">
                  <w:pPr>
                    <w:jc w:val="both"/>
                    <w:rPr>
                      <w:rFonts w:ascii="Arial" w:hAnsi="Arial" w:cs="Arial"/>
                    </w:rPr>
                  </w:pPr>
                  <w:r w:rsidRPr="00B02831">
                    <w:rPr>
                      <w:rFonts w:ascii="Arial" w:hAnsi="Arial" w:cs="Arial"/>
                    </w:rPr>
                    <w:t>5.</w:t>
                  </w:r>
                  <w:r w:rsidRPr="00B02831">
                    <w:rPr>
                      <w:rFonts w:ascii="Arial" w:hAnsi="Arial" w:cs="Arial"/>
                    </w:rPr>
                    <w:tab/>
                    <w:t>E drejta kushtetuese</w:t>
                  </w:r>
                </w:p>
                <w:p w:rsidR="005372E3" w:rsidRPr="00B02831" w:rsidRDefault="005372E3" w:rsidP="00B02831">
                  <w:pPr>
                    <w:jc w:val="both"/>
                    <w:rPr>
                      <w:rFonts w:ascii="Arial" w:hAnsi="Arial" w:cs="Arial"/>
                    </w:rPr>
                  </w:pPr>
                  <w:r w:rsidRPr="00B02831">
                    <w:rPr>
                      <w:rFonts w:ascii="Arial" w:hAnsi="Arial" w:cs="Arial"/>
                    </w:rPr>
                    <w:t>6.</w:t>
                  </w:r>
                  <w:r w:rsidRPr="00B02831">
                    <w:rPr>
                      <w:rFonts w:ascii="Arial" w:hAnsi="Arial" w:cs="Arial"/>
                    </w:rPr>
                    <w:tab/>
                    <w:t>Të drejtat e njeriut</w:t>
                  </w:r>
                </w:p>
                <w:p w:rsidR="005372E3" w:rsidRPr="00B02831" w:rsidRDefault="005372E3" w:rsidP="00B02831">
                  <w:pPr>
                    <w:jc w:val="both"/>
                    <w:rPr>
                      <w:rFonts w:ascii="Arial" w:hAnsi="Arial" w:cs="Arial"/>
                    </w:rPr>
                  </w:pPr>
                  <w:r w:rsidRPr="00B02831">
                    <w:rPr>
                      <w:rFonts w:ascii="Arial" w:hAnsi="Arial" w:cs="Arial"/>
                    </w:rPr>
                    <w:t>7.</w:t>
                  </w:r>
                  <w:r w:rsidRPr="00B02831">
                    <w:rPr>
                      <w:rFonts w:ascii="Arial" w:hAnsi="Arial" w:cs="Arial"/>
                    </w:rPr>
                    <w:tab/>
                    <w:t>E drejta e BE-së</w:t>
                  </w:r>
                </w:p>
                <w:p w:rsidR="005372E3" w:rsidRPr="00B02831" w:rsidRDefault="005372E3" w:rsidP="00B02831">
                  <w:pPr>
                    <w:jc w:val="both"/>
                    <w:rPr>
                      <w:rFonts w:ascii="Arial" w:hAnsi="Arial" w:cs="Arial"/>
                    </w:rPr>
                  </w:pPr>
                  <w:r w:rsidRPr="00B02831">
                    <w:rPr>
                      <w:rFonts w:ascii="Arial" w:hAnsi="Arial" w:cs="Arial"/>
                    </w:rPr>
                    <w:t>8.</w:t>
                  </w:r>
                  <w:r w:rsidRPr="00B02831">
                    <w:rPr>
                      <w:rFonts w:ascii="Arial" w:hAnsi="Arial" w:cs="Arial"/>
                    </w:rPr>
                    <w:tab/>
                    <w:t>E drejta administrative</w:t>
                  </w:r>
                </w:p>
                <w:p w:rsidR="005372E3" w:rsidRPr="00B02831" w:rsidRDefault="005372E3" w:rsidP="00B02831">
                  <w:pPr>
                    <w:jc w:val="both"/>
                    <w:rPr>
                      <w:rFonts w:ascii="Arial" w:hAnsi="Arial" w:cs="Arial"/>
                    </w:rPr>
                  </w:pPr>
                  <w:r w:rsidRPr="00B02831">
                    <w:rPr>
                      <w:rFonts w:ascii="Arial" w:hAnsi="Arial" w:cs="Arial"/>
                    </w:rPr>
                    <w:t>9.</w:t>
                  </w:r>
                  <w:r w:rsidRPr="00B02831">
                    <w:rPr>
                      <w:rFonts w:ascii="Arial" w:hAnsi="Arial" w:cs="Arial"/>
                    </w:rPr>
                    <w:tab/>
                    <w:t xml:space="preserve">Shkrim &amp; arsyetim ligjor (pjesa e parë) </w:t>
                  </w:r>
                </w:p>
                <w:p w:rsidR="005372E3" w:rsidRPr="00B02831" w:rsidRDefault="005372E3" w:rsidP="00B02831">
                  <w:pPr>
                    <w:jc w:val="both"/>
                    <w:rPr>
                      <w:rFonts w:ascii="Arial" w:hAnsi="Arial" w:cs="Arial"/>
                    </w:rPr>
                  </w:pPr>
                  <w:r w:rsidRPr="00B02831">
                    <w:rPr>
                      <w:rFonts w:ascii="Arial" w:hAnsi="Arial" w:cs="Arial"/>
                    </w:rPr>
                    <w:t>10.</w:t>
                  </w:r>
                  <w:r w:rsidRPr="00B02831">
                    <w:rPr>
                      <w:rFonts w:ascii="Arial" w:hAnsi="Arial" w:cs="Arial"/>
                    </w:rPr>
                    <w:tab/>
                    <w:t>Etika profesionale</w:t>
                  </w:r>
                </w:p>
                <w:p w:rsidR="005372E3" w:rsidRPr="00B02831" w:rsidRDefault="005372E3" w:rsidP="00B02831">
                  <w:pPr>
                    <w:jc w:val="both"/>
                    <w:rPr>
                      <w:rFonts w:ascii="Arial" w:hAnsi="Arial" w:cs="Arial"/>
                    </w:rPr>
                  </w:pPr>
                  <w:r w:rsidRPr="00B02831">
                    <w:rPr>
                      <w:rFonts w:ascii="Arial" w:hAnsi="Arial" w:cs="Arial"/>
                    </w:rPr>
                    <w:t>11.</w:t>
                  </w:r>
                  <w:r w:rsidRPr="00B02831">
                    <w:rPr>
                      <w:rFonts w:ascii="Arial" w:hAnsi="Arial" w:cs="Arial"/>
                    </w:rPr>
                    <w:tab/>
                    <w:t>E drejta familjare</w:t>
                  </w:r>
                </w:p>
                <w:p w:rsidR="005372E3" w:rsidRDefault="005372E3" w:rsidP="00B02831">
                  <w:pPr>
                    <w:jc w:val="both"/>
                    <w:rPr>
                      <w:rFonts w:ascii="Arial" w:hAnsi="Arial" w:cs="Arial"/>
                    </w:rPr>
                  </w:pPr>
                  <w:r w:rsidRPr="00B02831">
                    <w:rPr>
                      <w:rFonts w:ascii="Arial" w:hAnsi="Arial" w:cs="Arial"/>
                    </w:rPr>
                    <w:t>12.</w:t>
                  </w:r>
                  <w:r w:rsidRPr="00B02831">
                    <w:rPr>
                      <w:rFonts w:ascii="Arial" w:hAnsi="Arial" w:cs="Arial"/>
                    </w:rPr>
                    <w:tab/>
                    <w:t>E drejta tregtare dhe e kompanive</w:t>
                  </w:r>
                </w:p>
                <w:p w:rsidR="005372E3" w:rsidRDefault="005372E3" w:rsidP="00B02831">
                  <w:pPr>
                    <w:jc w:val="both"/>
                    <w:rPr>
                      <w:rFonts w:ascii="Arial" w:hAnsi="Arial" w:cs="Arial"/>
                    </w:rPr>
                  </w:pPr>
                </w:p>
                <w:p w:rsidR="005372E3" w:rsidRPr="00B02831" w:rsidRDefault="005372E3" w:rsidP="00B02831">
                  <w:pPr>
                    <w:jc w:val="both"/>
                    <w:rPr>
                      <w:rFonts w:ascii="Arial" w:hAnsi="Arial" w:cs="Arial"/>
                      <w:b/>
                      <w:sz w:val="36"/>
                    </w:rPr>
                  </w:pPr>
                  <w:r w:rsidRPr="00B02831">
                    <w:rPr>
                      <w:rFonts w:ascii="Arial" w:hAnsi="Arial" w:cs="Arial"/>
                      <w:b/>
                      <w:color w:val="CC9966" w:themeColor="accent2"/>
                      <w:sz w:val="36"/>
                    </w:rPr>
                    <w:t>Grupi i dytë</w:t>
                  </w:r>
                  <w:r>
                    <w:rPr>
                      <w:rFonts w:ascii="Arial" w:hAnsi="Arial" w:cs="Arial"/>
                      <w:b/>
                      <w:color w:val="CC9966" w:themeColor="accent2"/>
                      <w:sz w:val="36"/>
                    </w:rPr>
                    <w:t>:</w:t>
                  </w:r>
                </w:p>
                <w:p w:rsidR="005372E3" w:rsidRPr="00B02831" w:rsidRDefault="005372E3" w:rsidP="00B02831">
                  <w:pPr>
                    <w:jc w:val="both"/>
                    <w:rPr>
                      <w:rFonts w:ascii="Arial" w:hAnsi="Arial" w:cs="Arial"/>
                    </w:rPr>
                  </w:pPr>
                </w:p>
                <w:p w:rsidR="005372E3" w:rsidRPr="00B02831" w:rsidRDefault="005372E3" w:rsidP="00B02831">
                  <w:pPr>
                    <w:jc w:val="both"/>
                    <w:rPr>
                      <w:rFonts w:ascii="Arial" w:hAnsi="Arial" w:cs="Arial"/>
                    </w:rPr>
                  </w:pPr>
                  <w:r w:rsidRPr="00B02831">
                    <w:rPr>
                      <w:rFonts w:ascii="Arial" w:hAnsi="Arial" w:cs="Arial"/>
                    </w:rPr>
                    <w:t>1.</w:t>
                  </w:r>
                  <w:r w:rsidRPr="00B02831">
                    <w:rPr>
                      <w:rFonts w:ascii="Arial" w:hAnsi="Arial" w:cs="Arial"/>
                    </w:rPr>
                    <w:tab/>
                    <w:t xml:space="preserve">E drejta e punës dhe e drejta e sigurimeve shoqërore </w:t>
                  </w:r>
                </w:p>
                <w:p w:rsidR="005372E3" w:rsidRPr="00B02831" w:rsidRDefault="005372E3" w:rsidP="00B02831">
                  <w:pPr>
                    <w:jc w:val="both"/>
                    <w:rPr>
                      <w:rFonts w:ascii="Arial" w:hAnsi="Arial" w:cs="Arial"/>
                    </w:rPr>
                  </w:pPr>
                  <w:r w:rsidRPr="00B02831">
                    <w:rPr>
                      <w:rFonts w:ascii="Arial" w:hAnsi="Arial" w:cs="Arial"/>
                    </w:rPr>
                    <w:t>2.</w:t>
                  </w:r>
                  <w:r w:rsidRPr="00B02831">
                    <w:rPr>
                      <w:rFonts w:ascii="Arial" w:hAnsi="Arial" w:cs="Arial"/>
                    </w:rPr>
                    <w:tab/>
                    <w:t>E drejta ndërkombëtare  private</w:t>
                  </w:r>
                </w:p>
                <w:p w:rsidR="005372E3" w:rsidRPr="00B02831" w:rsidRDefault="005372E3" w:rsidP="00B02831">
                  <w:pPr>
                    <w:jc w:val="both"/>
                    <w:rPr>
                      <w:rFonts w:ascii="Arial" w:hAnsi="Arial" w:cs="Arial"/>
                    </w:rPr>
                  </w:pPr>
                  <w:r w:rsidRPr="00B02831">
                    <w:rPr>
                      <w:rFonts w:ascii="Arial" w:hAnsi="Arial" w:cs="Arial"/>
                    </w:rPr>
                    <w:t>3.</w:t>
                  </w:r>
                  <w:r w:rsidRPr="00B02831">
                    <w:rPr>
                      <w:rFonts w:ascii="Arial" w:hAnsi="Arial" w:cs="Arial"/>
                    </w:rPr>
                    <w:tab/>
                    <w:t>E drejta tatimore-doganore</w:t>
                  </w:r>
                </w:p>
                <w:p w:rsidR="005372E3" w:rsidRPr="00B02831" w:rsidRDefault="005372E3" w:rsidP="00B02831">
                  <w:pPr>
                    <w:jc w:val="both"/>
                    <w:rPr>
                      <w:rFonts w:ascii="Arial" w:hAnsi="Arial" w:cs="Arial"/>
                    </w:rPr>
                  </w:pPr>
                  <w:r w:rsidRPr="00B02831">
                    <w:rPr>
                      <w:rFonts w:ascii="Arial" w:hAnsi="Arial" w:cs="Arial"/>
                    </w:rPr>
                    <w:t>4.</w:t>
                  </w:r>
                  <w:r w:rsidRPr="00B02831">
                    <w:rPr>
                      <w:rFonts w:ascii="Arial" w:hAnsi="Arial" w:cs="Arial"/>
                    </w:rPr>
                    <w:tab/>
                    <w:t>Menaxhimi i gjykatave/ prokurorive</w:t>
                  </w:r>
                </w:p>
                <w:p w:rsidR="005372E3" w:rsidRPr="00B02831" w:rsidRDefault="005372E3" w:rsidP="00B02831">
                  <w:pPr>
                    <w:jc w:val="both"/>
                    <w:rPr>
                      <w:rFonts w:ascii="Arial" w:hAnsi="Arial" w:cs="Arial"/>
                    </w:rPr>
                  </w:pPr>
                  <w:r w:rsidRPr="00B02831">
                    <w:rPr>
                      <w:rFonts w:ascii="Arial" w:hAnsi="Arial" w:cs="Arial"/>
                    </w:rPr>
                    <w:t>5.</w:t>
                  </w:r>
                  <w:r w:rsidRPr="00B02831">
                    <w:rPr>
                      <w:rFonts w:ascii="Arial" w:hAnsi="Arial" w:cs="Arial"/>
                    </w:rPr>
                    <w:tab/>
                    <w:t>Pronësia intelektuale</w:t>
                  </w:r>
                </w:p>
                <w:p w:rsidR="005372E3" w:rsidRDefault="005372E3" w:rsidP="00B02831">
                  <w:pPr>
                    <w:jc w:val="both"/>
                    <w:rPr>
                      <w:rFonts w:ascii="Arial" w:hAnsi="Arial" w:cs="Arial"/>
                    </w:rPr>
                  </w:pPr>
                  <w:r w:rsidRPr="00B02831">
                    <w:rPr>
                      <w:rFonts w:ascii="Arial" w:hAnsi="Arial" w:cs="Arial"/>
                    </w:rPr>
                    <w:t>6.</w:t>
                  </w:r>
                  <w:r w:rsidRPr="00B02831">
                    <w:rPr>
                      <w:rFonts w:ascii="Arial" w:hAnsi="Arial" w:cs="Arial"/>
                    </w:rPr>
                    <w:tab/>
                    <w:t>Ndërmjetësimi</w:t>
                  </w:r>
                  <w:r>
                    <w:rPr>
                      <w:rFonts w:ascii="Arial" w:hAnsi="Arial" w:cs="Arial"/>
                    </w:rPr>
                    <w:t>, arbitrazhi</w:t>
                  </w: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Pr="009D3274" w:rsidRDefault="005372E3" w:rsidP="00B02831">
                  <w:pPr>
                    <w:jc w:val="both"/>
                    <w:rPr>
                      <w:rFonts w:ascii="Arial" w:hAnsi="Arial" w:cs="Arial"/>
                    </w:rPr>
                  </w:pPr>
                  <w:r w:rsidRPr="00B02831">
                    <w:rPr>
                      <w:rFonts w:ascii="Arial" w:hAnsi="Arial" w:cs="Arial"/>
                    </w:rPr>
                    <w:t>arbitrazhi</w:t>
                  </w:r>
                  <w:r w:rsidRPr="009D3274">
                    <w:rPr>
                      <w:rFonts w:ascii="Arial" w:hAnsi="Arial" w:cs="Arial"/>
                    </w:rPr>
                    <w:t>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LoremIpsum passages, and more recently with desktop publishing software like Aldus PageMaker including versions of LoremIpsum.</w:t>
                  </w:r>
                </w:p>
              </w:txbxContent>
            </v:textbox>
            <w10:wrap type="square"/>
          </v:rect>
        </w:pict>
      </w:r>
      <w:r w:rsidR="00D0460F" w:rsidRPr="00D0460F">
        <w:rPr>
          <w:rFonts w:ascii="Times New Roman" w:hAnsi="Times New Roman" w:cs="Times New Roman"/>
          <w:lang w:val="en-US"/>
        </w:rPr>
        <w:t>Ky vit dëshmoi përsëri për vazhdimësinë e kësaj tradite pozitive të krijuar nga Shkolla e Magjistraturës në një stad më të lartë. Kjo mbetet edhe një nga objektivat e punës në Shkollë për të ardhmen, duke synuar gjithmonë në konsolidimin e procesit të Trajnimit Fillestar, si një pjesë e rëndësishme e procesit të konsolidimit dhe të rritjes së qëndrueshmërisë së vetë Shkollës, si një institucion bashkëkohor, që ndjek modelet e shkollave europiane homologe më të përparuara.</w:t>
      </w:r>
    </w:p>
    <w:p w:rsidR="004130C9" w:rsidRDefault="004130C9" w:rsidP="005F5AE4">
      <w:pPr>
        <w:pStyle w:val="My"/>
        <w:spacing w:line="276" w:lineRule="auto"/>
        <w:jc w:val="both"/>
        <w:rPr>
          <w:rFonts w:ascii="Times New Roman" w:hAnsi="Times New Roman" w:cs="Times New Roman"/>
          <w:lang w:val="en-US"/>
        </w:rPr>
      </w:pPr>
    </w:p>
    <w:p w:rsidR="00D0460F" w:rsidRDefault="00D0460F" w:rsidP="00D0460F">
      <w:pPr>
        <w:pStyle w:val="My"/>
        <w:spacing w:line="276" w:lineRule="auto"/>
        <w:jc w:val="both"/>
        <w:rPr>
          <w:rFonts w:ascii="Times New Roman" w:hAnsi="Times New Roman" w:cs="Times New Roman"/>
          <w:b/>
          <w:color w:val="CC9966" w:themeColor="accent2"/>
          <w:sz w:val="32"/>
          <w:lang w:val="en-US"/>
        </w:rPr>
      </w:pPr>
      <w:r w:rsidRPr="00D0460F">
        <w:rPr>
          <w:rFonts w:ascii="Times New Roman" w:hAnsi="Times New Roman" w:cs="Times New Roman"/>
          <w:b/>
          <w:color w:val="CC9966" w:themeColor="accent2"/>
          <w:sz w:val="32"/>
          <w:lang w:val="en-US"/>
        </w:rPr>
        <w:t>1.3</w:t>
      </w:r>
      <w:r w:rsidR="009D4032">
        <w:rPr>
          <w:rFonts w:ascii="Times New Roman" w:hAnsi="Times New Roman" w:cs="Times New Roman"/>
          <w:b/>
          <w:color w:val="CC9966" w:themeColor="accent2"/>
          <w:sz w:val="32"/>
          <w:lang w:val="en-US"/>
        </w:rPr>
        <w:t>.</w:t>
      </w:r>
      <w:r w:rsidRPr="00D0460F">
        <w:rPr>
          <w:rFonts w:ascii="Times New Roman" w:hAnsi="Times New Roman" w:cs="Times New Roman"/>
          <w:b/>
          <w:color w:val="CC9966" w:themeColor="accent2"/>
          <w:sz w:val="32"/>
          <w:lang w:val="en-US"/>
        </w:rPr>
        <w:t xml:space="preserve"> Realizimi i programit të vitit të parë të Shkollës</w:t>
      </w:r>
    </w:p>
    <w:p w:rsidR="00D0460F" w:rsidRDefault="00D0460F" w:rsidP="00D0460F">
      <w:pPr>
        <w:pStyle w:val="My"/>
        <w:spacing w:line="276" w:lineRule="auto"/>
        <w:jc w:val="both"/>
        <w:rPr>
          <w:rFonts w:ascii="Times New Roman" w:hAnsi="Times New Roman" w:cs="Times New Roman"/>
          <w:b/>
          <w:color w:val="CC9966" w:themeColor="accent2"/>
          <w:sz w:val="32"/>
          <w:lang w:val="en-US"/>
        </w:rPr>
      </w:pPr>
    </w:p>
    <w:p w:rsidR="00D0460F" w:rsidRDefault="00D0460F" w:rsidP="00D0460F">
      <w:pPr>
        <w:pStyle w:val="My"/>
        <w:rPr>
          <w:rFonts w:ascii="Times New Roman" w:hAnsi="Times New Roman" w:cs="Times New Roman"/>
          <w:lang w:val="en-US"/>
        </w:rPr>
      </w:pPr>
      <w:r w:rsidRPr="00D0460F">
        <w:rPr>
          <w:rFonts w:ascii="Times New Roman" w:hAnsi="Times New Roman" w:cs="Times New Roman"/>
          <w:lang w:val="en-US"/>
        </w:rPr>
        <w:t>Gjatë vitit akademik 2017-2018 në vitin e parë në Shkollën e Magjistraturës u përgatitën 13 kandidatë për magjistratë në profilin gjyqtar dhe 2 kandidatë për magjistratë në profilin prokuror.</w:t>
      </w:r>
    </w:p>
    <w:p w:rsidR="00D0460F" w:rsidRPr="00D0460F" w:rsidRDefault="00D0460F" w:rsidP="00D0460F">
      <w:pPr>
        <w:pStyle w:val="My"/>
        <w:rPr>
          <w:rFonts w:ascii="Times New Roman" w:hAnsi="Times New Roman" w:cs="Times New Roman"/>
          <w:lang w:val="en-US"/>
        </w:rPr>
      </w:pPr>
    </w:p>
    <w:p w:rsidR="00D0460F" w:rsidRDefault="00D0460F" w:rsidP="00D0460F">
      <w:pPr>
        <w:pStyle w:val="My"/>
        <w:spacing w:line="276" w:lineRule="auto"/>
        <w:jc w:val="both"/>
        <w:rPr>
          <w:rFonts w:ascii="Times New Roman" w:hAnsi="Times New Roman" w:cs="Times New Roman"/>
          <w:b/>
          <w:color w:val="CC9966" w:themeColor="accent2"/>
          <w:sz w:val="32"/>
          <w:lang w:val="en-US"/>
        </w:rPr>
      </w:pPr>
      <w:r w:rsidRPr="00D0460F">
        <w:rPr>
          <w:rFonts w:ascii="Times New Roman" w:hAnsi="Times New Roman" w:cs="Times New Roman"/>
          <w:b/>
          <w:noProof/>
          <w:color w:val="CC9966" w:themeColor="accent2"/>
          <w:sz w:val="32"/>
          <w:lang w:val="en-US" w:eastAsia="en-US"/>
        </w:rPr>
        <w:drawing>
          <wp:inline distT="0" distB="0" distL="0" distR="0">
            <wp:extent cx="3032760" cy="1491975"/>
            <wp:effectExtent l="19050" t="0" r="0" b="0"/>
            <wp:docPr id="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rcRect t="15090"/>
                    <a:stretch>
                      <a:fillRect/>
                    </a:stretch>
                  </pic:blipFill>
                  <pic:spPr>
                    <a:xfrm>
                      <a:off x="0" y="0"/>
                      <a:ext cx="3032760" cy="1491975"/>
                    </a:xfrm>
                    <a:prstGeom prst="rect">
                      <a:avLst/>
                    </a:prstGeom>
                  </pic:spPr>
                </pic:pic>
              </a:graphicData>
            </a:graphic>
          </wp:inline>
        </w:drawing>
      </w:r>
    </w:p>
    <w:p w:rsidR="00D0460F" w:rsidRPr="00D0460F" w:rsidRDefault="00D0460F" w:rsidP="00D0460F">
      <w:pPr>
        <w:jc w:val="center"/>
        <w:rPr>
          <w:rFonts w:eastAsia="Tw Cen MT"/>
          <w:kern w:val="24"/>
          <w:sz w:val="22"/>
          <w:lang w:val="sq-AL" w:eastAsia="en-US"/>
        </w:rPr>
      </w:pPr>
      <w:r>
        <w:rPr>
          <w:rFonts w:eastAsia="MS Mincho"/>
          <w:i/>
          <w:kern w:val="24"/>
          <w:sz w:val="20"/>
          <w:szCs w:val="16"/>
          <w:lang w:val="sq-AL" w:eastAsia="en-GB"/>
        </w:rPr>
        <w:t xml:space="preserve">Figura nr.3 </w:t>
      </w:r>
      <w:r w:rsidRPr="00D0460F">
        <w:rPr>
          <w:rFonts w:eastAsia="MS Mincho"/>
          <w:i/>
          <w:kern w:val="24"/>
          <w:sz w:val="20"/>
          <w:szCs w:val="16"/>
          <w:lang w:val="sq-AL" w:eastAsia="en-GB"/>
        </w:rPr>
        <w:t>Viti i parë akademik 2017-2018</w:t>
      </w:r>
    </w:p>
    <w:p w:rsidR="00D0460F" w:rsidRDefault="00D0460F" w:rsidP="00D0460F">
      <w:pPr>
        <w:pStyle w:val="My"/>
        <w:spacing w:line="276" w:lineRule="auto"/>
        <w:jc w:val="both"/>
        <w:rPr>
          <w:rFonts w:ascii="Times New Roman" w:hAnsi="Times New Roman" w:cs="Times New Roman"/>
          <w:b/>
          <w:color w:val="CC9966" w:themeColor="accent2"/>
          <w:sz w:val="32"/>
          <w:lang w:val="en-US"/>
        </w:rPr>
      </w:pPr>
    </w:p>
    <w:p w:rsidR="00B02831" w:rsidRPr="00BE1EBD" w:rsidRDefault="001B6E5A" w:rsidP="005C2687">
      <w:pPr>
        <w:pStyle w:val="ListParagraph"/>
        <w:numPr>
          <w:ilvl w:val="0"/>
          <w:numId w:val="3"/>
        </w:numPr>
        <w:tabs>
          <w:tab w:val="num" w:pos="567"/>
          <w:tab w:val="num" w:pos="851"/>
        </w:tabs>
        <w:spacing w:line="276" w:lineRule="auto"/>
        <w:jc w:val="both"/>
        <w:rPr>
          <w:rFonts w:eastAsia="MS Mincho"/>
          <w:lang w:eastAsia="en-GB"/>
        </w:rPr>
      </w:pPr>
      <w:r>
        <w:rPr>
          <w:rFonts w:eastAsia="MS Mincho"/>
          <w:b/>
          <w:lang w:eastAsia="en-GB"/>
        </w:rPr>
        <w:t xml:space="preserve"> </w:t>
      </w:r>
      <w:r w:rsidR="00B02831" w:rsidRPr="00BE1EBD">
        <w:rPr>
          <w:rFonts w:eastAsia="MS Mincho"/>
          <w:b/>
          <w:lang w:eastAsia="en-GB"/>
        </w:rPr>
        <w:t xml:space="preserve">Vlerësimi në vitin e parë </w:t>
      </w:r>
    </w:p>
    <w:p w:rsidR="00B02831" w:rsidRPr="00EE2DE7" w:rsidRDefault="00B02831" w:rsidP="00B02831">
      <w:pPr>
        <w:spacing w:line="276" w:lineRule="auto"/>
        <w:ind w:left="142"/>
        <w:rPr>
          <w:rFonts w:eastAsia="MS Mincho"/>
          <w:b/>
          <w:kern w:val="24"/>
          <w:u w:val="single"/>
          <w:lang w:eastAsia="en-GB"/>
        </w:rPr>
      </w:pPr>
    </w:p>
    <w:p w:rsidR="00B02831" w:rsidRPr="00EE2DE7" w:rsidRDefault="00B02831" w:rsidP="001B6E5A">
      <w:pPr>
        <w:spacing w:line="276" w:lineRule="auto"/>
        <w:ind w:right="283"/>
        <w:jc w:val="both"/>
        <w:rPr>
          <w:rFonts w:eastAsia="Tw Cen MT"/>
          <w:kern w:val="24"/>
        </w:rPr>
      </w:pPr>
      <w:r w:rsidRPr="00EE2DE7">
        <w:rPr>
          <w:rFonts w:eastAsia="Tw Cen MT"/>
          <w:kern w:val="24"/>
        </w:rPr>
        <w:t>Vlerësimi i kandidatëve për magjistratë</w:t>
      </w:r>
      <w:r w:rsidRPr="00EE2DE7">
        <w:rPr>
          <w:rFonts w:eastAsia="Tw Cen MT"/>
          <w:kern w:val="24"/>
          <w:vertAlign w:val="superscript"/>
        </w:rPr>
        <w:footnoteReference w:id="1"/>
      </w:r>
      <w:r w:rsidRPr="00EE2DE7">
        <w:rPr>
          <w:rFonts w:eastAsia="Tw Cen MT"/>
          <w:kern w:val="24"/>
        </w:rPr>
        <w:t xml:space="preserve"> gjatë vitit të parë teorik-praktik për lëndët teorike që ata zhvilluan në këtë vit u bë sipas skemës: </w:t>
      </w:r>
    </w:p>
    <w:p w:rsidR="00B02831" w:rsidRPr="00EE2DE7" w:rsidRDefault="00B02831" w:rsidP="005C2687">
      <w:pPr>
        <w:numPr>
          <w:ilvl w:val="0"/>
          <w:numId w:val="2"/>
        </w:numPr>
        <w:spacing w:line="276" w:lineRule="auto"/>
        <w:ind w:right="283"/>
        <w:jc w:val="both"/>
        <w:rPr>
          <w:rFonts w:eastAsia="Tw Cen MT"/>
          <w:kern w:val="24"/>
        </w:rPr>
      </w:pPr>
      <w:r w:rsidRPr="00EE2DE7">
        <w:rPr>
          <w:rFonts w:eastAsia="Tw Cen MT"/>
          <w:kern w:val="24"/>
        </w:rPr>
        <w:t xml:space="preserve">Vlerësimi i vazhdueshëm gjatë gjithë vitit akademik; </w:t>
      </w:r>
    </w:p>
    <w:p w:rsidR="00B02831" w:rsidRPr="00EE2DE7" w:rsidRDefault="00B02831" w:rsidP="005C2687">
      <w:pPr>
        <w:numPr>
          <w:ilvl w:val="0"/>
          <w:numId w:val="2"/>
        </w:numPr>
        <w:spacing w:line="276" w:lineRule="auto"/>
        <w:ind w:right="283"/>
        <w:jc w:val="both"/>
        <w:rPr>
          <w:rFonts w:eastAsia="Tw Cen MT"/>
          <w:kern w:val="24"/>
        </w:rPr>
      </w:pPr>
      <w:r w:rsidRPr="00EE2DE7">
        <w:rPr>
          <w:rFonts w:eastAsia="Tw Cen MT"/>
          <w:kern w:val="24"/>
        </w:rPr>
        <w:t xml:space="preserve">Provimi përfundimtar. </w:t>
      </w:r>
    </w:p>
    <w:p w:rsidR="00B02831" w:rsidRPr="00EE2DE7" w:rsidRDefault="00B02831" w:rsidP="00B02831">
      <w:pPr>
        <w:spacing w:line="276" w:lineRule="auto"/>
        <w:ind w:right="283"/>
        <w:jc w:val="both"/>
        <w:rPr>
          <w:rFonts w:eastAsia="Tw Cen MT"/>
          <w:kern w:val="24"/>
        </w:rPr>
      </w:pPr>
    </w:p>
    <w:p w:rsidR="001B6E5A" w:rsidRDefault="001B6E5A" w:rsidP="001B6E5A">
      <w:pPr>
        <w:pStyle w:val="My"/>
        <w:spacing w:line="276" w:lineRule="auto"/>
        <w:jc w:val="both"/>
        <w:rPr>
          <w:rFonts w:ascii="Times New Roman" w:hAnsi="Times New Roman" w:cs="Times New Roman"/>
          <w:b/>
          <w:lang w:val="en-US"/>
        </w:rPr>
      </w:pPr>
      <w:r>
        <w:rPr>
          <w:rFonts w:ascii="Times New Roman" w:hAnsi="Times New Roman" w:cs="Times New Roman"/>
          <w:b/>
          <w:lang w:val="en-US"/>
        </w:rPr>
        <w:t xml:space="preserve">   </w:t>
      </w:r>
    </w:p>
    <w:p w:rsidR="001B6E5A" w:rsidRDefault="001B6E5A" w:rsidP="001B6E5A">
      <w:pPr>
        <w:pStyle w:val="My"/>
        <w:spacing w:line="276" w:lineRule="auto"/>
        <w:jc w:val="both"/>
        <w:rPr>
          <w:rFonts w:ascii="Times New Roman" w:hAnsi="Times New Roman" w:cs="Times New Roman"/>
          <w:lang w:val="en-US"/>
        </w:rPr>
      </w:pPr>
      <w:r w:rsidRPr="001B6E5A">
        <w:rPr>
          <w:rFonts w:ascii="Times New Roman" w:hAnsi="Times New Roman" w:cs="Times New Roman"/>
          <w:b/>
          <w:color w:val="CC9966" w:themeColor="accent2"/>
          <w:sz w:val="28"/>
          <w:lang w:val="en-US"/>
        </w:rPr>
        <w:t>Lëndët e vitit të parë:</w:t>
      </w:r>
    </w:p>
    <w:p w:rsidR="001B6E5A" w:rsidRDefault="001B6E5A" w:rsidP="001B6E5A">
      <w:pPr>
        <w:spacing w:line="276" w:lineRule="auto"/>
        <w:ind w:right="283"/>
        <w:jc w:val="both"/>
        <w:rPr>
          <w:rFonts w:eastAsia="Tw Cen MT"/>
          <w:kern w:val="24"/>
        </w:rPr>
      </w:pPr>
    </w:p>
    <w:p w:rsidR="00B02831" w:rsidRPr="00EE2DE7" w:rsidRDefault="00B02831" w:rsidP="00036DBB">
      <w:pPr>
        <w:spacing w:line="276" w:lineRule="auto"/>
        <w:ind w:right="283"/>
        <w:jc w:val="both"/>
        <w:rPr>
          <w:rFonts w:eastAsia="Tw Cen MT"/>
          <w:kern w:val="24"/>
        </w:rPr>
      </w:pPr>
      <w:r w:rsidRPr="00EE2DE7">
        <w:rPr>
          <w:rFonts w:eastAsia="Tw Cen MT"/>
          <w:kern w:val="24"/>
        </w:rPr>
        <w:t xml:space="preserve">Totali i pikëve të vlefshme për vlerësimin e kandidatëve për çdo lëndë në fund të vitit/semestrit është </w:t>
      </w:r>
      <w:r w:rsidRPr="00EE2DE7">
        <w:rPr>
          <w:rFonts w:eastAsia="Tw Cen MT"/>
          <w:b/>
          <w:kern w:val="24"/>
        </w:rPr>
        <w:t>100 pikë</w:t>
      </w:r>
      <w:r w:rsidRPr="00EE2DE7">
        <w:rPr>
          <w:rFonts w:eastAsia="Tw Cen MT"/>
          <w:kern w:val="24"/>
        </w:rPr>
        <w:t xml:space="preserve">, nga të cilat, për vlerësimin e vazhdueshëm u lanë në dispozicion </w:t>
      </w:r>
      <w:r w:rsidRPr="00EE2DE7">
        <w:rPr>
          <w:rFonts w:eastAsia="Tw Cen MT"/>
          <w:b/>
          <w:kern w:val="24"/>
        </w:rPr>
        <w:t>30 pikë,</w:t>
      </w:r>
      <w:r w:rsidRPr="00EE2DE7">
        <w:rPr>
          <w:rFonts w:eastAsia="Tw Cen MT"/>
          <w:kern w:val="24"/>
        </w:rPr>
        <w:t xml:space="preserve"> ndërsa për vlerësimin me provimin përfundimtar </w:t>
      </w:r>
      <w:r w:rsidRPr="00EE2DE7">
        <w:rPr>
          <w:rFonts w:eastAsia="Tw Cen MT"/>
          <w:b/>
          <w:kern w:val="24"/>
        </w:rPr>
        <w:t>70 pikë</w:t>
      </w:r>
      <w:r w:rsidRPr="00EE2DE7">
        <w:rPr>
          <w:rFonts w:eastAsia="Tw Cen MT"/>
          <w:kern w:val="24"/>
        </w:rPr>
        <w:t>. Kufijtë maksimalë dhe minimalë të këtyre vlerësimeve u vendosën rast pas rasti nga çdo lëndë në varësi të natyrës dhe specifikave të saj. Këto limite u përcaktuan në çdo program lënde para fillimit të vitit akademik.</w:t>
      </w:r>
    </w:p>
    <w:p w:rsidR="001B6E5A" w:rsidRDefault="001B6E5A" w:rsidP="001B6E5A">
      <w:pPr>
        <w:tabs>
          <w:tab w:val="left" w:pos="709"/>
        </w:tabs>
        <w:spacing w:line="276" w:lineRule="auto"/>
        <w:ind w:right="283"/>
        <w:jc w:val="both"/>
        <w:rPr>
          <w:rFonts w:eastAsia="Tw Cen MT"/>
          <w:kern w:val="24"/>
        </w:rPr>
      </w:pPr>
      <w:r w:rsidRPr="00EE2DE7">
        <w:rPr>
          <w:rFonts w:eastAsia="Tw Cen MT"/>
          <w:kern w:val="24"/>
        </w:rPr>
        <w:lastRenderedPageBreak/>
        <w:t>Mënyra dhe skema e vlerësimit, si dhe pikavarazhi për secilën pjesë të vlerësimit u bë e ditur nga pedagogët përgjegjës të lëndëve për kandidatët për magjistratë në fillim të çdo kursi apo lënde, mbështetur në kriteret e vlerësimit.</w:t>
      </w:r>
    </w:p>
    <w:p w:rsidR="001B6E5A" w:rsidRPr="00EE2DE7" w:rsidRDefault="001B6E5A" w:rsidP="001B6E5A">
      <w:pPr>
        <w:tabs>
          <w:tab w:val="left" w:pos="709"/>
        </w:tabs>
        <w:spacing w:line="276" w:lineRule="auto"/>
        <w:ind w:right="283"/>
        <w:jc w:val="both"/>
        <w:rPr>
          <w:rFonts w:eastAsia="Tw Cen MT"/>
          <w:kern w:val="24"/>
        </w:rPr>
      </w:pPr>
    </w:p>
    <w:p w:rsidR="001B6E5A" w:rsidRDefault="001B6E5A" w:rsidP="005C2687">
      <w:pPr>
        <w:pStyle w:val="ListParagraph"/>
        <w:numPr>
          <w:ilvl w:val="0"/>
          <w:numId w:val="6"/>
        </w:numPr>
        <w:spacing w:line="276" w:lineRule="auto"/>
        <w:ind w:right="283"/>
        <w:jc w:val="both"/>
        <w:rPr>
          <w:rFonts w:eastAsia="Tw Cen MT"/>
          <w:b/>
        </w:rPr>
      </w:pPr>
      <w:r w:rsidRPr="00BE1EBD">
        <w:rPr>
          <w:rFonts w:eastAsia="Tw Cen MT"/>
          <w:b/>
        </w:rPr>
        <w:t xml:space="preserve">Vlerësimi i vazhdueshëm gjatë gjithë vitit akademik </w:t>
      </w:r>
    </w:p>
    <w:p w:rsidR="001B6E5A" w:rsidRPr="00BE1EBD" w:rsidRDefault="001B6E5A" w:rsidP="001B6E5A">
      <w:pPr>
        <w:ind w:left="360" w:right="283"/>
        <w:jc w:val="both"/>
        <w:rPr>
          <w:rFonts w:eastAsia="Tw Cen MT"/>
          <w:b/>
          <w:kern w:val="24"/>
        </w:rPr>
      </w:pPr>
    </w:p>
    <w:p w:rsidR="001B6E5A" w:rsidRPr="009A01C5" w:rsidRDefault="001B6E5A" w:rsidP="001B6E5A">
      <w:pPr>
        <w:spacing w:line="276" w:lineRule="auto"/>
        <w:ind w:right="283"/>
        <w:jc w:val="both"/>
        <w:rPr>
          <w:rFonts w:eastAsia="Tw Cen MT"/>
          <w:kern w:val="24"/>
        </w:rPr>
      </w:pPr>
      <w:r w:rsidRPr="00EE2DE7">
        <w:rPr>
          <w:rFonts w:eastAsia="Tw Cen MT"/>
          <w:kern w:val="24"/>
        </w:rPr>
        <w:t xml:space="preserve">Vlerësimi i vazhdueshëm i detyrave periodike u bazua në një plan vlerësimi të përcaktuar, i cili iu </w:t>
      </w:r>
      <w:r w:rsidRPr="009A01C5">
        <w:rPr>
          <w:rFonts w:eastAsia="Tw Cen MT"/>
          <w:kern w:val="24"/>
        </w:rPr>
        <w:t xml:space="preserve">paraqitet magjistratëve pas zhvillimit të provimit përfundimtar me shkrim. </w:t>
      </w:r>
    </w:p>
    <w:p w:rsidR="001B6E5A" w:rsidRPr="009A01C5" w:rsidRDefault="001B6E5A" w:rsidP="005C2687">
      <w:pPr>
        <w:numPr>
          <w:ilvl w:val="0"/>
          <w:numId w:val="4"/>
        </w:numPr>
        <w:spacing w:line="276" w:lineRule="auto"/>
        <w:ind w:left="426" w:right="283"/>
        <w:jc w:val="both"/>
        <w:rPr>
          <w:rFonts w:eastAsia="Tw Cen MT"/>
          <w:kern w:val="24"/>
        </w:rPr>
      </w:pPr>
      <w:r w:rsidRPr="009A01C5">
        <w:rPr>
          <w:rFonts w:eastAsia="Tw Cen MT"/>
          <w:kern w:val="24"/>
        </w:rPr>
        <w:t>Gjatë procesit të vlerësimit të vazhdueshëm dhe periodik u analizuan komponentët e mëposhtëm:</w:t>
      </w:r>
    </w:p>
    <w:p w:rsidR="001B6E5A" w:rsidRPr="00EE2DE7" w:rsidRDefault="001B6E5A" w:rsidP="005C2687">
      <w:pPr>
        <w:numPr>
          <w:ilvl w:val="0"/>
          <w:numId w:val="5"/>
        </w:numPr>
        <w:spacing w:line="276" w:lineRule="auto"/>
        <w:ind w:right="283"/>
        <w:jc w:val="both"/>
        <w:rPr>
          <w:rFonts w:eastAsia="Tw Cen MT"/>
          <w:kern w:val="24"/>
        </w:rPr>
      </w:pPr>
      <w:r w:rsidRPr="009A01C5">
        <w:rPr>
          <w:rFonts w:eastAsia="Tw Cen MT"/>
          <w:kern w:val="24"/>
        </w:rPr>
        <w:t>Detyrat e kursit, esetë, projektet</w:t>
      </w:r>
      <w:r w:rsidRPr="00EE2DE7">
        <w:rPr>
          <w:rFonts w:eastAsia="Tw Cen MT"/>
          <w:kern w:val="24"/>
        </w:rPr>
        <w:t xml:space="preserve"> e dhëna për t’u përgatitur me shkrim nga kandidatët në mënyrë anonime dhe jo më shumë se 3-4 në vit për lëndët vjetore, të cilat ishin planifikuar në program;</w:t>
      </w:r>
    </w:p>
    <w:p w:rsidR="001B6E5A" w:rsidRPr="00EE2DE7" w:rsidRDefault="001B6E5A" w:rsidP="005C2687">
      <w:pPr>
        <w:numPr>
          <w:ilvl w:val="0"/>
          <w:numId w:val="5"/>
        </w:numPr>
        <w:spacing w:line="276" w:lineRule="auto"/>
        <w:ind w:right="283"/>
        <w:jc w:val="both"/>
        <w:rPr>
          <w:rFonts w:eastAsia="Tw Cen MT"/>
          <w:kern w:val="24"/>
        </w:rPr>
      </w:pPr>
      <w:r w:rsidRPr="00EE2DE7">
        <w:rPr>
          <w:rFonts w:eastAsia="Tw Cen MT"/>
          <w:kern w:val="24"/>
        </w:rPr>
        <w:t>Aktivizimi, oratoria apo logjika e arsyetimi në diskutimin interaktiv;</w:t>
      </w:r>
    </w:p>
    <w:p w:rsidR="001B6E5A" w:rsidRPr="00EE2DE7" w:rsidRDefault="001B6E5A" w:rsidP="005C2687">
      <w:pPr>
        <w:numPr>
          <w:ilvl w:val="0"/>
          <w:numId w:val="5"/>
        </w:numPr>
        <w:spacing w:line="276" w:lineRule="auto"/>
        <w:ind w:right="283"/>
        <w:jc w:val="both"/>
        <w:rPr>
          <w:rFonts w:eastAsia="Tw Cen MT"/>
          <w:kern w:val="24"/>
        </w:rPr>
      </w:pPr>
      <w:r w:rsidRPr="00EE2DE7">
        <w:rPr>
          <w:rFonts w:eastAsia="Tw Cen MT"/>
          <w:kern w:val="24"/>
        </w:rPr>
        <w:t>Mënyra e diskutimit dhe zgjidhjes së rasteve të praktikës gjyqësore;</w:t>
      </w:r>
    </w:p>
    <w:p w:rsidR="001B6E5A" w:rsidRPr="00EE2DE7" w:rsidRDefault="001B6E5A" w:rsidP="005C2687">
      <w:pPr>
        <w:numPr>
          <w:ilvl w:val="0"/>
          <w:numId w:val="5"/>
        </w:numPr>
        <w:spacing w:line="276" w:lineRule="auto"/>
        <w:ind w:right="283"/>
        <w:jc w:val="both"/>
        <w:rPr>
          <w:rFonts w:eastAsia="Tw Cen MT"/>
          <w:kern w:val="24"/>
        </w:rPr>
      </w:pPr>
      <w:r w:rsidRPr="00EE2DE7">
        <w:rPr>
          <w:rFonts w:eastAsia="Tw Cen MT"/>
          <w:kern w:val="24"/>
        </w:rPr>
        <w:t>Mënyra e organizimit dhe realizimit të gjyqeve imituese, e të tjera të ngjashme me to;</w:t>
      </w:r>
    </w:p>
    <w:p w:rsidR="001B6E5A" w:rsidRPr="00EE2DE7" w:rsidRDefault="001B6E5A" w:rsidP="005C2687">
      <w:pPr>
        <w:numPr>
          <w:ilvl w:val="0"/>
          <w:numId w:val="4"/>
        </w:numPr>
        <w:spacing w:line="276" w:lineRule="auto"/>
        <w:ind w:left="426" w:right="283"/>
        <w:jc w:val="both"/>
        <w:rPr>
          <w:rFonts w:eastAsia="Tw Cen MT"/>
          <w:kern w:val="24"/>
        </w:rPr>
      </w:pPr>
      <w:r w:rsidRPr="00EE2DE7">
        <w:rPr>
          <w:rFonts w:eastAsia="Tw Cen MT"/>
          <w:kern w:val="24"/>
        </w:rPr>
        <w:t xml:space="preserve">Testet periodike me shkrim ishin: </w:t>
      </w:r>
    </w:p>
    <w:p w:rsidR="001B6E5A" w:rsidRPr="00EE2DE7" w:rsidRDefault="001B6E5A" w:rsidP="001B6E5A">
      <w:pPr>
        <w:spacing w:line="276" w:lineRule="auto"/>
        <w:ind w:left="426" w:right="283"/>
        <w:jc w:val="both"/>
        <w:rPr>
          <w:rFonts w:eastAsia="Tw Cen MT"/>
          <w:kern w:val="24"/>
        </w:rPr>
      </w:pPr>
      <w:r w:rsidRPr="00EE2DE7">
        <w:rPr>
          <w:rFonts w:eastAsia="Tw Cen MT"/>
          <w:kern w:val="24"/>
        </w:rPr>
        <w:t xml:space="preserve">a) testet për njohuritë aktuale; </w:t>
      </w:r>
    </w:p>
    <w:p w:rsidR="001B6E5A" w:rsidRPr="00EE2DE7" w:rsidRDefault="001B6E5A" w:rsidP="001B6E5A">
      <w:pPr>
        <w:spacing w:line="276" w:lineRule="auto"/>
        <w:ind w:left="426" w:right="283"/>
        <w:jc w:val="both"/>
        <w:rPr>
          <w:rFonts w:eastAsia="Tw Cen MT"/>
          <w:kern w:val="24"/>
        </w:rPr>
      </w:pPr>
      <w:r w:rsidRPr="00EE2DE7">
        <w:rPr>
          <w:rFonts w:eastAsia="Tw Cen MT"/>
          <w:kern w:val="24"/>
        </w:rPr>
        <w:t xml:space="preserve">b) testet e semestrit, me karakter përmbledhës; </w:t>
      </w:r>
    </w:p>
    <w:p w:rsidR="001B6E5A" w:rsidRPr="00EE2DE7" w:rsidRDefault="001B6E5A" w:rsidP="001B6E5A">
      <w:pPr>
        <w:spacing w:line="276" w:lineRule="auto"/>
        <w:ind w:left="426" w:right="283"/>
        <w:jc w:val="both"/>
        <w:rPr>
          <w:rFonts w:eastAsia="Tw Cen MT"/>
          <w:kern w:val="24"/>
        </w:rPr>
      </w:pPr>
      <w:r w:rsidRPr="00EE2DE7">
        <w:rPr>
          <w:rFonts w:eastAsia="Tw Cen MT"/>
          <w:kern w:val="24"/>
        </w:rPr>
        <w:t xml:space="preserve">c) testet për çështjet sintetike që finalizonin tematikën për debate; </w:t>
      </w:r>
    </w:p>
    <w:p w:rsidR="001B6E5A" w:rsidRPr="00EE2DE7" w:rsidRDefault="001B6E5A" w:rsidP="001B6E5A">
      <w:pPr>
        <w:spacing w:line="276" w:lineRule="auto"/>
        <w:ind w:left="426" w:right="283"/>
        <w:jc w:val="both"/>
        <w:rPr>
          <w:rFonts w:eastAsia="Tw Cen MT"/>
          <w:kern w:val="24"/>
        </w:rPr>
      </w:pPr>
      <w:r w:rsidRPr="00EE2DE7">
        <w:rPr>
          <w:rFonts w:eastAsia="Tw Cen MT"/>
          <w:kern w:val="24"/>
        </w:rPr>
        <w:t xml:space="preserve">ç) punët me shkrim. </w:t>
      </w:r>
    </w:p>
    <w:p w:rsidR="001B6E5A" w:rsidRPr="00EE2DE7" w:rsidRDefault="001B6E5A" w:rsidP="001B6E5A">
      <w:pPr>
        <w:spacing w:line="276" w:lineRule="auto"/>
        <w:ind w:right="283"/>
        <w:jc w:val="both"/>
        <w:rPr>
          <w:rFonts w:eastAsia="Tw Cen MT"/>
          <w:kern w:val="24"/>
        </w:rPr>
      </w:pPr>
      <w:r w:rsidRPr="00EE2DE7">
        <w:rPr>
          <w:rFonts w:eastAsia="Tw Cen MT"/>
          <w:kern w:val="24"/>
        </w:rPr>
        <w:t>Testet me shkrim kishin karakter praktik.</w:t>
      </w:r>
    </w:p>
    <w:p w:rsidR="001B6E5A" w:rsidRPr="00EE2DE7" w:rsidRDefault="001B6E5A" w:rsidP="00036DBB">
      <w:pPr>
        <w:spacing w:line="276" w:lineRule="auto"/>
        <w:ind w:right="26"/>
        <w:jc w:val="both"/>
        <w:rPr>
          <w:rFonts w:eastAsia="Tw Cen MT"/>
          <w:kern w:val="24"/>
        </w:rPr>
      </w:pPr>
      <w:r w:rsidRPr="00EE2DE7">
        <w:rPr>
          <w:rFonts w:eastAsia="Tw Cen MT"/>
          <w:kern w:val="24"/>
        </w:rPr>
        <w:t xml:space="preserve">Të dhënat e nxjerra nga analiza e mësipërme u hodhën në një procesverbal vlerësimi që përmbante emrat, pikët, kriteret, kohën e caktuar, afatin e detyrës, kriteret e vlerësimit. </w:t>
      </w:r>
    </w:p>
    <w:p w:rsidR="001B6E5A" w:rsidRDefault="001B6E5A" w:rsidP="001B6E5A">
      <w:pPr>
        <w:spacing w:line="276" w:lineRule="auto"/>
        <w:ind w:right="26"/>
        <w:jc w:val="both"/>
        <w:rPr>
          <w:rFonts w:eastAsia="Tw Cen MT"/>
          <w:kern w:val="24"/>
        </w:rPr>
      </w:pPr>
      <w:r w:rsidRPr="00EE2DE7">
        <w:rPr>
          <w:rFonts w:eastAsia="Tw Cen MT"/>
          <w:kern w:val="24"/>
        </w:rPr>
        <w:t>Rezultatet e arritura nga kandidatët në Procesverbalin e Vlerësimit të Vazhdueshëm iu bënë publike kandidatëve, së bashku me provimin përfundimtar të lëndës.</w:t>
      </w:r>
    </w:p>
    <w:p w:rsidR="001B6E5A" w:rsidRPr="00EE2DE7" w:rsidRDefault="001B6E5A" w:rsidP="001B6E5A">
      <w:pPr>
        <w:spacing w:line="276" w:lineRule="auto"/>
        <w:ind w:right="26"/>
        <w:jc w:val="both"/>
        <w:rPr>
          <w:rFonts w:eastAsia="Tw Cen MT"/>
          <w:kern w:val="24"/>
        </w:rPr>
      </w:pPr>
    </w:p>
    <w:p w:rsidR="001B6E5A" w:rsidRPr="001B6E5A" w:rsidRDefault="001B6E5A" w:rsidP="005C2687">
      <w:pPr>
        <w:pStyle w:val="ListParagraph"/>
        <w:numPr>
          <w:ilvl w:val="0"/>
          <w:numId w:val="6"/>
        </w:numPr>
        <w:spacing w:line="276" w:lineRule="auto"/>
        <w:ind w:right="26"/>
        <w:jc w:val="both"/>
        <w:rPr>
          <w:rFonts w:eastAsia="Tw Cen MT"/>
        </w:rPr>
      </w:pPr>
      <w:r w:rsidRPr="000D0363">
        <w:rPr>
          <w:rFonts w:eastAsia="Tw Cen MT"/>
          <w:b/>
        </w:rPr>
        <w:t>Vlerësimi me provimin përfundimtar</w:t>
      </w:r>
    </w:p>
    <w:p w:rsidR="001B6E5A" w:rsidRPr="001B6E5A" w:rsidRDefault="001B6E5A" w:rsidP="001B6E5A">
      <w:pPr>
        <w:spacing w:line="276" w:lineRule="auto"/>
        <w:ind w:right="26"/>
        <w:jc w:val="both"/>
        <w:rPr>
          <w:rFonts w:eastAsia="Tw Cen MT"/>
        </w:rPr>
      </w:pPr>
    </w:p>
    <w:p w:rsidR="001B6E5A" w:rsidRPr="001B6E5A" w:rsidRDefault="001B6E5A" w:rsidP="001B6E5A">
      <w:pPr>
        <w:spacing w:line="276" w:lineRule="auto"/>
        <w:ind w:right="26"/>
        <w:jc w:val="both"/>
        <w:rPr>
          <w:rFonts w:eastAsia="Tw Cen MT"/>
        </w:rPr>
      </w:pPr>
      <w:r w:rsidRPr="001B6E5A">
        <w:rPr>
          <w:rFonts w:eastAsia="Tw Cen MT"/>
        </w:rPr>
        <w:t xml:space="preserve">Vlerësimi me provimin përfundimtar u bë në fund të vitit akademik apo të semestrit, kur përfundoi edhe trajtimi i lëndës përkatëse. </w:t>
      </w:r>
    </w:p>
    <w:p w:rsidR="001B6E5A" w:rsidRDefault="001B6E5A" w:rsidP="001B6E5A">
      <w:pPr>
        <w:spacing w:line="276" w:lineRule="auto"/>
        <w:ind w:right="26"/>
        <w:jc w:val="both"/>
        <w:rPr>
          <w:rFonts w:eastAsia="Tw Cen MT"/>
          <w:kern w:val="24"/>
        </w:rPr>
      </w:pPr>
      <w:r w:rsidRPr="00EE2DE7">
        <w:rPr>
          <w:rFonts w:eastAsia="Tw Cen MT"/>
          <w:kern w:val="24"/>
        </w:rPr>
        <w:t xml:space="preserve">Provimi përfundimtar i lëndës u bë me shkrim, duke iu nënshtruar procesit të sekretimit, me qëllim ruajtjen e objektivitetit. </w:t>
      </w:r>
    </w:p>
    <w:p w:rsidR="001B6E5A" w:rsidRPr="001E0C44" w:rsidRDefault="001B6E5A" w:rsidP="001B6E5A">
      <w:pPr>
        <w:spacing w:line="276" w:lineRule="auto"/>
        <w:jc w:val="both"/>
        <w:rPr>
          <w:rFonts w:eastAsia="MS Mincho"/>
          <w:kern w:val="24"/>
          <w:lang w:eastAsia="en-GB"/>
        </w:rPr>
      </w:pPr>
      <w:r w:rsidRPr="00EE2DE7">
        <w:rPr>
          <w:rFonts w:eastAsia="MS Mincho"/>
          <w:kern w:val="24"/>
          <w:lang w:eastAsia="en-GB"/>
        </w:rPr>
        <w:t xml:space="preserve">Vlerësimi me shkallë i kandidatëve për magjistratë. </w:t>
      </w:r>
    </w:p>
    <w:p w:rsidR="001B6E5A" w:rsidRPr="00EE2DE7" w:rsidRDefault="001B6E5A" w:rsidP="001B6E5A">
      <w:pPr>
        <w:spacing w:line="276" w:lineRule="auto"/>
        <w:jc w:val="both"/>
        <w:rPr>
          <w:rFonts w:eastAsia="Tw Cen MT"/>
          <w:kern w:val="24"/>
        </w:rPr>
      </w:pPr>
      <w:r w:rsidRPr="00EE2DE7">
        <w:rPr>
          <w:rFonts w:eastAsia="Tw Cen MT"/>
          <w:kern w:val="24"/>
        </w:rPr>
        <w:t>Niveli “Shkëlqyeshëm” është 100 (njëqind) pikë;</w:t>
      </w:r>
    </w:p>
    <w:p w:rsidR="001B6E5A" w:rsidRPr="00EE2DE7" w:rsidRDefault="001B6E5A" w:rsidP="001B6E5A">
      <w:pPr>
        <w:spacing w:line="276" w:lineRule="auto"/>
        <w:jc w:val="both"/>
        <w:rPr>
          <w:rFonts w:eastAsia="Tw Cen MT"/>
          <w:kern w:val="24"/>
        </w:rPr>
      </w:pPr>
      <w:r w:rsidRPr="00EE2DE7">
        <w:rPr>
          <w:rFonts w:eastAsia="Tw Cen MT"/>
          <w:kern w:val="24"/>
        </w:rPr>
        <w:t xml:space="preserve">Niveli “Shumë mirë”    është </w:t>
      </w:r>
      <w:r w:rsidRPr="00EE2DE7">
        <w:rPr>
          <w:rFonts w:eastAsia="Tw Cen MT"/>
          <w:kern w:val="24"/>
        </w:rPr>
        <w:tab/>
        <w:t>90-99 (nëntëdhjetë deri nëntëdhjetë e nëntë) pikë;</w:t>
      </w:r>
    </w:p>
    <w:p w:rsidR="001B6E5A" w:rsidRPr="00EE2DE7" w:rsidRDefault="001B6E5A" w:rsidP="001B6E5A">
      <w:pPr>
        <w:spacing w:line="276" w:lineRule="auto"/>
        <w:jc w:val="both"/>
        <w:rPr>
          <w:rFonts w:eastAsia="Tw Cen MT"/>
          <w:kern w:val="24"/>
        </w:rPr>
      </w:pPr>
      <w:r w:rsidRPr="00EE2DE7">
        <w:rPr>
          <w:rFonts w:eastAsia="Tw Cen MT"/>
          <w:kern w:val="24"/>
        </w:rPr>
        <w:t>Niveli “Mirë”                është 70-89 (shtatëdhjetë deri tetëdhjetë e nëntë) pikë;</w:t>
      </w:r>
    </w:p>
    <w:p w:rsidR="001B6E5A" w:rsidRPr="000D0363" w:rsidRDefault="001B6E5A" w:rsidP="001B6E5A">
      <w:pPr>
        <w:spacing w:line="276" w:lineRule="auto"/>
        <w:jc w:val="both"/>
        <w:rPr>
          <w:rFonts w:eastAsia="Tw Cen MT"/>
          <w:kern w:val="24"/>
        </w:rPr>
      </w:pPr>
      <w:r w:rsidRPr="00EE2DE7">
        <w:rPr>
          <w:rFonts w:eastAsia="Tw Cen MT"/>
          <w:kern w:val="24"/>
        </w:rPr>
        <w:t>Niveli “Mjaftueshëm”   është 50-69 (pesëdhjetë deri gjashtëdhjetë e nëntë) pikë.</w:t>
      </w:r>
    </w:p>
    <w:p w:rsidR="001B6E5A" w:rsidRDefault="001B6E5A" w:rsidP="001B6E5A">
      <w:pPr>
        <w:spacing w:after="200" w:line="276" w:lineRule="auto"/>
        <w:jc w:val="both"/>
        <w:rPr>
          <w:rFonts w:eastAsia="Calibri"/>
          <w:b/>
          <w:kern w:val="24"/>
        </w:rPr>
      </w:pPr>
    </w:p>
    <w:p w:rsidR="001B6E5A" w:rsidRDefault="001B6E5A" w:rsidP="001B6E5A">
      <w:pPr>
        <w:spacing w:after="200" w:line="276" w:lineRule="auto"/>
        <w:jc w:val="both"/>
        <w:rPr>
          <w:rFonts w:eastAsia="Calibri"/>
          <w:b/>
          <w:kern w:val="24"/>
        </w:rPr>
      </w:pPr>
      <w:r w:rsidRPr="00EE2DE7">
        <w:rPr>
          <w:rFonts w:eastAsia="Calibri"/>
          <w:b/>
          <w:kern w:val="24"/>
        </w:rPr>
        <w:t xml:space="preserve">Skema e vlerësimit në fund të vitit të parë është:  </w:t>
      </w:r>
      <w:r w:rsidRPr="00EE2DE7">
        <w:rPr>
          <w:rFonts w:eastAsia="Calibri"/>
          <w:b/>
          <w:kern w:val="24"/>
        </w:rPr>
        <w:tab/>
      </w:r>
    </w:p>
    <w:p w:rsidR="001B6E5A" w:rsidRPr="00EE2DE7" w:rsidRDefault="00CF3AE0" w:rsidP="001B6E5A">
      <w:pPr>
        <w:spacing w:after="200" w:line="276" w:lineRule="auto"/>
        <w:jc w:val="both"/>
        <w:rPr>
          <w:rFonts w:eastAsia="Calibri"/>
          <w:b/>
          <w:kern w:val="24"/>
        </w:rPr>
      </w:pPr>
      <w:r>
        <w:rPr>
          <w:rFonts w:ascii="Calibri" w:eastAsia="Calibri" w:hAnsi="Calibri"/>
        </w:rPr>
        <w:pict>
          <v:shapetype id="_x0000_t32" coordsize="21600,21600" o:spt="32" o:oned="t" path="m,l21600,21600e" filled="f">
            <v:path arrowok="t" fillok="f" o:connecttype="none"/>
            <o:lock v:ext="edit" shapetype="t"/>
          </v:shapetype>
          <v:shape id="Straight Arrow Connector 11" o:spid="_x0000_s1056" type="#_x0000_t32" style="position:absolute;left:0;text-align:left;margin-left:68pt;margin-top:21pt;width:14pt;height:0;z-index:25171916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"/>
        </w:pict>
      </w:r>
      <w:r>
        <w:rPr>
          <w:rFonts w:ascii="Calibri" w:eastAsia="Calibri" w:hAnsi="Calibri"/>
        </w:rPr>
        <w:pict>
          <v:shape id="Straight Arrow Connector 10" o:spid="_x0000_s1055" type="#_x0000_t32" style="position:absolute;left:0;text-align:left;margin-left:33pt;margin-top:21pt;width:21pt;height:0;z-index:251718144;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"/>
        </w:pict>
      </w:r>
    </w:p>
    <w:p w:rsidR="001B6E5A" w:rsidRDefault="00CF3AE0" w:rsidP="001B6E5A">
      <w:pPr>
        <w:spacing w:after="200" w:line="276" w:lineRule="auto"/>
        <w:ind w:left="720"/>
        <w:contextualSpacing/>
        <w:jc w:val="both"/>
        <w:rPr>
          <w:rFonts w:eastAsia="Calibri"/>
          <w:kern w:val="24"/>
          <w:lang w:eastAsia="ja-JP"/>
        </w:rPr>
      </w:pPr>
      <m:oMathPara>
        <m:oMathParaPr>
          <m:jc m:val="left"/>
        </m:oMathParaPr>
        <m:oMath>
          <m:nary>
            <m:naryPr>
              <m:chr m:val="∑"/>
              <m:limLoc m:val="subSup"/>
              <m:supHide m:val="1"/>
              <m:ctrlPr>
                <w:rPr>
                  <w:rFonts w:ascii="Cambria Math" w:eastAsia="Tw Cen MT" w:hAnsi="Cambria Math"/>
                  <w:kern w:val="24"/>
                  <w:lang w:eastAsia="ja-JP"/>
                </w:rPr>
              </m:ctrlPr>
            </m:naryPr>
            <m:sub>
              <m:r>
                <w:rPr>
                  <w:rFonts w:ascii="Cambria Math" w:eastAsia="Tw Cen MT" w:hAnsi="Cambria Math"/>
                  <w:kern w:val="24"/>
                  <w:lang w:eastAsia="ja-JP"/>
                </w:rPr>
                <m:t>p</m:t>
              </m:r>
            </m:sub>
            <m:sup/>
            <m:e>
              <m:r>
                <m:rPr>
                  <m:sty m:val="p"/>
                </m:rPr>
                <w:rPr>
                  <w:rFonts w:ascii="Cambria Math" w:eastAsia="Tw Cen MT" w:hAnsi="Cambria Math"/>
                  <w:kern w:val="24"/>
                  <w:lang w:eastAsia="ja-JP"/>
                </w:rPr>
                <m:t>=</m:t>
              </m:r>
            </m:e>
          </m:nary>
          <m:nary>
            <m:naryPr>
              <m:chr m:val="∑"/>
              <m:limLoc m:val="undOvr"/>
              <m:supHide m:val="1"/>
              <m:ctrlPr>
                <w:rPr>
                  <w:rFonts w:ascii="Cambria Math" w:eastAsia="Tw Cen MT" w:hAnsi="Cambria Math"/>
                  <w:kern w:val="24"/>
                  <w:lang w:eastAsia="ja-JP"/>
                </w:rPr>
              </m:ctrlPr>
            </m:naryPr>
            <m:sub>
              <m:r>
                <w:rPr>
                  <w:rFonts w:ascii="Cambria Math" w:eastAsia="Tw Cen MT" w:hAnsi="Cambria Math"/>
                  <w:kern w:val="24"/>
                  <w:lang w:eastAsia="ja-JP"/>
                </w:rPr>
                <m:t>VitiI</m:t>
              </m:r>
            </m:sub>
            <m:sup/>
            <m:e>
              <m:r>
                <m:rPr>
                  <m:sty m:val="p"/>
                </m:rPr>
                <w:rPr>
                  <w:rFonts w:ascii="Cambria Math" w:eastAsia="Tw Cen MT" w:hAnsi="Cambria Math"/>
                  <w:kern w:val="24"/>
                  <w:lang w:eastAsia="ja-JP"/>
                </w:rPr>
                <m:t>{</m:t>
              </m:r>
              <m:d>
                <m:dPr>
                  <m:ctrlPr>
                    <w:rPr>
                      <w:rFonts w:ascii="Cambria Math" w:eastAsia="Tw Cen MT" w:hAnsi="Cambria Math"/>
                      <w:kern w:val="24"/>
                    </w:rPr>
                  </m:ctrlPr>
                </m:dPr>
                <m:e>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1</m:t>
                      </m:r>
                    </m:sub>
                  </m:sSub>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f</m:t>
                      </m:r>
                    </m:e>
                    <m:sub>
                      <m:r>
                        <m:rPr>
                          <m:sty m:val="p"/>
                        </m:rPr>
                        <w:rPr>
                          <w:rFonts w:ascii="Cambria Math" w:eastAsia="Tw Cen MT" w:hAnsi="Cambria Math"/>
                          <w:kern w:val="24"/>
                        </w:rPr>
                        <m:t>1</m:t>
                      </m:r>
                    </m:sub>
                  </m:sSub>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1/2</m:t>
                      </m:r>
                    </m:sub>
                  </m:sSub>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f</m:t>
                      </m:r>
                    </m:e>
                    <m:sub>
                      <m:r>
                        <m:rPr>
                          <m:sty m:val="p"/>
                        </m:rPr>
                        <w:rPr>
                          <w:rFonts w:ascii="Cambria Math" w:eastAsia="Tw Cen MT" w:hAnsi="Cambria Math"/>
                          <w:kern w:val="24"/>
                        </w:rPr>
                        <m:t xml:space="preserve">2 </m:t>
                      </m:r>
                    </m:sub>
                  </m:sSub>
                </m:e>
              </m:d>
              <m:r>
                <m:rPr>
                  <m:sty m:val="p"/>
                </m:rPr>
                <w:rPr>
                  <w:rFonts w:ascii="Cambria Math" w:eastAsia="Tw Cen MT" w:hAnsi="Cambria Math"/>
                  <w:kern w:val="24"/>
                </w:rPr>
                <m:t>}</m:t>
              </m:r>
            </m:e>
          </m:nary>
        </m:oMath>
      </m:oMathPara>
    </w:p>
    <w:p w:rsidR="001B6E5A" w:rsidRPr="00EE2DE7" w:rsidRDefault="001B6E5A" w:rsidP="001B6E5A">
      <w:pPr>
        <w:spacing w:after="200" w:line="276" w:lineRule="auto"/>
        <w:ind w:left="720"/>
        <w:contextualSpacing/>
        <w:jc w:val="both"/>
        <w:rPr>
          <w:rFonts w:eastAsia="Calibri"/>
          <w:kern w:val="24"/>
          <w:lang w:eastAsia="ja-JP"/>
        </w:rPr>
      </w:pPr>
    </w:p>
    <w:p w:rsidR="001B6E5A" w:rsidRPr="00EE2DE7" w:rsidRDefault="00CF3AE0" w:rsidP="001B6E5A">
      <w:pPr>
        <w:spacing w:line="276" w:lineRule="auto"/>
        <w:jc w:val="both"/>
        <w:rPr>
          <w:rFonts w:eastAsia="Calibri"/>
          <w:kern w:val="24"/>
          <w:lang w:eastAsia="ja-JP"/>
        </w:rPr>
      </w:pPr>
      <m:oMath>
        <m:nary>
          <m:naryPr>
            <m:chr m:val="∑"/>
            <m:limLoc m:val="subSup"/>
            <m:supHide m:val="1"/>
            <m:ctrlPr>
              <w:rPr>
                <w:rFonts w:ascii="Cambria Math" w:eastAsia="Tw Cen MT" w:hAnsi="Cambria Math"/>
                <w:kern w:val="24"/>
                <w:lang w:eastAsia="ja-JP"/>
              </w:rPr>
            </m:ctrlPr>
          </m:naryPr>
          <m:sub>
            <m:r>
              <w:rPr>
                <w:rFonts w:ascii="Cambria Math" w:eastAsia="Tw Cen MT" w:hAnsi="Cambria Math"/>
                <w:kern w:val="24"/>
                <w:lang w:eastAsia="ja-JP"/>
              </w:rPr>
              <m:t>p</m:t>
            </m:r>
          </m:sub>
          <m:sup/>
          <m:e>
            <m:r>
              <m:rPr>
                <m:sty m:val="p"/>
              </m:rPr>
              <w:rPr>
                <w:rFonts w:ascii="Cambria Math" w:eastAsia="Tw Cen MT" w:hAnsi="Cambria Math"/>
                <w:kern w:val="24"/>
                <w:lang w:eastAsia="ja-JP"/>
              </w:rPr>
              <m:t>=</m:t>
            </m:r>
          </m:e>
        </m:nary>
        <m:r>
          <w:rPr>
            <w:rFonts w:ascii="Cambria Math" w:eastAsia="Tw Cen MT" w:hAnsi="Cambria Math"/>
            <w:kern w:val="24"/>
            <w:lang w:eastAsia="ja-JP"/>
          </w:rPr>
          <m:t xml:space="preserve">  </m:t>
        </m:r>
      </m:oMath>
      <w:r w:rsidR="001B6E5A" w:rsidRPr="00EE2DE7">
        <w:rPr>
          <w:rFonts w:eastAsia="Calibri"/>
          <w:kern w:val="24"/>
          <w:lang w:eastAsia="ja-JP"/>
        </w:rPr>
        <w:t xml:space="preserve"> Shuma e ponderuar</w:t>
      </w:r>
    </w:p>
    <w:p w:rsidR="001B6E5A" w:rsidRPr="00EE2DE7" w:rsidRDefault="001B6E5A" w:rsidP="001B6E5A">
      <w:pPr>
        <w:spacing w:line="276" w:lineRule="auto"/>
        <w:jc w:val="both"/>
        <w:rPr>
          <w:rFonts w:eastAsia="Calibri"/>
          <w:kern w:val="24"/>
          <w:lang w:eastAsia="ja-JP"/>
        </w:rPr>
      </w:pPr>
      <w:r w:rsidRPr="00EE2DE7">
        <w:rPr>
          <w:rFonts w:eastAsia="Calibri"/>
          <w:kern w:val="24"/>
          <w:lang w:eastAsia="ja-JP"/>
        </w:rPr>
        <w:t xml:space="preserve"> </w:t>
      </w:r>
      <m:oMath>
        <m:sSub>
          <m:sSubPr>
            <m:ctrlPr>
              <w:rPr>
                <w:rFonts w:ascii="Cambria Math" w:eastAsia="Tw Cen MT" w:hAnsi="Cambria Math"/>
                <w:kern w:val="24"/>
                <w:lang w:eastAsia="ja-JP"/>
              </w:rPr>
            </m:ctrlPr>
          </m:sSubPr>
          <m:e>
            <m:r>
              <w:rPr>
                <w:rFonts w:ascii="Cambria Math" w:eastAsia="Tw Cen MT" w:hAnsi="Cambria Math"/>
                <w:kern w:val="24"/>
                <w:lang w:eastAsia="ja-JP"/>
              </w:rPr>
              <m:t xml:space="preserve"> x</m:t>
            </m:r>
          </m:e>
          <m:sub>
            <m:r>
              <m:rPr>
                <m:sty m:val="p"/>
              </m:rPr>
              <w:rPr>
                <w:rFonts w:ascii="Cambria Math" w:eastAsia="Tw Cen MT" w:hAnsi="Cambria Math"/>
                <w:kern w:val="24"/>
                <w:lang w:eastAsia="ja-JP"/>
              </w:rPr>
              <m:t xml:space="preserve">1   </m:t>
            </m:r>
          </m:sub>
        </m:sSub>
      </m:oMath>
      <w:r w:rsidRPr="00EE2DE7">
        <w:rPr>
          <w:rFonts w:eastAsia="Calibri"/>
          <w:kern w:val="24"/>
          <w:lang w:eastAsia="ja-JP"/>
        </w:rPr>
        <w:t>=   Shuma e pikëve t</w:t>
      </w:r>
      <w:r w:rsidRPr="00EE2DE7">
        <w:rPr>
          <w:rFonts w:eastAsia="Tw Cen MT"/>
          <w:kern w:val="24"/>
        </w:rPr>
        <w:t>ë</w:t>
      </w:r>
      <w:r w:rsidRPr="00EE2DE7">
        <w:rPr>
          <w:rFonts w:eastAsia="Calibri"/>
          <w:kern w:val="24"/>
          <w:lang w:eastAsia="ja-JP"/>
        </w:rPr>
        <w:t xml:space="preserve"> provimit të lëndëve të Grupit I</w:t>
      </w:r>
    </w:p>
    <w:p w:rsidR="001B6E5A" w:rsidRPr="00EE2DE7" w:rsidRDefault="00CF3AE0" w:rsidP="001B6E5A">
      <w:pPr>
        <w:spacing w:line="276" w:lineRule="auto"/>
        <w:jc w:val="both"/>
        <w:rPr>
          <w:rFonts w:eastAsia="Calibri"/>
          <w:kern w:val="24"/>
          <w:lang w:eastAsia="ja-JP"/>
        </w:rPr>
      </w:pPr>
      <m:oMath>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1/2</m:t>
            </m:r>
          </m:sub>
        </m:sSub>
      </m:oMath>
      <w:r w:rsidR="001B6E5A" w:rsidRPr="00EE2DE7">
        <w:rPr>
          <w:rFonts w:eastAsia="Calibri"/>
          <w:kern w:val="24"/>
          <w:lang w:eastAsia="ja-JP"/>
        </w:rPr>
        <w:t xml:space="preserve">=  Shuma e pikëve të provimeve të Grupit II në vitin e parë </w:t>
      </w:r>
    </w:p>
    <w:p w:rsidR="001B6E5A" w:rsidRPr="00EE2DE7" w:rsidRDefault="00CF3AE0" w:rsidP="001B6E5A">
      <w:pPr>
        <w:spacing w:line="276" w:lineRule="auto"/>
        <w:jc w:val="both"/>
        <w:rPr>
          <w:rFonts w:eastAsia="Calibri"/>
          <w:kern w:val="24"/>
          <w:lang w:eastAsia="ja-JP"/>
        </w:rPr>
      </w:pPr>
      <m:oMath>
        <m:sSub>
          <m:sSubPr>
            <m:ctrlPr>
              <w:rPr>
                <w:rFonts w:ascii="Cambria Math" w:eastAsia="Tw Cen MT" w:hAnsi="Cambria Math"/>
                <w:kern w:val="24"/>
              </w:rPr>
            </m:ctrlPr>
          </m:sSubPr>
          <m:e>
            <m:r>
              <w:rPr>
                <w:rFonts w:ascii="Cambria Math" w:eastAsia="Tw Cen MT" w:hAnsi="Cambria Math"/>
                <w:kern w:val="24"/>
              </w:rPr>
              <m:t>f</m:t>
            </m:r>
          </m:e>
          <m:sub>
            <m:r>
              <m:rPr>
                <m:sty m:val="p"/>
              </m:rPr>
              <w:rPr>
                <w:rFonts w:ascii="Cambria Math" w:eastAsia="Tw Cen MT" w:hAnsi="Cambria Math"/>
                <w:kern w:val="24"/>
              </w:rPr>
              <m:t>1</m:t>
            </m:r>
          </m:sub>
        </m:sSub>
      </m:oMath>
      <w:r w:rsidR="00C057AA" w:rsidRPr="00EE2DE7">
        <w:rPr>
          <w:rFonts w:eastAsia="Calibri"/>
          <w:kern w:val="24"/>
        </w:rPr>
        <w:fldChar w:fldCharType="begin"/>
      </w:r>
      <w:r w:rsidR="001B6E5A" w:rsidRPr="00EE2DE7">
        <w:rPr>
          <w:rFonts w:eastAsia="Calibri"/>
          <w:kern w:val="24"/>
        </w:rPr>
        <w:instrText xml:space="preserve"> QUOTE </w:instrText>
      </w:r>
      <m:oMath>
        <m:sSub>
          <m:sSubPr>
            <m:ctrlPr>
              <w:rPr>
                <w:rFonts w:ascii="Cambria Math" w:eastAsia="Tw Cen MT" w:hAnsi="Cambria Math"/>
                <w:kern w:val="24"/>
              </w:rPr>
            </m:ctrlPr>
          </m:sSubPr>
          <m:e>
            <m:r>
              <m:rPr>
                <m:sty m:val="p"/>
              </m:rPr>
              <w:rPr>
                <w:rFonts w:ascii="Cambria Math" w:eastAsia="Tw Cen MT" w:hAnsi="Cambria Math"/>
                <w:kern w:val="24"/>
              </w:rPr>
              <m:t>f</m:t>
            </m:r>
          </m:e>
          <m:sub>
            <m:r>
              <m:rPr>
                <m:sty m:val="p"/>
              </m:rPr>
              <w:rPr>
                <w:rFonts w:ascii="Cambria Math" w:eastAsia="Tw Cen MT" w:hAnsi="Cambria Math"/>
                <w:kern w:val="24"/>
              </w:rPr>
              <m:t>1</m:t>
            </m:r>
          </m:sub>
        </m:sSub>
      </m:oMath>
      <w:r w:rsidR="00C057AA" w:rsidRPr="00EE2DE7">
        <w:rPr>
          <w:rFonts w:eastAsia="Calibri"/>
          <w:kern w:val="24"/>
        </w:rPr>
        <w:fldChar w:fldCharType="end"/>
      </w:r>
      <w:r w:rsidR="001B6E5A" w:rsidRPr="00EE2DE7">
        <w:rPr>
          <w:rFonts w:eastAsia="Calibri"/>
          <w:kern w:val="24"/>
        </w:rPr>
        <w:t>=</w:t>
      </w:r>
      <w:r w:rsidR="001B6E5A" w:rsidRPr="00EE2DE7">
        <w:rPr>
          <w:rFonts w:eastAsia="Calibri"/>
          <w:kern w:val="24"/>
          <w:lang w:eastAsia="ja-JP"/>
        </w:rPr>
        <w:t xml:space="preserve"> 1.5 (një pik</w:t>
      </w:r>
      <w:r w:rsidR="001B6E5A" w:rsidRPr="00EE2DE7">
        <w:rPr>
          <w:rFonts w:eastAsia="Tw Cen MT"/>
          <w:kern w:val="24"/>
        </w:rPr>
        <w:t>ë</w:t>
      </w:r>
      <w:r w:rsidR="001B6E5A" w:rsidRPr="00EE2DE7">
        <w:rPr>
          <w:rFonts w:eastAsia="Calibri"/>
          <w:kern w:val="24"/>
          <w:lang w:eastAsia="ja-JP"/>
        </w:rPr>
        <w:t xml:space="preserve"> pesë) </w:t>
      </w:r>
      <w:r w:rsidR="001B6E5A" w:rsidRPr="00EE2DE7">
        <w:rPr>
          <w:rFonts w:eastAsia="Calibri"/>
          <w:kern w:val="24"/>
        </w:rPr>
        <w:t>Koefi</w:t>
      </w:r>
      <w:r w:rsidR="001B6E5A" w:rsidRPr="00EE2DE7">
        <w:rPr>
          <w:rFonts w:eastAsia="Calibri"/>
          <w:kern w:val="24"/>
          <w:lang w:eastAsia="ja-JP"/>
        </w:rPr>
        <w:t>cienti i vështirësisë së Grupit I</w:t>
      </w:r>
    </w:p>
    <w:p w:rsidR="001B6E5A" w:rsidRPr="00EE2DE7" w:rsidRDefault="00CF3AE0" w:rsidP="001B6E5A">
      <w:pPr>
        <w:spacing w:line="276" w:lineRule="auto"/>
        <w:jc w:val="both"/>
        <w:rPr>
          <w:rFonts w:eastAsia="Calibri"/>
          <w:kern w:val="24"/>
          <w:lang w:eastAsia="ja-JP"/>
        </w:rPr>
      </w:pPr>
      <m:oMath>
        <m:sSub>
          <m:sSubPr>
            <m:ctrlPr>
              <w:rPr>
                <w:rFonts w:ascii="Cambria Math" w:eastAsia="Tw Cen MT" w:hAnsi="Cambria Math"/>
                <w:kern w:val="24"/>
              </w:rPr>
            </m:ctrlPr>
          </m:sSubPr>
          <m:e>
            <m:r>
              <w:rPr>
                <w:rFonts w:ascii="Cambria Math" w:eastAsia="Tw Cen MT" w:hAnsi="Cambria Math"/>
                <w:kern w:val="24"/>
              </w:rPr>
              <m:t>f</m:t>
            </m:r>
          </m:e>
          <m:sub>
            <m:r>
              <m:rPr>
                <m:sty m:val="p"/>
              </m:rPr>
              <w:rPr>
                <w:rFonts w:ascii="Cambria Math" w:eastAsia="Tw Cen MT" w:hAnsi="Cambria Math"/>
                <w:kern w:val="24"/>
              </w:rPr>
              <m:t>2</m:t>
            </m:r>
          </m:sub>
        </m:sSub>
      </m:oMath>
      <w:r w:rsidR="001B6E5A" w:rsidRPr="00EE2DE7">
        <w:rPr>
          <w:rFonts w:eastAsia="Calibri"/>
          <w:kern w:val="24"/>
        </w:rPr>
        <w:t>=</w:t>
      </w:r>
      <w:r w:rsidR="001B6E5A" w:rsidRPr="00EE2DE7">
        <w:rPr>
          <w:rFonts w:eastAsia="Calibri"/>
          <w:kern w:val="24"/>
          <w:lang w:eastAsia="ja-JP"/>
        </w:rPr>
        <w:t xml:space="preserve"> 1 (një) </w:t>
      </w:r>
      <w:r w:rsidR="001B6E5A" w:rsidRPr="00EE2DE7">
        <w:rPr>
          <w:rFonts w:eastAsia="Calibri"/>
          <w:kern w:val="24"/>
        </w:rPr>
        <w:t>Koefi</w:t>
      </w:r>
      <w:r w:rsidR="001B6E5A" w:rsidRPr="00EE2DE7">
        <w:rPr>
          <w:rFonts w:eastAsia="Calibri"/>
          <w:kern w:val="24"/>
          <w:lang w:eastAsia="ja-JP"/>
        </w:rPr>
        <w:t xml:space="preserve">cienti i vështirësisë së Grupit II </w:t>
      </w:r>
    </w:p>
    <w:p w:rsidR="001B6E5A" w:rsidRPr="00EE2DE7" w:rsidRDefault="001B6E5A" w:rsidP="001B6E5A">
      <w:pPr>
        <w:jc w:val="both"/>
        <w:rPr>
          <w:rFonts w:eastAsia="Calibri"/>
          <w:kern w:val="24"/>
          <w:lang w:eastAsia="ja-JP"/>
        </w:rPr>
      </w:pPr>
    </w:p>
    <w:p w:rsidR="00B02831" w:rsidRDefault="00B02831" w:rsidP="00D0460F">
      <w:pPr>
        <w:pStyle w:val="My"/>
        <w:spacing w:line="276" w:lineRule="auto"/>
        <w:jc w:val="both"/>
        <w:rPr>
          <w:rFonts w:ascii="Times New Roman" w:hAnsi="Times New Roman" w:cs="Times New Roman"/>
          <w:b/>
          <w:lang w:val="en-US"/>
        </w:rPr>
      </w:pPr>
    </w:p>
    <w:p w:rsidR="00B02831" w:rsidRDefault="00B02831" w:rsidP="00D0460F">
      <w:pPr>
        <w:pStyle w:val="My"/>
        <w:spacing w:line="276" w:lineRule="auto"/>
        <w:jc w:val="both"/>
        <w:rPr>
          <w:rFonts w:ascii="Times New Roman" w:hAnsi="Times New Roman" w:cs="Times New Roman"/>
          <w:b/>
          <w:lang w:val="en-US"/>
        </w:rPr>
      </w:pPr>
    </w:p>
    <w:p w:rsidR="00B02831" w:rsidRPr="001B6E5A" w:rsidRDefault="001B6E5A" w:rsidP="00D0460F">
      <w:pPr>
        <w:pStyle w:val="My"/>
        <w:spacing w:line="276" w:lineRule="auto"/>
        <w:jc w:val="both"/>
        <w:rPr>
          <w:rFonts w:ascii="Times New Roman" w:hAnsi="Times New Roman" w:cs="Times New Roman"/>
          <w:b/>
          <w:color w:val="CC9966" w:themeColor="accent2"/>
          <w:sz w:val="32"/>
          <w:lang w:val="en-US"/>
        </w:rPr>
      </w:pPr>
      <w:r w:rsidRPr="001B6E5A">
        <w:rPr>
          <w:rFonts w:ascii="Times New Roman" w:hAnsi="Times New Roman" w:cs="Times New Roman"/>
          <w:b/>
          <w:color w:val="CC9966" w:themeColor="accent2"/>
          <w:sz w:val="32"/>
          <w:lang w:val="en-US"/>
        </w:rPr>
        <w:lastRenderedPageBreak/>
        <w:t>1.4</w:t>
      </w:r>
      <w:r w:rsidR="00A41A6D">
        <w:rPr>
          <w:rFonts w:ascii="Times New Roman" w:hAnsi="Times New Roman" w:cs="Times New Roman"/>
          <w:b/>
          <w:color w:val="CC9966" w:themeColor="accent2"/>
          <w:sz w:val="32"/>
          <w:lang w:val="en-US"/>
        </w:rPr>
        <w:t xml:space="preserve">. </w:t>
      </w:r>
      <w:r w:rsidRPr="001B6E5A">
        <w:rPr>
          <w:rFonts w:ascii="Times New Roman" w:hAnsi="Times New Roman" w:cs="Times New Roman"/>
          <w:b/>
          <w:color w:val="CC9966" w:themeColor="accent2"/>
          <w:sz w:val="32"/>
          <w:lang w:val="en-US"/>
        </w:rPr>
        <w:t>Realizimi i programit mësimor të vitit të dytë të Shkollës</w:t>
      </w:r>
    </w:p>
    <w:p w:rsidR="00B02831" w:rsidRDefault="00B02831" w:rsidP="00D0460F">
      <w:pPr>
        <w:pStyle w:val="My"/>
        <w:spacing w:line="276" w:lineRule="auto"/>
        <w:jc w:val="both"/>
        <w:rPr>
          <w:rFonts w:ascii="Times New Roman" w:hAnsi="Times New Roman" w:cs="Times New Roman"/>
          <w:b/>
          <w:lang w:val="en-US"/>
        </w:rPr>
      </w:pPr>
    </w:p>
    <w:p w:rsidR="00036DBB" w:rsidRPr="00036DBB" w:rsidRDefault="00036DBB" w:rsidP="00036DBB">
      <w:pPr>
        <w:spacing w:line="276" w:lineRule="auto"/>
        <w:ind w:right="26"/>
        <w:jc w:val="both"/>
        <w:rPr>
          <w:rFonts w:eastAsia="Tw Cen MT"/>
        </w:rPr>
      </w:pPr>
      <w:r w:rsidRPr="00036DBB">
        <w:rPr>
          <w:rFonts w:eastAsia="Tw Cen MT"/>
        </w:rPr>
        <w:t xml:space="preserve">Në vitin e dytë Shkolla e Magjistraturës pati 25 kandidatë për magjistratë. </w:t>
      </w:r>
    </w:p>
    <w:p w:rsidR="00036DBB" w:rsidRPr="00036DBB" w:rsidRDefault="00036DBB" w:rsidP="00036DBB">
      <w:pPr>
        <w:spacing w:line="276" w:lineRule="auto"/>
        <w:ind w:right="26"/>
        <w:jc w:val="both"/>
        <w:rPr>
          <w:rFonts w:eastAsia="Tw Cen MT"/>
        </w:rPr>
      </w:pPr>
      <w:r w:rsidRPr="00036DBB">
        <w:rPr>
          <w:rFonts w:eastAsia="Tw Cen MT"/>
        </w:rPr>
        <w:t>Gjatë vitit akademik kandidatët kishin ngarkesën mësimore si më poshtë:</w:t>
      </w:r>
    </w:p>
    <w:p w:rsidR="00036DBB" w:rsidRPr="00036DBB" w:rsidRDefault="00036DBB" w:rsidP="00036DBB">
      <w:pPr>
        <w:spacing w:line="276" w:lineRule="auto"/>
        <w:ind w:right="26"/>
        <w:jc w:val="both"/>
        <w:rPr>
          <w:rFonts w:eastAsia="Tw Cen MT"/>
        </w:rPr>
      </w:pPr>
      <w:r w:rsidRPr="00036DBB">
        <w:rPr>
          <w:rFonts w:eastAsia="Tw Cen MT"/>
        </w:rPr>
        <w:t>Në total një ngarkesë mësimore dhe praktike prej 1272 orësh, nga të cilat:</w:t>
      </w:r>
    </w:p>
    <w:p w:rsidR="00036DBB" w:rsidRPr="00036DBB" w:rsidRDefault="00036DBB" w:rsidP="00036DBB">
      <w:pPr>
        <w:spacing w:line="276" w:lineRule="auto"/>
        <w:ind w:right="26"/>
        <w:jc w:val="both"/>
        <w:rPr>
          <w:rFonts w:eastAsia="Tw Cen MT"/>
        </w:rPr>
      </w:pPr>
      <w:r w:rsidRPr="00036DBB">
        <w:rPr>
          <w:rFonts w:eastAsia="Tw Cen MT"/>
        </w:rPr>
        <w:t>-</w:t>
      </w:r>
      <w:r w:rsidRPr="00036DBB">
        <w:rPr>
          <w:rFonts w:eastAsia="Tw Cen MT"/>
        </w:rPr>
        <w:tab/>
        <w:t xml:space="preserve">896 orë praktikë vëzhguese në organet e drejtësisë dhe institucione të tjera; </w:t>
      </w:r>
    </w:p>
    <w:p w:rsidR="00036DBB" w:rsidRPr="00036DBB" w:rsidRDefault="00036DBB" w:rsidP="00036DBB">
      <w:pPr>
        <w:spacing w:line="276" w:lineRule="auto"/>
        <w:ind w:right="26"/>
        <w:jc w:val="both"/>
        <w:rPr>
          <w:rFonts w:eastAsia="Tw Cen MT"/>
        </w:rPr>
      </w:pPr>
      <w:r w:rsidRPr="00036DBB">
        <w:rPr>
          <w:rFonts w:eastAsia="Tw Cen MT"/>
        </w:rPr>
        <w:t>-</w:t>
      </w:r>
      <w:r w:rsidRPr="00036DBB">
        <w:rPr>
          <w:rFonts w:eastAsia="Tw Cen MT"/>
        </w:rPr>
        <w:tab/>
        <w:t xml:space="preserve">376 orë të formimit teorik dhe praktik. </w:t>
      </w:r>
    </w:p>
    <w:p w:rsidR="00036DBB" w:rsidRPr="00036DBB" w:rsidRDefault="00036DBB" w:rsidP="00036DBB">
      <w:pPr>
        <w:spacing w:line="276" w:lineRule="auto"/>
        <w:ind w:right="26"/>
        <w:jc w:val="both"/>
        <w:rPr>
          <w:rFonts w:eastAsia="Tw Cen MT"/>
        </w:rPr>
      </w:pPr>
      <w:r w:rsidRPr="00036DBB">
        <w:rPr>
          <w:rFonts w:eastAsia="Tw Cen MT"/>
        </w:rPr>
        <w:t xml:space="preserve">Ndarja e ngarkesës së tyre në institucione dhe në auditor sipas semestrave është si më poshtë: </w:t>
      </w:r>
    </w:p>
    <w:p w:rsidR="00036DBB" w:rsidRPr="00036DBB" w:rsidRDefault="00036DBB" w:rsidP="00036DBB">
      <w:pPr>
        <w:spacing w:line="276" w:lineRule="auto"/>
        <w:ind w:right="26"/>
        <w:jc w:val="both"/>
        <w:rPr>
          <w:rFonts w:eastAsia="Tw Cen MT"/>
        </w:rPr>
      </w:pPr>
      <w:r w:rsidRPr="00036DBB">
        <w:rPr>
          <w:rFonts w:eastAsia="Tw Cen MT"/>
        </w:rPr>
        <w:t>-</w:t>
      </w:r>
      <w:r w:rsidRPr="00036DBB">
        <w:rPr>
          <w:rFonts w:eastAsia="Tw Cen MT"/>
        </w:rPr>
        <w:tab/>
        <w:t>4 ditë në javë në praktikë - 1 ditë në javë në Shkollë - Semestri I;</w:t>
      </w:r>
    </w:p>
    <w:p w:rsidR="00036DBB" w:rsidRDefault="00036DBB" w:rsidP="00036DBB">
      <w:pPr>
        <w:spacing w:line="276" w:lineRule="auto"/>
        <w:ind w:right="26"/>
        <w:jc w:val="both"/>
        <w:rPr>
          <w:rFonts w:eastAsia="Tw Cen MT"/>
        </w:rPr>
      </w:pPr>
      <w:r w:rsidRPr="00036DBB">
        <w:rPr>
          <w:rFonts w:eastAsia="Tw Cen MT"/>
        </w:rPr>
        <w:t>-</w:t>
      </w:r>
      <w:r w:rsidRPr="00036DBB">
        <w:rPr>
          <w:rFonts w:eastAsia="Tw Cen MT"/>
        </w:rPr>
        <w:tab/>
        <w:t>3 ditë në javë në praktikë - 2 ditë në javë në Shkollë - Semestri II.</w:t>
      </w:r>
    </w:p>
    <w:p w:rsidR="00036DBB" w:rsidRPr="00036DBB" w:rsidRDefault="00036DBB" w:rsidP="00036DBB">
      <w:pPr>
        <w:spacing w:line="276" w:lineRule="auto"/>
        <w:ind w:right="26"/>
        <w:jc w:val="both"/>
        <w:rPr>
          <w:rFonts w:eastAsia="Tw Cen MT"/>
        </w:rPr>
      </w:pPr>
    </w:p>
    <w:p w:rsidR="00036DBB" w:rsidRDefault="00036DBB" w:rsidP="00036DBB">
      <w:pPr>
        <w:spacing w:line="276" w:lineRule="auto"/>
        <w:ind w:right="26"/>
        <w:jc w:val="both"/>
        <w:rPr>
          <w:rFonts w:eastAsia="Tw Cen MT"/>
        </w:rPr>
      </w:pPr>
      <w:r w:rsidRPr="00036DBB">
        <w:rPr>
          <w:rFonts w:eastAsia="Tw Cen MT"/>
        </w:rPr>
        <w:t xml:space="preserve">Në vitin e dytë u zhvilluan: </w:t>
      </w:r>
    </w:p>
    <w:p w:rsidR="00036DBB" w:rsidRPr="00036DBB" w:rsidRDefault="00036DBB" w:rsidP="00036DBB">
      <w:pPr>
        <w:spacing w:line="276" w:lineRule="auto"/>
        <w:ind w:right="26"/>
        <w:jc w:val="both"/>
        <w:rPr>
          <w:rFonts w:eastAsia="Tw Cen MT"/>
        </w:rPr>
      </w:pPr>
    </w:p>
    <w:p w:rsidR="00036DBB" w:rsidRPr="00036DBB" w:rsidRDefault="00036DBB" w:rsidP="00036DBB">
      <w:pPr>
        <w:spacing w:line="276" w:lineRule="auto"/>
        <w:ind w:right="26"/>
        <w:jc w:val="both"/>
        <w:rPr>
          <w:rFonts w:eastAsia="Tw Cen MT"/>
        </w:rPr>
      </w:pPr>
      <w:r w:rsidRPr="00036DBB">
        <w:rPr>
          <w:rFonts w:eastAsia="Tw Cen MT"/>
        </w:rPr>
        <w:t xml:space="preserve"> </w:t>
      </w:r>
      <w:r w:rsidRPr="00036DBB">
        <w:rPr>
          <w:b/>
          <w:color w:val="CC9966" w:themeColor="accent2"/>
          <w:sz w:val="28"/>
        </w:rPr>
        <w:t>Grupi i dytë</w:t>
      </w:r>
    </w:p>
    <w:p w:rsidR="00B27682" w:rsidRDefault="00036DBB" w:rsidP="00036DBB">
      <w:pPr>
        <w:spacing w:line="276" w:lineRule="auto"/>
        <w:ind w:right="26"/>
        <w:jc w:val="both"/>
        <w:rPr>
          <w:rFonts w:eastAsia="Tw Cen MT"/>
          <w:b/>
        </w:rPr>
      </w:pPr>
      <w:r w:rsidRPr="00036DBB">
        <w:rPr>
          <w:rFonts w:eastAsia="Tw Cen MT"/>
          <w:b/>
        </w:rPr>
        <w:t>1.</w:t>
      </w:r>
      <w:r w:rsidRPr="00036DBB">
        <w:rPr>
          <w:rFonts w:eastAsia="Tw Cen MT"/>
          <w:b/>
        </w:rPr>
        <w:tab/>
        <w:t>Kurset në funksion të formimit të përgjithshëm</w:t>
      </w:r>
    </w:p>
    <w:p w:rsidR="00B27682" w:rsidRPr="00B27682" w:rsidRDefault="00036DBB" w:rsidP="005C2687">
      <w:pPr>
        <w:pStyle w:val="ListParagraph"/>
        <w:numPr>
          <w:ilvl w:val="0"/>
          <w:numId w:val="8"/>
        </w:numPr>
        <w:spacing w:line="276" w:lineRule="auto"/>
        <w:ind w:right="26"/>
        <w:jc w:val="both"/>
        <w:rPr>
          <w:rFonts w:eastAsia="Tw Cen MT"/>
          <w:b/>
        </w:rPr>
      </w:pPr>
      <w:r w:rsidRPr="00B27682">
        <w:rPr>
          <w:rFonts w:eastAsia="Tw Cen MT"/>
        </w:rPr>
        <w:t>Psikologji dhe komunikim;</w:t>
      </w:r>
    </w:p>
    <w:p w:rsidR="00B27682" w:rsidRPr="00B27682" w:rsidRDefault="00036DBB" w:rsidP="005C2687">
      <w:pPr>
        <w:pStyle w:val="ListParagraph"/>
        <w:numPr>
          <w:ilvl w:val="0"/>
          <w:numId w:val="8"/>
        </w:numPr>
        <w:spacing w:line="276" w:lineRule="auto"/>
        <w:ind w:right="26"/>
        <w:jc w:val="both"/>
        <w:rPr>
          <w:rFonts w:eastAsia="Tw Cen MT"/>
          <w:b/>
        </w:rPr>
      </w:pPr>
      <w:r w:rsidRPr="00B27682">
        <w:rPr>
          <w:rFonts w:eastAsia="Tw Cen MT"/>
        </w:rPr>
        <w:t>Anglishtja ligjore;</w:t>
      </w:r>
    </w:p>
    <w:p w:rsidR="00B27682" w:rsidRPr="00B27682" w:rsidRDefault="00036DBB" w:rsidP="005C2687">
      <w:pPr>
        <w:pStyle w:val="ListParagraph"/>
        <w:numPr>
          <w:ilvl w:val="0"/>
          <w:numId w:val="8"/>
        </w:numPr>
        <w:spacing w:line="276" w:lineRule="auto"/>
        <w:ind w:right="26"/>
        <w:jc w:val="both"/>
        <w:rPr>
          <w:rFonts w:eastAsia="Tw Cen MT"/>
          <w:b/>
        </w:rPr>
      </w:pPr>
      <w:r w:rsidRPr="00B27682">
        <w:rPr>
          <w:rFonts w:eastAsia="Tw Cen MT"/>
        </w:rPr>
        <w:t>Kriminalistikë;</w:t>
      </w:r>
    </w:p>
    <w:p w:rsidR="00B27682" w:rsidRPr="00B27682" w:rsidRDefault="00036DBB" w:rsidP="005C2687">
      <w:pPr>
        <w:pStyle w:val="ListParagraph"/>
        <w:numPr>
          <w:ilvl w:val="0"/>
          <w:numId w:val="8"/>
        </w:numPr>
        <w:spacing w:line="276" w:lineRule="auto"/>
        <w:ind w:right="26"/>
        <w:jc w:val="both"/>
        <w:rPr>
          <w:rFonts w:eastAsia="Tw Cen MT"/>
          <w:b/>
        </w:rPr>
      </w:pPr>
      <w:r w:rsidRPr="00B27682">
        <w:rPr>
          <w:rFonts w:eastAsia="Tw Cen MT"/>
        </w:rPr>
        <w:t xml:space="preserve">Informatikë ligjore. </w:t>
      </w:r>
    </w:p>
    <w:p w:rsidR="00B27682" w:rsidRPr="00B27682" w:rsidRDefault="00B27682" w:rsidP="00B27682">
      <w:pPr>
        <w:spacing w:line="276" w:lineRule="auto"/>
        <w:ind w:left="360" w:right="26"/>
        <w:jc w:val="both"/>
        <w:rPr>
          <w:rFonts w:eastAsia="Tw Cen MT"/>
          <w:b/>
        </w:rPr>
      </w:pPr>
    </w:p>
    <w:p w:rsidR="00B27682" w:rsidRDefault="00B27682" w:rsidP="00036DBB">
      <w:pPr>
        <w:spacing w:line="276" w:lineRule="auto"/>
        <w:ind w:right="26"/>
        <w:jc w:val="both"/>
        <w:rPr>
          <w:rFonts w:eastAsia="Tw Cen MT"/>
          <w:b/>
        </w:rPr>
      </w:pPr>
      <w:r>
        <w:rPr>
          <w:rFonts w:eastAsia="Tw Cen MT"/>
          <w:b/>
        </w:rPr>
        <w:t xml:space="preserve">2.         </w:t>
      </w:r>
      <w:r w:rsidR="00036DBB" w:rsidRPr="00B27682">
        <w:rPr>
          <w:rFonts w:eastAsia="Tw Cen MT"/>
          <w:b/>
        </w:rPr>
        <w:t>Kurse praktike</w:t>
      </w:r>
    </w:p>
    <w:p w:rsidR="00B27682" w:rsidRPr="00B27682" w:rsidRDefault="00036DBB" w:rsidP="005C2687">
      <w:pPr>
        <w:pStyle w:val="ListParagraph"/>
        <w:numPr>
          <w:ilvl w:val="0"/>
          <w:numId w:val="9"/>
        </w:numPr>
        <w:spacing w:line="276" w:lineRule="auto"/>
        <w:ind w:right="26"/>
        <w:jc w:val="both"/>
        <w:rPr>
          <w:rFonts w:eastAsia="Tw Cen MT"/>
          <w:b/>
        </w:rPr>
      </w:pPr>
      <w:r w:rsidRPr="00B27682">
        <w:rPr>
          <w:rFonts w:eastAsia="Tw Cen MT"/>
        </w:rPr>
        <w:t xml:space="preserve">Klinika ligjore dhe shkencore; </w:t>
      </w:r>
    </w:p>
    <w:p w:rsidR="00B27682" w:rsidRPr="00B27682" w:rsidRDefault="00036DBB" w:rsidP="005C2687">
      <w:pPr>
        <w:pStyle w:val="ListParagraph"/>
        <w:numPr>
          <w:ilvl w:val="0"/>
          <w:numId w:val="9"/>
        </w:numPr>
        <w:spacing w:line="276" w:lineRule="auto"/>
        <w:ind w:right="26"/>
        <w:jc w:val="both"/>
        <w:rPr>
          <w:rFonts w:eastAsia="Tw Cen MT"/>
          <w:b/>
        </w:rPr>
      </w:pPr>
      <w:r w:rsidRPr="00B27682">
        <w:rPr>
          <w:rFonts w:eastAsia="Tw Cen MT"/>
        </w:rPr>
        <w:t>Aftësimi i prezantimit të çështjes në gjyq;</w:t>
      </w:r>
    </w:p>
    <w:p w:rsidR="00036DBB" w:rsidRPr="00B27682" w:rsidRDefault="00036DBB" w:rsidP="005C2687">
      <w:pPr>
        <w:pStyle w:val="ListParagraph"/>
        <w:numPr>
          <w:ilvl w:val="0"/>
          <w:numId w:val="9"/>
        </w:numPr>
        <w:spacing w:line="276" w:lineRule="auto"/>
        <w:ind w:right="26"/>
        <w:jc w:val="both"/>
        <w:rPr>
          <w:rFonts w:eastAsia="Tw Cen MT"/>
          <w:b/>
        </w:rPr>
      </w:pPr>
      <w:r w:rsidRPr="00B27682">
        <w:rPr>
          <w:rFonts w:eastAsia="Tw Cen MT"/>
        </w:rPr>
        <w:t xml:space="preserve">Shkrimi dhe arsyetimi ligjor. </w:t>
      </w:r>
    </w:p>
    <w:p w:rsidR="00036DBB" w:rsidRPr="00036DBB" w:rsidRDefault="00036DBB" w:rsidP="00036DBB">
      <w:pPr>
        <w:spacing w:line="276" w:lineRule="auto"/>
        <w:ind w:right="26"/>
        <w:jc w:val="both"/>
        <w:rPr>
          <w:rFonts w:eastAsia="Tw Cen MT"/>
          <w:b/>
        </w:rPr>
      </w:pPr>
    </w:p>
    <w:p w:rsidR="00036DBB" w:rsidRDefault="00036DBB" w:rsidP="00036DBB">
      <w:pPr>
        <w:spacing w:line="276" w:lineRule="auto"/>
        <w:ind w:right="26"/>
        <w:jc w:val="both"/>
        <w:rPr>
          <w:rFonts w:eastAsia="Tw Cen MT"/>
          <w:b/>
        </w:rPr>
      </w:pPr>
      <w:r w:rsidRPr="00036DBB">
        <w:rPr>
          <w:rFonts w:eastAsia="Tw Cen MT"/>
          <w:b/>
        </w:rPr>
        <w:t xml:space="preserve">3. </w:t>
      </w:r>
      <w:r w:rsidR="00B27682">
        <w:rPr>
          <w:rFonts w:eastAsia="Tw Cen MT"/>
          <w:b/>
        </w:rPr>
        <w:t xml:space="preserve">        </w:t>
      </w:r>
      <w:r w:rsidRPr="00036DBB">
        <w:rPr>
          <w:rFonts w:eastAsia="Tw Cen MT"/>
          <w:b/>
        </w:rPr>
        <w:t>Praktika sipas këtyre fushave</w:t>
      </w:r>
    </w:p>
    <w:p w:rsidR="00B27682" w:rsidRPr="00B27682" w:rsidRDefault="00036DBB" w:rsidP="005C2687">
      <w:pPr>
        <w:pStyle w:val="ListParagraph"/>
        <w:numPr>
          <w:ilvl w:val="0"/>
          <w:numId w:val="7"/>
        </w:numPr>
        <w:spacing w:line="276" w:lineRule="auto"/>
        <w:ind w:right="26"/>
        <w:jc w:val="both"/>
        <w:rPr>
          <w:rFonts w:eastAsia="Tw Cen MT"/>
          <w:b/>
        </w:rPr>
      </w:pPr>
      <w:r w:rsidRPr="00036DBB">
        <w:rPr>
          <w:rFonts w:eastAsia="Tw Cen MT"/>
        </w:rPr>
        <w:t>Diskutime të çështjeve të praktikës;</w:t>
      </w:r>
    </w:p>
    <w:p w:rsidR="00B27682" w:rsidRPr="00B27682" w:rsidRDefault="00036DBB" w:rsidP="005C2687">
      <w:pPr>
        <w:pStyle w:val="ListParagraph"/>
        <w:numPr>
          <w:ilvl w:val="0"/>
          <w:numId w:val="7"/>
        </w:numPr>
        <w:spacing w:line="276" w:lineRule="auto"/>
        <w:ind w:right="26"/>
        <w:jc w:val="both"/>
        <w:rPr>
          <w:rFonts w:eastAsia="Tw Cen MT"/>
          <w:b/>
        </w:rPr>
      </w:pPr>
      <w:r w:rsidRPr="00B27682">
        <w:rPr>
          <w:rFonts w:eastAsia="Tw Cen MT"/>
        </w:rPr>
        <w:t xml:space="preserve">Çështje që lidhen me fushën penale; </w:t>
      </w:r>
    </w:p>
    <w:p w:rsidR="00B27682" w:rsidRPr="00B27682" w:rsidRDefault="00036DBB" w:rsidP="005C2687">
      <w:pPr>
        <w:pStyle w:val="ListParagraph"/>
        <w:numPr>
          <w:ilvl w:val="0"/>
          <w:numId w:val="7"/>
        </w:numPr>
        <w:spacing w:line="276" w:lineRule="auto"/>
        <w:ind w:right="26"/>
        <w:jc w:val="both"/>
        <w:rPr>
          <w:rFonts w:eastAsia="Tw Cen MT"/>
          <w:b/>
        </w:rPr>
      </w:pPr>
      <w:r w:rsidRPr="00B27682">
        <w:rPr>
          <w:rFonts w:eastAsia="Tw Cen MT"/>
        </w:rPr>
        <w:t xml:space="preserve">Çështje që lidhen me fushën civile; </w:t>
      </w:r>
    </w:p>
    <w:p w:rsidR="00B27682" w:rsidRPr="00B27682" w:rsidRDefault="00036DBB" w:rsidP="005C2687">
      <w:pPr>
        <w:pStyle w:val="ListParagraph"/>
        <w:numPr>
          <w:ilvl w:val="0"/>
          <w:numId w:val="7"/>
        </w:numPr>
        <w:spacing w:line="276" w:lineRule="auto"/>
        <w:ind w:right="26"/>
        <w:jc w:val="both"/>
        <w:rPr>
          <w:rFonts w:eastAsia="Tw Cen MT"/>
          <w:b/>
        </w:rPr>
      </w:pPr>
      <w:r w:rsidRPr="00B27682">
        <w:rPr>
          <w:rFonts w:eastAsia="Tw Cen MT"/>
        </w:rPr>
        <w:t>Çështje që lidhen me fushën administrative;</w:t>
      </w:r>
    </w:p>
    <w:p w:rsidR="00036DBB" w:rsidRPr="00B27682" w:rsidRDefault="00036DBB" w:rsidP="005C2687">
      <w:pPr>
        <w:pStyle w:val="ListParagraph"/>
        <w:numPr>
          <w:ilvl w:val="0"/>
          <w:numId w:val="7"/>
        </w:numPr>
        <w:spacing w:line="276" w:lineRule="auto"/>
        <w:ind w:right="26"/>
        <w:jc w:val="both"/>
        <w:rPr>
          <w:rFonts w:eastAsia="Tw Cen MT"/>
          <w:b/>
        </w:rPr>
      </w:pPr>
      <w:r w:rsidRPr="00B27682">
        <w:rPr>
          <w:rFonts w:eastAsia="Tw Cen MT"/>
        </w:rPr>
        <w:t xml:space="preserve">Çështje që lidhen me fushën kushtetuese. </w:t>
      </w:r>
    </w:p>
    <w:p w:rsidR="00036DBB" w:rsidRPr="00036DBB" w:rsidRDefault="00036DBB" w:rsidP="00036DBB">
      <w:pPr>
        <w:spacing w:line="276" w:lineRule="auto"/>
        <w:ind w:right="26"/>
        <w:jc w:val="both"/>
        <w:rPr>
          <w:rFonts w:eastAsia="Tw Cen MT"/>
        </w:rPr>
      </w:pPr>
    </w:p>
    <w:p w:rsidR="00036DBB" w:rsidRPr="00B27682" w:rsidRDefault="00036DBB" w:rsidP="00036DBB">
      <w:pPr>
        <w:spacing w:line="276" w:lineRule="auto"/>
        <w:ind w:right="26"/>
        <w:jc w:val="both"/>
        <w:rPr>
          <w:rFonts w:eastAsia="Tw Cen MT"/>
          <w:b/>
        </w:rPr>
      </w:pPr>
      <w:r w:rsidRPr="00B27682">
        <w:rPr>
          <w:rFonts w:eastAsia="Tw Cen MT"/>
          <w:b/>
        </w:rPr>
        <w:t xml:space="preserve">4.   </w:t>
      </w:r>
      <w:r w:rsidR="00B27682">
        <w:rPr>
          <w:rFonts w:eastAsia="Tw Cen MT"/>
          <w:b/>
        </w:rPr>
        <w:t xml:space="preserve">      </w:t>
      </w:r>
      <w:r w:rsidRPr="00B27682">
        <w:rPr>
          <w:rFonts w:eastAsia="Tw Cen MT"/>
          <w:b/>
        </w:rPr>
        <w:t>Gjyqe imituese / debat</w:t>
      </w:r>
    </w:p>
    <w:p w:rsidR="00036DBB" w:rsidRPr="00036DBB" w:rsidRDefault="00036DBB" w:rsidP="00036DBB">
      <w:pPr>
        <w:spacing w:line="276" w:lineRule="auto"/>
        <w:ind w:right="26"/>
        <w:jc w:val="both"/>
        <w:rPr>
          <w:rFonts w:eastAsia="Tw Cen MT"/>
        </w:rPr>
      </w:pPr>
      <w:r w:rsidRPr="00036DBB">
        <w:rPr>
          <w:rFonts w:eastAsia="Tw Cen MT"/>
        </w:rPr>
        <w:t xml:space="preserve">             Përgatitje aktesh. </w:t>
      </w:r>
    </w:p>
    <w:p w:rsidR="00036DBB" w:rsidRPr="00036DBB" w:rsidRDefault="00036DBB" w:rsidP="00036DBB">
      <w:pPr>
        <w:spacing w:line="276" w:lineRule="auto"/>
        <w:ind w:right="26"/>
        <w:jc w:val="both"/>
        <w:rPr>
          <w:rFonts w:eastAsia="Tw Cen MT"/>
        </w:rPr>
      </w:pPr>
    </w:p>
    <w:p w:rsidR="00036DBB" w:rsidRPr="00B27682" w:rsidRDefault="00036DBB" w:rsidP="00036DBB">
      <w:pPr>
        <w:spacing w:line="276" w:lineRule="auto"/>
        <w:ind w:right="26"/>
        <w:jc w:val="both"/>
        <w:rPr>
          <w:rFonts w:eastAsia="Tw Cen MT"/>
          <w:b/>
        </w:rPr>
      </w:pPr>
      <w:r w:rsidRPr="00B27682">
        <w:rPr>
          <w:rFonts w:eastAsia="Tw Cen MT"/>
          <w:b/>
        </w:rPr>
        <w:t xml:space="preserve">5.   </w:t>
      </w:r>
      <w:r w:rsidR="00B27682">
        <w:rPr>
          <w:rFonts w:eastAsia="Tw Cen MT"/>
          <w:b/>
        </w:rPr>
        <w:t xml:space="preserve">   </w:t>
      </w:r>
      <w:r w:rsidRPr="00B27682">
        <w:rPr>
          <w:rFonts w:eastAsia="Tw Cen MT"/>
          <w:b/>
        </w:rPr>
        <w:t>Diskutime të çështjeve të praktikës në institucione</w:t>
      </w:r>
    </w:p>
    <w:p w:rsidR="00B02831" w:rsidRPr="00036DBB" w:rsidRDefault="00036DBB" w:rsidP="00036DBB">
      <w:pPr>
        <w:spacing w:line="276" w:lineRule="auto"/>
        <w:ind w:right="26"/>
        <w:jc w:val="both"/>
        <w:rPr>
          <w:rFonts w:eastAsia="Tw Cen MT"/>
        </w:rPr>
      </w:pPr>
      <w:r w:rsidRPr="00036DBB">
        <w:rPr>
          <w:rFonts w:eastAsia="Tw Cen MT"/>
        </w:rPr>
        <w:t xml:space="preserve">             Përgatitje e Dosjeve (Civile, Penale)</w:t>
      </w:r>
    </w:p>
    <w:p w:rsidR="00B02831" w:rsidRPr="00036DBB" w:rsidRDefault="00B02831" w:rsidP="00036DBB">
      <w:pPr>
        <w:spacing w:line="276" w:lineRule="auto"/>
        <w:ind w:right="26"/>
        <w:jc w:val="both"/>
        <w:rPr>
          <w:rFonts w:eastAsia="Tw Cen MT"/>
        </w:rPr>
      </w:pPr>
    </w:p>
    <w:p w:rsidR="00F74D7F" w:rsidRPr="00F74D7F" w:rsidRDefault="00F74D7F" w:rsidP="00F74D7F">
      <w:pPr>
        <w:pStyle w:val="My"/>
        <w:spacing w:line="276" w:lineRule="auto"/>
        <w:jc w:val="both"/>
        <w:rPr>
          <w:rFonts w:ascii="Times New Roman" w:hAnsi="Times New Roman"/>
          <w:b/>
          <w:color w:val="CC9966" w:themeColor="accent2"/>
        </w:rPr>
      </w:pPr>
      <w:r>
        <w:rPr>
          <w:rFonts w:ascii="Times New Roman" w:hAnsi="Times New Roman" w:cs="Times New Roman"/>
          <w:b/>
          <w:color w:val="CC9966" w:themeColor="accent2"/>
          <w:sz w:val="28"/>
          <w:lang w:val="en-US"/>
        </w:rPr>
        <w:t>1.4.1</w:t>
      </w:r>
      <w:r w:rsidR="00A41A6D">
        <w:rPr>
          <w:rFonts w:ascii="Times New Roman" w:hAnsi="Times New Roman" w:cs="Times New Roman"/>
          <w:b/>
          <w:color w:val="CC9966" w:themeColor="accent2"/>
          <w:sz w:val="28"/>
          <w:lang w:val="en-US"/>
        </w:rPr>
        <w:t>.</w:t>
      </w:r>
      <w:r>
        <w:rPr>
          <w:rFonts w:ascii="Times New Roman" w:hAnsi="Times New Roman" w:cs="Times New Roman"/>
          <w:b/>
          <w:color w:val="CC9966" w:themeColor="accent2"/>
          <w:sz w:val="28"/>
          <w:lang w:val="en-US"/>
        </w:rPr>
        <w:t xml:space="preserve"> </w:t>
      </w:r>
      <w:r w:rsidRPr="00F74D7F">
        <w:rPr>
          <w:rFonts w:ascii="Times New Roman" w:hAnsi="Times New Roman" w:cs="Times New Roman"/>
          <w:b/>
          <w:color w:val="CC9966" w:themeColor="accent2"/>
          <w:sz w:val="28"/>
          <w:lang w:val="en-US"/>
        </w:rPr>
        <w:t>Plani mësimor i vitit të dytë</w:t>
      </w:r>
    </w:p>
    <w:p w:rsidR="00B02831" w:rsidRPr="00036DBB" w:rsidRDefault="00B02831" w:rsidP="00036DBB">
      <w:pPr>
        <w:spacing w:line="276" w:lineRule="auto"/>
        <w:ind w:right="26"/>
        <w:jc w:val="both"/>
        <w:rPr>
          <w:rFonts w:eastAsia="Tw Cen MT"/>
        </w:rPr>
      </w:pPr>
    </w:p>
    <w:p w:rsidR="00F74D7F" w:rsidRPr="00EE2DE7" w:rsidRDefault="00F74D7F" w:rsidP="00F74D7F">
      <w:pPr>
        <w:tabs>
          <w:tab w:val="left" w:pos="90"/>
        </w:tabs>
        <w:spacing w:line="276" w:lineRule="auto"/>
        <w:contextualSpacing/>
        <w:jc w:val="both"/>
        <w:rPr>
          <w:rFonts w:eastAsia="Tw Cen MT"/>
          <w:kern w:val="24"/>
        </w:rPr>
      </w:pPr>
      <w:r w:rsidRPr="00EE2DE7">
        <w:rPr>
          <w:rFonts w:eastAsia="Tw Cen MT"/>
          <w:kern w:val="24"/>
        </w:rPr>
        <w:t>Organizimi dhe konceptimi i programit dhe planit të vitit të dytë ishte si më poshtë:</w:t>
      </w:r>
    </w:p>
    <w:p w:rsidR="00F74D7F" w:rsidRPr="00EE2DE7" w:rsidRDefault="00F74D7F" w:rsidP="00F74D7F">
      <w:pPr>
        <w:spacing w:line="276" w:lineRule="auto"/>
        <w:contextualSpacing/>
        <w:jc w:val="both"/>
        <w:rPr>
          <w:rFonts w:eastAsia="Calibri"/>
          <w:b/>
          <w:kern w:val="24"/>
        </w:rPr>
      </w:pPr>
      <w:r w:rsidRPr="00EE2DE7">
        <w:rPr>
          <w:rFonts w:eastAsia="Calibri"/>
          <w:b/>
          <w:kern w:val="24"/>
        </w:rPr>
        <w:t xml:space="preserve">1. Kurse me natyrë teoriko-praktike të formimit të përgjithshëm: </w:t>
      </w:r>
    </w:p>
    <w:p w:rsidR="00F74D7F" w:rsidRDefault="00F74D7F" w:rsidP="00F74D7F">
      <w:pPr>
        <w:spacing w:line="276" w:lineRule="auto"/>
        <w:ind w:left="284"/>
        <w:contextualSpacing/>
        <w:jc w:val="both"/>
        <w:rPr>
          <w:rFonts w:eastAsia="Calibri"/>
          <w:kern w:val="24"/>
        </w:rPr>
      </w:pPr>
      <w:r w:rsidRPr="00EE2DE7">
        <w:rPr>
          <w:rFonts w:eastAsia="Calibri"/>
          <w:kern w:val="24"/>
        </w:rPr>
        <w:t>1)</w:t>
      </w:r>
      <w:r w:rsidRPr="00EE2DE7">
        <w:rPr>
          <w:rFonts w:eastAsia="Calibri"/>
          <w:b/>
          <w:kern w:val="24"/>
        </w:rPr>
        <w:t xml:space="preserve"> </w:t>
      </w:r>
      <w:r w:rsidRPr="00EE2DE7">
        <w:rPr>
          <w:rFonts w:eastAsia="Calibri"/>
          <w:kern w:val="24"/>
        </w:rPr>
        <w:t xml:space="preserve">Psikologjia dhe komunikimi; </w:t>
      </w:r>
    </w:p>
    <w:p w:rsidR="00F74D7F" w:rsidRDefault="00F74D7F" w:rsidP="00F74D7F">
      <w:pPr>
        <w:spacing w:line="276" w:lineRule="auto"/>
        <w:ind w:left="284"/>
        <w:contextualSpacing/>
        <w:jc w:val="both"/>
        <w:rPr>
          <w:rFonts w:eastAsia="Calibri"/>
          <w:kern w:val="24"/>
        </w:rPr>
      </w:pPr>
      <w:r w:rsidRPr="00EE2DE7">
        <w:rPr>
          <w:rFonts w:eastAsia="Calibri"/>
          <w:kern w:val="24"/>
        </w:rPr>
        <w:t xml:space="preserve">2) Anglishtja ligjore; </w:t>
      </w:r>
    </w:p>
    <w:p w:rsidR="00F74D7F" w:rsidRDefault="00F74D7F" w:rsidP="00F74D7F">
      <w:pPr>
        <w:spacing w:line="276" w:lineRule="auto"/>
        <w:ind w:left="284"/>
        <w:contextualSpacing/>
        <w:jc w:val="both"/>
        <w:rPr>
          <w:rFonts w:eastAsia="Calibri"/>
          <w:kern w:val="24"/>
        </w:rPr>
      </w:pPr>
      <w:r w:rsidRPr="00EE2DE7">
        <w:rPr>
          <w:rFonts w:eastAsia="Calibri"/>
          <w:kern w:val="24"/>
        </w:rPr>
        <w:t xml:space="preserve">3) Aspekte praktike të informatikës ligjore; </w:t>
      </w:r>
    </w:p>
    <w:p w:rsidR="00F74D7F" w:rsidRPr="00EE2DE7" w:rsidRDefault="00F74D7F" w:rsidP="00F74D7F">
      <w:pPr>
        <w:spacing w:line="276" w:lineRule="auto"/>
        <w:ind w:left="284"/>
        <w:contextualSpacing/>
        <w:jc w:val="both"/>
        <w:rPr>
          <w:rFonts w:eastAsia="Calibri"/>
          <w:kern w:val="24"/>
        </w:rPr>
      </w:pPr>
      <w:r w:rsidRPr="00EE2DE7">
        <w:rPr>
          <w:rFonts w:eastAsia="Calibri"/>
          <w:kern w:val="24"/>
        </w:rPr>
        <w:t xml:space="preserve">4) Kriminalistikë. </w:t>
      </w:r>
    </w:p>
    <w:p w:rsidR="00F74D7F" w:rsidRPr="00EE2DE7" w:rsidRDefault="00F74D7F" w:rsidP="00F74D7F">
      <w:pPr>
        <w:spacing w:line="276" w:lineRule="auto"/>
        <w:contextualSpacing/>
        <w:jc w:val="both"/>
        <w:rPr>
          <w:rFonts w:eastAsia="Calibri"/>
          <w:b/>
          <w:kern w:val="24"/>
        </w:rPr>
      </w:pPr>
      <w:r w:rsidRPr="00EE2DE7">
        <w:rPr>
          <w:rFonts w:eastAsia="Calibri"/>
          <w:b/>
          <w:kern w:val="24"/>
        </w:rPr>
        <w:t xml:space="preserve">2. Kurse me natyrë praktike: </w:t>
      </w:r>
    </w:p>
    <w:p w:rsidR="00F74D7F" w:rsidRPr="00EE2DE7" w:rsidRDefault="00F74D7F" w:rsidP="00F74D7F">
      <w:pPr>
        <w:spacing w:line="276" w:lineRule="auto"/>
        <w:ind w:left="284"/>
        <w:contextualSpacing/>
        <w:jc w:val="both"/>
        <w:rPr>
          <w:rFonts w:eastAsia="Calibri"/>
          <w:kern w:val="24"/>
        </w:rPr>
      </w:pPr>
      <w:r w:rsidRPr="00EE2DE7">
        <w:rPr>
          <w:rFonts w:eastAsia="Calibri"/>
          <w:kern w:val="24"/>
        </w:rPr>
        <w:t xml:space="preserve">1) Klinika ligjore dhe shkencore; </w:t>
      </w:r>
    </w:p>
    <w:p w:rsidR="00F74D7F" w:rsidRPr="00EE2DE7" w:rsidRDefault="00F74D7F" w:rsidP="00F74D7F">
      <w:pPr>
        <w:spacing w:line="276" w:lineRule="auto"/>
        <w:ind w:left="284"/>
        <w:contextualSpacing/>
        <w:jc w:val="both"/>
        <w:rPr>
          <w:rFonts w:eastAsia="Calibri"/>
          <w:kern w:val="24"/>
        </w:rPr>
      </w:pPr>
      <w:r w:rsidRPr="00EE2DE7">
        <w:rPr>
          <w:rFonts w:eastAsia="Calibri"/>
          <w:kern w:val="24"/>
        </w:rPr>
        <w:t>2) Aftësimi i prezantimit të çështjes në gjyq;</w:t>
      </w:r>
    </w:p>
    <w:p w:rsidR="00F74D7F" w:rsidRPr="00EE2DE7" w:rsidRDefault="00F74D7F" w:rsidP="00F74D7F">
      <w:pPr>
        <w:spacing w:line="276" w:lineRule="auto"/>
        <w:ind w:left="284"/>
        <w:contextualSpacing/>
        <w:jc w:val="both"/>
        <w:rPr>
          <w:rFonts w:eastAsia="Calibri"/>
          <w:kern w:val="24"/>
        </w:rPr>
      </w:pPr>
      <w:r w:rsidRPr="00EE2DE7">
        <w:rPr>
          <w:rFonts w:eastAsia="Calibri"/>
          <w:kern w:val="24"/>
        </w:rPr>
        <w:t>3)</w:t>
      </w:r>
      <w:r w:rsidRPr="00EE2DE7">
        <w:rPr>
          <w:rFonts w:eastAsia="Calibri"/>
          <w:b/>
          <w:kern w:val="24"/>
        </w:rPr>
        <w:t xml:space="preserve"> </w:t>
      </w:r>
      <w:r w:rsidRPr="00EE2DE7">
        <w:rPr>
          <w:rFonts w:eastAsia="Calibri"/>
          <w:kern w:val="24"/>
        </w:rPr>
        <w:t xml:space="preserve">Shkrimi dhe arsyetimi. </w:t>
      </w:r>
    </w:p>
    <w:p w:rsidR="00F74D7F" w:rsidRPr="00EE2DE7" w:rsidRDefault="00F74D7F" w:rsidP="00F74D7F">
      <w:pPr>
        <w:spacing w:line="276" w:lineRule="auto"/>
        <w:contextualSpacing/>
        <w:jc w:val="both"/>
        <w:rPr>
          <w:rFonts w:eastAsia="Calibri"/>
          <w:kern w:val="24"/>
        </w:rPr>
      </w:pPr>
      <w:r w:rsidRPr="00EE2DE7">
        <w:rPr>
          <w:rFonts w:eastAsia="Calibri"/>
          <w:b/>
          <w:kern w:val="24"/>
        </w:rPr>
        <w:t xml:space="preserve">3. </w:t>
      </w:r>
      <w:r w:rsidRPr="00EE2DE7">
        <w:rPr>
          <w:rFonts w:eastAsia="Calibri"/>
          <w:kern w:val="24"/>
        </w:rPr>
        <w:t>Në rubrikën</w:t>
      </w:r>
      <w:r w:rsidRPr="00EE2DE7">
        <w:rPr>
          <w:rFonts w:eastAsia="Calibri"/>
          <w:b/>
          <w:kern w:val="24"/>
        </w:rPr>
        <w:t xml:space="preserve"> Debat</w:t>
      </w:r>
      <w:r w:rsidRPr="00EE2DE7">
        <w:rPr>
          <w:rFonts w:eastAsia="Calibri"/>
          <w:kern w:val="24"/>
        </w:rPr>
        <w:t xml:space="preserve"> kishte trajtime nga praktika gjyqësore, si dhe përgatitje të dosjeve për gjyqin imitues në një ose disa çështje konkrete gjyqësore, të tilla si për shembull: nga fusha e sigurimeve, e kriminalistikës, e mjekësisë ligjore, e kontabilitetit, e prokurimeve e të tjera. Një kurs përfshin më shumë se 2-4 çështje, në varësi të problematikës që lidhet me praktikën gjyqësore.</w:t>
      </w:r>
    </w:p>
    <w:p w:rsidR="00F74D7F" w:rsidRPr="00EE2DE7" w:rsidRDefault="00F74D7F" w:rsidP="00F74D7F">
      <w:pPr>
        <w:spacing w:line="276" w:lineRule="auto"/>
        <w:contextualSpacing/>
        <w:jc w:val="both"/>
        <w:rPr>
          <w:rFonts w:eastAsia="Calibri"/>
          <w:kern w:val="24"/>
        </w:rPr>
      </w:pPr>
      <w:r w:rsidRPr="00EE2DE7">
        <w:rPr>
          <w:rFonts w:eastAsia="Calibri"/>
          <w:b/>
          <w:kern w:val="24"/>
        </w:rPr>
        <w:t>4.</w:t>
      </w:r>
      <w:r w:rsidRPr="00EE2DE7">
        <w:rPr>
          <w:rFonts w:eastAsia="Calibri"/>
          <w:kern w:val="24"/>
        </w:rPr>
        <w:t xml:space="preserve"> </w:t>
      </w:r>
      <w:r w:rsidRPr="00EE2DE7">
        <w:rPr>
          <w:rFonts w:eastAsia="Calibri"/>
          <w:b/>
          <w:kern w:val="24"/>
        </w:rPr>
        <w:t xml:space="preserve">Përgatitje e akteve ligjore të nevojshme për realizimin e gjyqeve imituese, si dhe raportimeve për praktikën gjyqësore. </w:t>
      </w:r>
      <w:r w:rsidRPr="00EE2DE7">
        <w:rPr>
          <w:rFonts w:eastAsia="Calibri"/>
          <w:kern w:val="24"/>
        </w:rPr>
        <w:t>Çdo gjyq imitues ka sesionin e tij të përgatitjes së akteve nga kandidatët. Aktet u përgatitën në mënyrë të pavarur nga kandidatët sipas ndarjes së punës në grupe. Në auditor u nxorën konkluzionet e versioneve finale të tyre.</w:t>
      </w:r>
    </w:p>
    <w:p w:rsidR="00F74D7F" w:rsidRPr="00EE2DE7" w:rsidRDefault="00F74D7F" w:rsidP="00F74D7F">
      <w:pPr>
        <w:spacing w:line="276" w:lineRule="auto"/>
        <w:contextualSpacing/>
        <w:jc w:val="both"/>
        <w:rPr>
          <w:rFonts w:eastAsia="Calibri"/>
          <w:kern w:val="24"/>
        </w:rPr>
      </w:pPr>
      <w:r w:rsidRPr="00EE2DE7">
        <w:rPr>
          <w:rFonts w:eastAsia="Calibri"/>
          <w:b/>
          <w:kern w:val="24"/>
        </w:rPr>
        <w:t>5.</w:t>
      </w:r>
      <w:r w:rsidRPr="00EE2DE7">
        <w:rPr>
          <w:rFonts w:eastAsia="Calibri"/>
          <w:kern w:val="24"/>
        </w:rPr>
        <w:t xml:space="preserve"> Gjatë vitit u organizuan 6</w:t>
      </w:r>
      <w:r w:rsidRPr="00EE2DE7">
        <w:rPr>
          <w:rFonts w:eastAsia="Calibri"/>
          <w:b/>
          <w:kern w:val="24"/>
        </w:rPr>
        <w:t xml:space="preserve"> gjyqe imituese</w:t>
      </w:r>
      <w:r w:rsidRPr="00EE2DE7">
        <w:rPr>
          <w:rFonts w:eastAsia="Calibri"/>
          <w:kern w:val="24"/>
        </w:rPr>
        <w:t xml:space="preserve">. </w:t>
      </w:r>
    </w:p>
    <w:p w:rsidR="00F74D7F" w:rsidRPr="00EE2DE7" w:rsidRDefault="00F74D7F" w:rsidP="00F74D7F">
      <w:pPr>
        <w:spacing w:line="276" w:lineRule="auto"/>
        <w:contextualSpacing/>
        <w:jc w:val="both"/>
        <w:rPr>
          <w:rFonts w:eastAsia="Calibri"/>
          <w:kern w:val="24"/>
        </w:rPr>
      </w:pPr>
      <w:r w:rsidRPr="00EE2DE7">
        <w:rPr>
          <w:rFonts w:eastAsia="Calibri"/>
          <w:b/>
          <w:kern w:val="24"/>
        </w:rPr>
        <w:t>6.</w:t>
      </w:r>
      <w:r w:rsidRPr="00EE2DE7">
        <w:rPr>
          <w:rFonts w:eastAsia="Calibri"/>
          <w:kern w:val="24"/>
        </w:rPr>
        <w:t xml:space="preserve"> U përgatit në mënyrë të pavarur nga secili kandidat, </w:t>
      </w:r>
      <w:r w:rsidRPr="00EE2DE7">
        <w:rPr>
          <w:rFonts w:eastAsia="Calibri"/>
          <w:b/>
          <w:kern w:val="24"/>
        </w:rPr>
        <w:t>një dosje me një rast penal</w:t>
      </w:r>
      <w:r w:rsidRPr="00EE2DE7">
        <w:rPr>
          <w:rFonts w:eastAsia="Calibri"/>
          <w:kern w:val="24"/>
        </w:rPr>
        <w:t xml:space="preserve">, të zgjedhur nga ata vetë gjatë praktikës, në të cilin u plotësuan e u kryen të gjitha veprimet e aktet </w:t>
      </w:r>
      <w:r w:rsidRPr="00EE2DE7">
        <w:rPr>
          <w:rFonts w:eastAsia="Calibri"/>
          <w:kern w:val="24"/>
        </w:rPr>
        <w:lastRenderedPageBreak/>
        <w:t>procedurale të nevojshme, nga fillimi i procesit e deri në përfundim të tij.</w:t>
      </w:r>
    </w:p>
    <w:p w:rsidR="00F74D7F" w:rsidRPr="001E0C44" w:rsidRDefault="00F74D7F" w:rsidP="00F74D7F">
      <w:pPr>
        <w:spacing w:line="276" w:lineRule="auto"/>
        <w:jc w:val="both"/>
        <w:rPr>
          <w:rFonts w:eastAsia="Calibri"/>
          <w:kern w:val="24"/>
        </w:rPr>
      </w:pPr>
      <w:r w:rsidRPr="00EE2DE7">
        <w:rPr>
          <w:rFonts w:eastAsia="Calibri"/>
          <w:b/>
          <w:kern w:val="24"/>
        </w:rPr>
        <w:t xml:space="preserve">7. </w:t>
      </w:r>
      <w:r w:rsidRPr="00EE2DE7">
        <w:rPr>
          <w:rFonts w:eastAsia="Calibri"/>
          <w:kern w:val="24"/>
        </w:rPr>
        <w:t xml:space="preserve">Organizimi i temës </w:t>
      </w:r>
      <w:r w:rsidRPr="00EE2DE7">
        <w:rPr>
          <w:rFonts w:eastAsia="Calibri"/>
          <w:b/>
          <w:kern w:val="24"/>
        </w:rPr>
        <w:t>së vitit të dytë,</w:t>
      </w:r>
      <w:r w:rsidRPr="00EE2DE7">
        <w:rPr>
          <w:rFonts w:eastAsia="Calibri"/>
          <w:kern w:val="24"/>
        </w:rPr>
        <w:t xml:space="preserve"> u orientua më fort drejt praktikës gjyqësore, nën drejtimin e një udhëheqësi shkencor. </w:t>
      </w:r>
    </w:p>
    <w:p w:rsidR="00F74D7F" w:rsidRPr="00EE2DE7" w:rsidRDefault="00F74D7F" w:rsidP="00F74D7F">
      <w:pPr>
        <w:spacing w:line="276" w:lineRule="auto"/>
        <w:contextualSpacing/>
        <w:jc w:val="both"/>
        <w:rPr>
          <w:rFonts w:eastAsia="Calibri"/>
          <w:kern w:val="24"/>
        </w:rPr>
      </w:pPr>
      <w:r w:rsidRPr="00EE2DE7">
        <w:rPr>
          <w:rFonts w:eastAsia="Calibri"/>
          <w:b/>
          <w:kern w:val="24"/>
        </w:rPr>
        <w:t>Praktika</w:t>
      </w:r>
      <w:r>
        <w:rPr>
          <w:rFonts w:eastAsia="Calibri"/>
          <w:kern w:val="24"/>
        </w:rPr>
        <w:t xml:space="preserve"> e konceptuar si lëndë më vete</w:t>
      </w:r>
      <w:r w:rsidRPr="00EE2DE7">
        <w:rPr>
          <w:rFonts w:eastAsia="Calibri"/>
          <w:kern w:val="24"/>
        </w:rPr>
        <w:t xml:space="preserve"> përfundoi me dorëzimin e raporteve. Këtë vit u dorëzuan 4 raporte sipas këtyre lëndëve kryesore: e drejtë civile, e drejtë penale, e drejtë administrative dhe e drejtë kushtetuese. </w:t>
      </w:r>
    </w:p>
    <w:p w:rsidR="00F74D7F" w:rsidRPr="00EE2DE7" w:rsidRDefault="00F74D7F" w:rsidP="00F74D7F">
      <w:pPr>
        <w:spacing w:line="276" w:lineRule="auto"/>
        <w:contextualSpacing/>
        <w:jc w:val="both"/>
        <w:rPr>
          <w:rFonts w:eastAsia="Calibri"/>
          <w:kern w:val="24"/>
        </w:rPr>
      </w:pPr>
      <w:r w:rsidRPr="00EE2DE7">
        <w:rPr>
          <w:rFonts w:eastAsia="Calibri"/>
          <w:kern w:val="24"/>
        </w:rPr>
        <w:t xml:space="preserve">Raporti përmbante: </w:t>
      </w:r>
    </w:p>
    <w:p w:rsidR="00F74D7F" w:rsidRPr="00EE2DE7" w:rsidRDefault="00F74D7F" w:rsidP="005C2687">
      <w:pPr>
        <w:numPr>
          <w:ilvl w:val="0"/>
          <w:numId w:val="10"/>
        </w:numPr>
        <w:spacing w:line="276" w:lineRule="auto"/>
        <w:ind w:left="567"/>
        <w:contextualSpacing/>
        <w:jc w:val="both"/>
        <w:rPr>
          <w:rFonts w:eastAsia="Calibri"/>
          <w:kern w:val="24"/>
        </w:rPr>
      </w:pPr>
      <w:r w:rsidRPr="00EE2DE7">
        <w:rPr>
          <w:rFonts w:eastAsia="Tw Cen MT"/>
          <w:b/>
          <w:kern w:val="24"/>
        </w:rPr>
        <w:t>Përshkrimin e fakteve të çështjes që u shtrua për gjykim</w:t>
      </w:r>
      <w:r w:rsidRPr="00EE2DE7">
        <w:rPr>
          <w:rFonts w:eastAsia="Tw Cen MT"/>
          <w:kern w:val="24"/>
        </w:rPr>
        <w:t xml:space="preserve">. Në këtë mënyrë kandidatët u trajnuan për të bërë seleksionimin e fakteve nga njëra anë, por edhe parashtrimin e tyre në mënyrë logjike dhe të rrjedhshme nga ana tjetër. </w:t>
      </w:r>
    </w:p>
    <w:p w:rsidR="00F74D7F" w:rsidRPr="00EE2DE7" w:rsidRDefault="00F74D7F" w:rsidP="005C2687">
      <w:pPr>
        <w:numPr>
          <w:ilvl w:val="0"/>
          <w:numId w:val="10"/>
        </w:numPr>
        <w:spacing w:line="276" w:lineRule="auto"/>
        <w:ind w:left="567"/>
        <w:contextualSpacing/>
        <w:jc w:val="both"/>
        <w:rPr>
          <w:rFonts w:eastAsia="Calibri"/>
          <w:kern w:val="24"/>
        </w:rPr>
      </w:pPr>
      <w:r w:rsidRPr="00EE2DE7">
        <w:rPr>
          <w:rFonts w:eastAsia="Tw Cen MT"/>
          <w:b/>
          <w:kern w:val="24"/>
        </w:rPr>
        <w:t>Përshkrimin e procedurës</w:t>
      </w:r>
      <w:r w:rsidRPr="00EE2DE7">
        <w:rPr>
          <w:rFonts w:eastAsia="Tw Cen MT"/>
          <w:kern w:val="24"/>
        </w:rPr>
        <w:t>. Qëllimi i këtij komponenti ishte për të parë nëse procedura e ndjekur në praktikë ishte e njëjta me atë që kandidatët kishin mësuar gjatë formimit të tyre teorik. Nga konstatimet e tyre, ata vunë re ndryshime të mundshme ndërmjet teorisë dhe praktikës.</w:t>
      </w:r>
    </w:p>
    <w:p w:rsidR="00F74D7F" w:rsidRPr="00EE2DE7" w:rsidRDefault="00F74D7F" w:rsidP="005C2687">
      <w:pPr>
        <w:numPr>
          <w:ilvl w:val="0"/>
          <w:numId w:val="10"/>
        </w:numPr>
        <w:spacing w:line="276" w:lineRule="auto"/>
        <w:ind w:left="567"/>
        <w:contextualSpacing/>
        <w:jc w:val="both"/>
        <w:rPr>
          <w:rFonts w:eastAsia="Tw Cen MT"/>
          <w:kern w:val="24"/>
        </w:rPr>
      </w:pPr>
      <w:r w:rsidRPr="00EE2DE7">
        <w:rPr>
          <w:rFonts w:eastAsia="Tw Cen MT"/>
          <w:b/>
          <w:kern w:val="24"/>
        </w:rPr>
        <w:t>Identifikimin dhe diskutimin e dy instituteve ligjore që u hasën gjatë gjykimit</w:t>
      </w:r>
      <w:r w:rsidRPr="00EE2DE7">
        <w:rPr>
          <w:rFonts w:eastAsia="Tw Cen MT"/>
          <w:kern w:val="24"/>
        </w:rPr>
        <w:t xml:space="preserve">. Çdo gjykim përmbajti një sërë institutesh, materiale apo procedurale. Për shembull, gjykimi në mungesë në gjyqin penal, aksesi në mbrojtësin ligjor, njoftimi etj., (procedurë) ose tentativa, neglizhenca, dashja etj., (ligji material). Kandidatët identifikuan dy (rekomandohet dy për të pasur një produkt sa më konciz) institute, materiale apo procedurale, që ata vunë re gjatë gjykimit të çështjes. Mandej, kandidatët sqaruan se në cilin kontekst u shtruan për diskutim këto institute gjatë gjykimit. Pas kësaj, kandidatët bënë një analizë të shkurtër teorike të instituteve përkatëse. Analiza teorike vijoi me një përshkrim të trajtimit të instituteve nga </w:t>
      </w:r>
      <w:r w:rsidRPr="00EE2DE7">
        <w:rPr>
          <w:rFonts w:eastAsia="Tw Cen MT"/>
          <w:kern w:val="24"/>
        </w:rPr>
        <w:t>gjykata. Ky komponent u mbyll me një krahasim të teorisë me praktikën. Qëllimi i këtij komponenti ishte identifikimi krahasues i teorisë me praktikën.</w:t>
      </w:r>
    </w:p>
    <w:p w:rsidR="00F74D7F" w:rsidRPr="00EE2DE7" w:rsidRDefault="00F74D7F" w:rsidP="005C2687">
      <w:pPr>
        <w:numPr>
          <w:ilvl w:val="0"/>
          <w:numId w:val="10"/>
        </w:numPr>
        <w:spacing w:line="276" w:lineRule="auto"/>
        <w:ind w:left="567"/>
        <w:contextualSpacing/>
        <w:jc w:val="both"/>
        <w:rPr>
          <w:rFonts w:eastAsia="Tw Cen MT"/>
          <w:kern w:val="24"/>
        </w:rPr>
      </w:pPr>
      <w:r w:rsidRPr="00EE2DE7">
        <w:rPr>
          <w:rFonts w:eastAsia="Tw Cen MT"/>
          <w:b/>
          <w:kern w:val="24"/>
        </w:rPr>
        <w:t>Konkluzionet,</w:t>
      </w:r>
      <w:r w:rsidRPr="00EE2DE7">
        <w:rPr>
          <w:rFonts w:eastAsia="Tw Cen MT"/>
          <w:kern w:val="24"/>
        </w:rPr>
        <w:t xml:space="preserve"> ku fokusi iu përmbajt marrëdhënies ndërmjet </w:t>
      </w:r>
      <w:r w:rsidRPr="00EE2DE7">
        <w:rPr>
          <w:rFonts w:eastAsia="Tw Cen MT"/>
          <w:i/>
          <w:kern w:val="24"/>
        </w:rPr>
        <w:t>law in the books</w:t>
      </w:r>
      <w:r w:rsidRPr="00EE2DE7">
        <w:rPr>
          <w:rFonts w:eastAsia="Tw Cen MT"/>
          <w:kern w:val="24"/>
        </w:rPr>
        <w:t xml:space="preserve"> dhe </w:t>
      </w:r>
      <w:r w:rsidRPr="00EE2DE7">
        <w:rPr>
          <w:rFonts w:eastAsia="Tw Cen MT"/>
          <w:i/>
          <w:kern w:val="24"/>
        </w:rPr>
        <w:t>law in action</w:t>
      </w:r>
      <w:r w:rsidRPr="00EE2DE7">
        <w:rPr>
          <w:rFonts w:eastAsia="Tw Cen MT"/>
          <w:kern w:val="24"/>
        </w:rPr>
        <w:t>. Gjithashtu, konkluzionet përmbajtën mendimin e kandidatëve në lidhje me ndryshimet e mundshme që ata vunë re ndërmjet praktikës dhe teorisë. Pyetje të tilla, si p.sh: përse mendoni se ka një ndryshim ndërmjet teorisë dhe praktikës, gjetën përgjigje në këtë komponent. Kjo i mundësoi kandidatët të reflektonin për atë çfarë ata mësuan në shkollë dhe çfarë panë në praktikë.</w:t>
      </w:r>
    </w:p>
    <w:p w:rsidR="00F74D7F" w:rsidRPr="00EE2DE7" w:rsidRDefault="00F74D7F" w:rsidP="00F74D7F">
      <w:pPr>
        <w:spacing w:line="276" w:lineRule="auto"/>
        <w:jc w:val="both"/>
        <w:rPr>
          <w:rFonts w:eastAsia="Tw Cen MT"/>
          <w:b/>
          <w:kern w:val="24"/>
        </w:rPr>
      </w:pPr>
    </w:p>
    <w:p w:rsidR="00F74D7F" w:rsidRPr="00EE2DE7" w:rsidRDefault="00F74D7F" w:rsidP="00F74D7F">
      <w:pPr>
        <w:spacing w:line="276" w:lineRule="auto"/>
        <w:jc w:val="both"/>
        <w:rPr>
          <w:rFonts w:eastAsia="Tw Cen MT"/>
          <w:b/>
          <w:kern w:val="24"/>
        </w:rPr>
      </w:pPr>
      <w:r w:rsidRPr="00EE2DE7">
        <w:rPr>
          <w:rFonts w:eastAsia="Tw Cen MT"/>
          <w:b/>
          <w:kern w:val="24"/>
        </w:rPr>
        <w:t>Praktika vëzhguese u krye në institucionet e mëposhtme:</w:t>
      </w:r>
    </w:p>
    <w:p w:rsidR="00F74D7F" w:rsidRDefault="00F74D7F" w:rsidP="00F74D7F">
      <w:pPr>
        <w:spacing w:line="276" w:lineRule="auto"/>
        <w:jc w:val="both"/>
        <w:rPr>
          <w:rFonts w:eastAsia="Calibri"/>
          <w:bCs/>
          <w:kern w:val="24"/>
        </w:rPr>
      </w:pPr>
      <w:r w:rsidRPr="00EE2DE7">
        <w:rPr>
          <w:rFonts w:eastAsia="Calibri"/>
          <w:kern w:val="24"/>
        </w:rPr>
        <w:t>Gjykata e shkallës së parë Tiranë, Prokuroria e Rrethit Gjyqësor Tiranë, Gjykata Administrative e shkallës së parë Tiranë, Gjykata e shkallës së parë e Krimeve të Rënda, Gjykata e Apelit Tiranë, Gjykata e Apelit për Krimet e Rënda, Gjykata e Apelit Administrativ, Gjykata e Lartë, Gjykata Kushtetuese, Prokuroria e shkallës së parë për Krimet e Rënda, Prokuroria e Apelit Tiranë, Prokuroria e Apelit për Krimet e Rënda. Gjithashtu, kandidatët për magjistratë, për t’u njohur me anën praktike edhe të institucioneve të tjera, u parashikua në Planin Mësimor dhe u realizua, në bashkëpunim me drejtuesit e institucioneve njohja me punën në një Zyrë Avokatie, Avokati i Popullit, Avokati i Shtetit, njohja e pun</w:t>
      </w:r>
      <w:r w:rsidRPr="00EE2DE7">
        <w:rPr>
          <w:rFonts w:eastAsia="Arial Unicode MS"/>
          <w:kern w:val="24"/>
        </w:rPr>
        <w:t>ë</w:t>
      </w:r>
      <w:r w:rsidRPr="00EE2DE7">
        <w:rPr>
          <w:rFonts w:eastAsia="Calibri"/>
          <w:kern w:val="24"/>
        </w:rPr>
        <w:t xml:space="preserve">s në një Qendër Ndërmjetësimi, njohja e punës në një Qendër Arbitrazhi, vizitë në Zyrën e Regjistrit Tregtar, vizitë në Zyrën e Regjistrimit të Pasurive të Paluajtshme, vizitë në një zyrë noteriale, Zyra e Përmbarimit, </w:t>
      </w:r>
      <w:r w:rsidRPr="00EE2DE7">
        <w:rPr>
          <w:rFonts w:eastAsia="Calibri"/>
          <w:bCs/>
          <w:kern w:val="24"/>
        </w:rPr>
        <w:t xml:space="preserve">Shoqata “Refleksione”, Qendra e Këshillimit për Gra dhe Vajza, Qendra për Nisma Ligjore Qytetare, Qendra e të Drejtave të Njeriut në Demokraci, </w:t>
      </w:r>
      <w:r w:rsidRPr="00EE2DE7">
        <w:rPr>
          <w:rFonts w:eastAsia="Calibri"/>
          <w:bCs/>
          <w:kern w:val="24"/>
        </w:rPr>
        <w:lastRenderedPageBreak/>
        <w:t>Strehëza për Gra dhe Vajza, Tiranë</w:t>
      </w:r>
      <w:r w:rsidRPr="00EE2DE7">
        <w:rPr>
          <w:rFonts w:eastAsia="Calibri"/>
          <w:kern w:val="24"/>
        </w:rPr>
        <w:t xml:space="preserve">, </w:t>
      </w:r>
      <w:r w:rsidRPr="00EE2DE7">
        <w:rPr>
          <w:rFonts w:eastAsia="Calibri"/>
          <w:bCs/>
          <w:kern w:val="24"/>
        </w:rPr>
        <w:t>Laboratori i kriminalistikës.</w:t>
      </w:r>
    </w:p>
    <w:p w:rsidR="00F74D7F" w:rsidRPr="001E0C44" w:rsidRDefault="00F74D7F" w:rsidP="00F74D7F">
      <w:pPr>
        <w:spacing w:line="276" w:lineRule="auto"/>
        <w:jc w:val="both"/>
        <w:rPr>
          <w:rFonts w:eastAsia="Calibri"/>
          <w:bCs/>
          <w:kern w:val="24"/>
        </w:rPr>
      </w:pPr>
    </w:p>
    <w:p w:rsidR="00F74D7F" w:rsidRPr="00554C33" w:rsidRDefault="00F74D7F" w:rsidP="00F74D7F">
      <w:pPr>
        <w:spacing w:line="276" w:lineRule="auto"/>
        <w:jc w:val="both"/>
        <w:rPr>
          <w:rFonts w:eastAsia="MS Mincho"/>
          <w:b/>
          <w:kern w:val="24"/>
        </w:rPr>
      </w:pPr>
      <w:r w:rsidRPr="00EE2DE7">
        <w:rPr>
          <w:rFonts w:eastAsia="MS Mincho"/>
          <w:b/>
          <w:kern w:val="24"/>
        </w:rPr>
        <w:t xml:space="preserve">Vlerësimi në vitin e dytë </w:t>
      </w:r>
    </w:p>
    <w:p w:rsidR="00F74D7F" w:rsidRPr="00EE2DE7" w:rsidRDefault="00F74D7F" w:rsidP="00F74D7F">
      <w:pPr>
        <w:spacing w:line="276" w:lineRule="auto"/>
        <w:jc w:val="both"/>
        <w:rPr>
          <w:rFonts w:eastAsia="MS Mincho"/>
          <w:kern w:val="24"/>
        </w:rPr>
      </w:pPr>
      <w:r w:rsidRPr="00EE2DE7">
        <w:rPr>
          <w:rFonts w:eastAsia="MS Mincho"/>
          <w:kern w:val="24"/>
        </w:rPr>
        <w:t>Në vitin e dytë, u vlerësuan në mënyrë të vazhdueshme disa komponentë:</w:t>
      </w:r>
    </w:p>
    <w:p w:rsidR="00F74D7F" w:rsidRPr="00EE2DE7" w:rsidRDefault="00F74D7F" w:rsidP="00F74D7F">
      <w:pPr>
        <w:spacing w:line="276" w:lineRule="auto"/>
        <w:jc w:val="both"/>
        <w:rPr>
          <w:rFonts w:eastAsia="MS Mincho"/>
          <w:kern w:val="24"/>
        </w:rPr>
      </w:pPr>
    </w:p>
    <w:p w:rsidR="00F74D7F" w:rsidRPr="00EE2DE7" w:rsidRDefault="00F74D7F" w:rsidP="005C2687">
      <w:pPr>
        <w:numPr>
          <w:ilvl w:val="2"/>
          <w:numId w:val="11"/>
        </w:numPr>
        <w:tabs>
          <w:tab w:val="num" w:pos="426"/>
        </w:tabs>
        <w:spacing w:line="276" w:lineRule="auto"/>
        <w:ind w:left="426" w:hanging="426"/>
        <w:jc w:val="both"/>
        <w:rPr>
          <w:rFonts w:eastAsia="Tw Cen MT"/>
          <w:b/>
          <w:kern w:val="24"/>
        </w:rPr>
      </w:pPr>
      <w:r w:rsidRPr="00EE2DE7">
        <w:rPr>
          <w:rFonts w:eastAsia="Tw Cen MT"/>
          <w:b/>
          <w:kern w:val="24"/>
        </w:rPr>
        <w:t>Pjesa teorike:</w:t>
      </w:r>
    </w:p>
    <w:p w:rsidR="00F74D7F" w:rsidRPr="00EE2DE7" w:rsidRDefault="00F74D7F" w:rsidP="00554C33">
      <w:pPr>
        <w:spacing w:line="276" w:lineRule="auto"/>
        <w:jc w:val="both"/>
        <w:rPr>
          <w:rFonts w:eastAsia="MS Mincho"/>
          <w:kern w:val="24"/>
        </w:rPr>
      </w:pPr>
      <w:r w:rsidRPr="00EE2DE7">
        <w:rPr>
          <w:rFonts w:eastAsia="MS Mincho"/>
          <w:kern w:val="24"/>
        </w:rPr>
        <w:t>Mënyra e vlerësimit të kurseve</w:t>
      </w:r>
      <w:r w:rsidRPr="00EE2DE7">
        <w:rPr>
          <w:rFonts w:eastAsia="Calibri"/>
          <w:kern w:val="24"/>
        </w:rPr>
        <w:t xml:space="preserve"> në funksion të formimit të përgjithshëm dhe kurseve praktike</w:t>
      </w:r>
      <w:r w:rsidRPr="00EE2DE7">
        <w:rPr>
          <w:rFonts w:eastAsia="MS Mincho"/>
          <w:kern w:val="24"/>
        </w:rPr>
        <w:t xml:space="preserve"> të vitit të dytë u bë me pikë në varësi të specifikës së kursit, me provim ose me forma të tjera vlerësimi.</w:t>
      </w:r>
    </w:p>
    <w:p w:rsidR="00F74D7F" w:rsidRPr="00EE2DE7" w:rsidRDefault="00F74D7F" w:rsidP="00F74D7F">
      <w:pPr>
        <w:spacing w:line="276" w:lineRule="auto"/>
        <w:jc w:val="both"/>
        <w:rPr>
          <w:rFonts w:eastAsia="MS Mincho"/>
          <w:kern w:val="24"/>
        </w:rPr>
      </w:pPr>
      <w:r w:rsidRPr="00EE2DE7">
        <w:rPr>
          <w:rFonts w:eastAsia="MS Mincho"/>
          <w:kern w:val="24"/>
        </w:rPr>
        <w:t>Rezultatet iu bashkëngjitën lëndëve të grupit të dytë dhe vlerësimit përfundimtar.</w:t>
      </w:r>
    </w:p>
    <w:p w:rsidR="00554C33" w:rsidRDefault="00F74D7F" w:rsidP="005C2687">
      <w:pPr>
        <w:pStyle w:val="ListParagraph"/>
        <w:numPr>
          <w:ilvl w:val="0"/>
          <w:numId w:val="16"/>
        </w:numPr>
        <w:spacing w:line="276" w:lineRule="auto"/>
        <w:jc w:val="both"/>
        <w:rPr>
          <w:rFonts w:eastAsia="MS Mincho"/>
          <w:kern w:val="24"/>
        </w:rPr>
      </w:pPr>
      <w:r w:rsidRPr="00554C33">
        <w:rPr>
          <w:rFonts w:eastAsia="MS Mincho"/>
          <w:kern w:val="24"/>
        </w:rPr>
        <w:t xml:space="preserve">Mënyra e vlerësimit të kurseve me formim të përgjithshëm ishte: 4 kurse me 100 pikë (koef. 1);  </w:t>
      </w:r>
    </w:p>
    <w:p w:rsidR="00F74D7F" w:rsidRPr="00554C33" w:rsidRDefault="00F74D7F" w:rsidP="005C2687">
      <w:pPr>
        <w:pStyle w:val="ListParagraph"/>
        <w:numPr>
          <w:ilvl w:val="0"/>
          <w:numId w:val="16"/>
        </w:numPr>
        <w:spacing w:line="276" w:lineRule="auto"/>
        <w:jc w:val="both"/>
        <w:rPr>
          <w:rFonts w:eastAsia="MS Mincho"/>
          <w:kern w:val="24"/>
        </w:rPr>
      </w:pPr>
      <w:r w:rsidRPr="00554C33">
        <w:rPr>
          <w:rFonts w:eastAsia="MS Mincho"/>
          <w:kern w:val="24"/>
        </w:rPr>
        <w:t xml:space="preserve">Mënyra e vlerësimit të kurseve me karakter praktik ishte: </w:t>
      </w:r>
    </w:p>
    <w:p w:rsidR="00F74D7F" w:rsidRPr="00EE2DE7" w:rsidRDefault="00F74D7F" w:rsidP="00F74D7F">
      <w:pPr>
        <w:spacing w:line="276" w:lineRule="auto"/>
        <w:jc w:val="both"/>
        <w:rPr>
          <w:rFonts w:eastAsia="MS Mincho"/>
          <w:kern w:val="24"/>
        </w:rPr>
      </w:pPr>
      <w:r w:rsidRPr="00EE2DE7">
        <w:rPr>
          <w:rFonts w:eastAsia="MS Mincho"/>
          <w:kern w:val="24"/>
        </w:rPr>
        <w:t xml:space="preserve">            2 kurse me 100 pikë (koef.</w:t>
      </w:r>
      <w:r>
        <w:rPr>
          <w:rFonts w:eastAsia="MS Mincho"/>
          <w:kern w:val="24"/>
        </w:rPr>
        <w:t xml:space="preserve"> </w:t>
      </w:r>
      <w:r w:rsidRPr="00EE2DE7">
        <w:rPr>
          <w:rFonts w:eastAsia="MS Mincho"/>
          <w:kern w:val="24"/>
        </w:rPr>
        <w:t xml:space="preserve">1) </w:t>
      </w:r>
    </w:p>
    <w:p w:rsidR="00F74D7F" w:rsidRPr="00EE2DE7" w:rsidRDefault="00F74D7F" w:rsidP="00F74D7F">
      <w:pPr>
        <w:spacing w:line="276" w:lineRule="auto"/>
        <w:jc w:val="both"/>
        <w:rPr>
          <w:rFonts w:eastAsia="MS Mincho"/>
          <w:kern w:val="24"/>
        </w:rPr>
      </w:pPr>
      <w:r w:rsidRPr="00EE2DE7">
        <w:rPr>
          <w:rFonts w:eastAsia="MS Mincho"/>
          <w:kern w:val="24"/>
        </w:rPr>
        <w:t xml:space="preserve">            1 kurs me 100 pikë (koef.</w:t>
      </w:r>
      <w:r>
        <w:rPr>
          <w:rFonts w:eastAsia="MS Mincho"/>
          <w:kern w:val="24"/>
        </w:rPr>
        <w:t xml:space="preserve"> </w:t>
      </w:r>
      <w:r w:rsidRPr="00EE2DE7">
        <w:rPr>
          <w:rFonts w:eastAsia="MS Mincho"/>
          <w:kern w:val="24"/>
        </w:rPr>
        <w:t>1.5).</w:t>
      </w:r>
    </w:p>
    <w:p w:rsidR="00F74D7F" w:rsidRPr="00EE2DE7" w:rsidRDefault="00F74D7F" w:rsidP="00F74D7F">
      <w:pPr>
        <w:spacing w:line="276" w:lineRule="auto"/>
        <w:jc w:val="both"/>
        <w:rPr>
          <w:rFonts w:eastAsia="Tw Cen MT"/>
          <w:kern w:val="24"/>
        </w:rPr>
      </w:pPr>
      <w:r w:rsidRPr="00EE2DE7">
        <w:rPr>
          <w:rFonts w:eastAsia="Tw Cen MT"/>
          <w:kern w:val="24"/>
        </w:rPr>
        <w:t>Vlerësimi i të gjithë komponentëve, të cilët mbulojnë pj</w:t>
      </w:r>
      <w:r>
        <w:rPr>
          <w:rFonts w:eastAsia="Tw Cen MT"/>
          <w:kern w:val="24"/>
        </w:rPr>
        <w:t>esën e kurseve u bë</w:t>
      </w:r>
      <w:r w:rsidRPr="00EE2DE7">
        <w:rPr>
          <w:rFonts w:eastAsia="Tw Cen MT"/>
          <w:kern w:val="24"/>
        </w:rPr>
        <w:t xml:space="preserve"> në procesverbale përfundimtare të nënshkruara nga specialistët, pedagogët dhe </w:t>
      </w:r>
      <w:r>
        <w:rPr>
          <w:rFonts w:eastAsia="Tw Cen MT"/>
          <w:kern w:val="24"/>
        </w:rPr>
        <w:t>D</w:t>
      </w:r>
      <w:r w:rsidRPr="00EE2DE7">
        <w:rPr>
          <w:rFonts w:eastAsia="Tw Cen MT"/>
          <w:kern w:val="24"/>
        </w:rPr>
        <w:t>rejtori</w:t>
      </w:r>
      <w:r>
        <w:rPr>
          <w:rFonts w:eastAsia="Tw Cen MT"/>
          <w:kern w:val="24"/>
        </w:rPr>
        <w:t>. N</w:t>
      </w:r>
      <w:r w:rsidRPr="00EE2DE7">
        <w:rPr>
          <w:rFonts w:eastAsia="Tw Cen MT"/>
          <w:kern w:val="24"/>
        </w:rPr>
        <w:t xml:space="preserve">ë total ishte 750 pikë. </w:t>
      </w:r>
    </w:p>
    <w:p w:rsidR="00F74D7F" w:rsidRPr="00EE2DE7" w:rsidRDefault="00F74D7F" w:rsidP="00F74D7F">
      <w:pPr>
        <w:spacing w:line="276" w:lineRule="auto"/>
        <w:jc w:val="both"/>
        <w:rPr>
          <w:rFonts w:eastAsia="MS Mincho"/>
          <w:kern w:val="24"/>
        </w:rPr>
      </w:pPr>
    </w:p>
    <w:p w:rsidR="00F74D7F" w:rsidRPr="00EE2DE7" w:rsidRDefault="00F74D7F" w:rsidP="005C2687">
      <w:pPr>
        <w:numPr>
          <w:ilvl w:val="1"/>
          <w:numId w:val="11"/>
        </w:numPr>
        <w:tabs>
          <w:tab w:val="num" w:pos="426"/>
        </w:tabs>
        <w:spacing w:line="276" w:lineRule="auto"/>
        <w:ind w:left="426" w:hanging="426"/>
        <w:jc w:val="both"/>
        <w:rPr>
          <w:rFonts w:eastAsia="Tw Cen MT"/>
          <w:b/>
          <w:kern w:val="24"/>
        </w:rPr>
      </w:pPr>
      <w:r w:rsidRPr="00EE2DE7">
        <w:rPr>
          <w:rFonts w:eastAsia="Tw Cen MT"/>
          <w:b/>
          <w:kern w:val="24"/>
        </w:rPr>
        <w:t>Pjesa praktike:</w:t>
      </w:r>
    </w:p>
    <w:p w:rsidR="00F74D7F" w:rsidRPr="00EE2DE7" w:rsidRDefault="00F74D7F" w:rsidP="00554C33">
      <w:pPr>
        <w:spacing w:line="276" w:lineRule="auto"/>
        <w:jc w:val="both"/>
        <w:rPr>
          <w:rFonts w:eastAsia="MS Mincho"/>
          <w:kern w:val="24"/>
        </w:rPr>
      </w:pPr>
      <w:r w:rsidRPr="00EE2DE7">
        <w:rPr>
          <w:rFonts w:eastAsia="MS Mincho"/>
          <w:kern w:val="24"/>
        </w:rPr>
        <w:t xml:space="preserve">Mënyrat që u zbatuan për vlerësimin e kurseve që u realizuan përmes diskutimit të çështjeve gjyqësore: </w:t>
      </w:r>
    </w:p>
    <w:p w:rsidR="00F74D7F" w:rsidRPr="00EE2DE7" w:rsidRDefault="00F74D7F" w:rsidP="00F74D7F">
      <w:pPr>
        <w:spacing w:line="276" w:lineRule="auto"/>
        <w:ind w:firstLine="720"/>
        <w:jc w:val="both"/>
        <w:rPr>
          <w:rFonts w:eastAsia="Tw Cen MT"/>
          <w:kern w:val="24"/>
        </w:rPr>
      </w:pPr>
      <w:r w:rsidRPr="00EE2DE7">
        <w:rPr>
          <w:rFonts w:eastAsia="MS Mincho"/>
          <w:b/>
          <w:kern w:val="24"/>
        </w:rPr>
        <w:t>a)</w:t>
      </w:r>
      <w:r w:rsidRPr="00EE2DE7">
        <w:rPr>
          <w:rFonts w:eastAsia="MS Mincho"/>
          <w:kern w:val="24"/>
        </w:rPr>
        <w:t xml:space="preserve"> </w:t>
      </w:r>
      <w:r w:rsidRPr="00EE2DE7">
        <w:rPr>
          <w:rFonts w:eastAsia="MS Mincho"/>
          <w:b/>
          <w:kern w:val="24"/>
        </w:rPr>
        <w:t>Mënyra e vlerësimit të gjyqeve imituese</w:t>
      </w:r>
    </w:p>
    <w:p w:rsidR="00F74D7F" w:rsidRPr="00EE2DE7" w:rsidRDefault="00F74D7F" w:rsidP="00554C33">
      <w:pPr>
        <w:spacing w:line="276" w:lineRule="auto"/>
        <w:jc w:val="both"/>
        <w:rPr>
          <w:rFonts w:eastAsia="Tw Cen MT"/>
          <w:kern w:val="24"/>
        </w:rPr>
      </w:pPr>
      <w:r w:rsidRPr="00EE2DE7">
        <w:rPr>
          <w:rFonts w:eastAsia="Tw Cen MT"/>
          <w:kern w:val="24"/>
        </w:rPr>
        <w:t xml:space="preserve">Realizimi i gjyqeve imituese gjatë vitit dhe vlerësimi, </w:t>
      </w:r>
      <w:r w:rsidRPr="00EE2DE7">
        <w:rPr>
          <w:rFonts w:eastAsia="Calibri"/>
          <w:kern w:val="24"/>
        </w:rPr>
        <w:t xml:space="preserve">u bë nga pedagogët përgjegjës. U vlerësuan me </w:t>
      </w:r>
      <w:r w:rsidRPr="00EE2DE7">
        <w:rPr>
          <w:rFonts w:eastAsia="Tw Cen MT"/>
          <w:kern w:val="24"/>
        </w:rPr>
        <w:t>100 pik</w:t>
      </w:r>
      <w:r>
        <w:rPr>
          <w:rFonts w:eastAsia="Tw Cen MT"/>
          <w:kern w:val="24"/>
        </w:rPr>
        <w:t xml:space="preserve">ë me koeficient vështirësie 1.5. </w:t>
      </w:r>
    </w:p>
    <w:p w:rsidR="00F74D7F" w:rsidRPr="00EE2DE7" w:rsidRDefault="00F74D7F" w:rsidP="00F74D7F">
      <w:pPr>
        <w:spacing w:line="276" w:lineRule="auto"/>
        <w:ind w:firstLine="720"/>
        <w:jc w:val="both"/>
        <w:rPr>
          <w:rFonts w:eastAsia="Tw Cen MT"/>
          <w:kern w:val="24"/>
        </w:rPr>
      </w:pPr>
      <w:r w:rsidRPr="00EE2DE7">
        <w:rPr>
          <w:rFonts w:eastAsia="MS Mincho"/>
          <w:b/>
          <w:kern w:val="24"/>
        </w:rPr>
        <w:t>b)</w:t>
      </w:r>
      <w:r w:rsidRPr="00EE2DE7">
        <w:rPr>
          <w:rFonts w:eastAsia="MS Mincho"/>
          <w:kern w:val="24"/>
        </w:rPr>
        <w:t xml:space="preserve"> </w:t>
      </w:r>
      <w:r w:rsidRPr="00EE2DE7">
        <w:rPr>
          <w:rFonts w:eastAsia="MS Mincho"/>
          <w:b/>
          <w:kern w:val="24"/>
        </w:rPr>
        <w:t>Mënyra e vlerësimit të praktikës në institucione të ndryshme (</w:t>
      </w:r>
      <w:r>
        <w:rPr>
          <w:rFonts w:eastAsia="MS Mincho"/>
          <w:b/>
          <w:kern w:val="24"/>
        </w:rPr>
        <w:t>g</w:t>
      </w:r>
      <w:r w:rsidRPr="00EE2DE7">
        <w:rPr>
          <w:rFonts w:eastAsia="MS Mincho"/>
          <w:b/>
          <w:kern w:val="24"/>
        </w:rPr>
        <w:t xml:space="preserve">jykata dhe </w:t>
      </w:r>
      <w:r>
        <w:rPr>
          <w:rFonts w:eastAsia="MS Mincho"/>
          <w:b/>
          <w:kern w:val="24"/>
        </w:rPr>
        <w:t>p</w:t>
      </w:r>
      <w:r w:rsidRPr="00EE2DE7">
        <w:rPr>
          <w:rFonts w:eastAsia="MS Mincho"/>
          <w:b/>
          <w:kern w:val="24"/>
        </w:rPr>
        <w:t>rokurori):</w:t>
      </w:r>
    </w:p>
    <w:p w:rsidR="00F74D7F" w:rsidRPr="00EE2DE7" w:rsidRDefault="00F74D7F" w:rsidP="00554C33">
      <w:pPr>
        <w:spacing w:line="276" w:lineRule="auto"/>
        <w:jc w:val="both"/>
        <w:rPr>
          <w:rFonts w:eastAsia="Tw Cen MT"/>
          <w:kern w:val="24"/>
        </w:rPr>
      </w:pPr>
      <w:r w:rsidRPr="00EE2DE7">
        <w:rPr>
          <w:rFonts w:eastAsia="Calibri"/>
          <w:kern w:val="24"/>
        </w:rPr>
        <w:t xml:space="preserve">Vlerësimi i praktikës u bë nga pedagogët përgjegjës, pas marrjes së vlerësimit nga </w:t>
      </w:r>
      <w:r w:rsidRPr="00EE2DE7">
        <w:rPr>
          <w:rFonts w:eastAsia="Calibri"/>
          <w:kern w:val="24"/>
        </w:rPr>
        <w:t xml:space="preserve">udhëheqësit e stazhit paraprofesional. </w:t>
      </w:r>
      <w:r w:rsidRPr="00EE2DE7">
        <w:rPr>
          <w:rFonts w:eastAsia="Tw Cen MT"/>
          <w:kern w:val="24"/>
        </w:rPr>
        <w:t xml:space="preserve">Praktika në institucionet e </w:t>
      </w:r>
      <w:r>
        <w:rPr>
          <w:rFonts w:eastAsia="Tw Cen MT"/>
          <w:kern w:val="24"/>
        </w:rPr>
        <w:t>g</w:t>
      </w:r>
      <w:r w:rsidRPr="00EE2DE7">
        <w:rPr>
          <w:rFonts w:eastAsia="Tw Cen MT"/>
          <w:kern w:val="24"/>
        </w:rPr>
        <w:t xml:space="preserve">jyqësorit dhe prokurori u vlerësua me 100 pikë në total me koeficient vështirësie </w:t>
      </w:r>
      <w:r>
        <w:rPr>
          <w:rFonts w:eastAsia="Tw Cen MT"/>
          <w:kern w:val="24"/>
        </w:rPr>
        <w:t xml:space="preserve">1.5. </w:t>
      </w:r>
    </w:p>
    <w:p w:rsidR="00F74D7F" w:rsidRPr="00EE2DE7" w:rsidRDefault="00F74D7F" w:rsidP="00F74D7F">
      <w:pPr>
        <w:spacing w:line="276" w:lineRule="auto"/>
        <w:ind w:firstLine="720"/>
        <w:jc w:val="both"/>
        <w:rPr>
          <w:rFonts w:eastAsia="MS Mincho"/>
          <w:kern w:val="24"/>
        </w:rPr>
      </w:pPr>
      <w:r w:rsidRPr="00EE2DE7">
        <w:rPr>
          <w:rFonts w:eastAsia="Tw Cen MT"/>
          <w:b/>
          <w:kern w:val="24"/>
        </w:rPr>
        <w:t xml:space="preserve">c) </w:t>
      </w:r>
      <w:r w:rsidRPr="00EE2DE7">
        <w:rPr>
          <w:rFonts w:eastAsia="MS Mincho"/>
          <w:b/>
          <w:kern w:val="24"/>
        </w:rPr>
        <w:t>Mënyra e vlerësimit të praktikës dhe diskutimeve të çështjeve në sesionet interaktive</w:t>
      </w:r>
      <w:r w:rsidRPr="00EE2DE7">
        <w:rPr>
          <w:rFonts w:eastAsia="Calibri"/>
          <w:b/>
          <w:kern w:val="24"/>
        </w:rPr>
        <w:t xml:space="preserve"> </w:t>
      </w:r>
      <w:r w:rsidRPr="00EE2DE7">
        <w:rPr>
          <w:rFonts w:eastAsia="MS Mincho"/>
          <w:b/>
          <w:kern w:val="24"/>
        </w:rPr>
        <w:t>në auditor:</w:t>
      </w:r>
      <w:r w:rsidRPr="00EE2DE7">
        <w:rPr>
          <w:rFonts w:eastAsia="MS Mincho"/>
          <w:kern w:val="24"/>
        </w:rPr>
        <w:t xml:space="preserve"> </w:t>
      </w:r>
    </w:p>
    <w:p w:rsidR="00F74D7F" w:rsidRPr="00EE2DE7" w:rsidRDefault="00F74D7F" w:rsidP="00554C33">
      <w:pPr>
        <w:spacing w:line="276" w:lineRule="auto"/>
        <w:jc w:val="both"/>
        <w:rPr>
          <w:rFonts w:eastAsia="Tw Cen MT"/>
          <w:kern w:val="24"/>
        </w:rPr>
      </w:pPr>
      <w:r w:rsidRPr="00EE2DE7">
        <w:rPr>
          <w:rFonts w:eastAsia="MS Mincho"/>
          <w:kern w:val="24"/>
        </w:rPr>
        <w:t xml:space="preserve">Vlerësimi u </w:t>
      </w:r>
      <w:r w:rsidRPr="00EE2DE7">
        <w:rPr>
          <w:rFonts w:eastAsia="Calibri"/>
          <w:kern w:val="24"/>
        </w:rPr>
        <w:t>bë nga pedagogët përgjegjës</w:t>
      </w:r>
      <w:r w:rsidRPr="00EE2DE7">
        <w:rPr>
          <w:rFonts w:eastAsia="MS Mincho"/>
          <w:kern w:val="24"/>
        </w:rPr>
        <w:t xml:space="preserve"> përmes raporteve, debateve dhe diskutimeve të çështjeve në sesionet interaktive,</w:t>
      </w:r>
      <w:r w:rsidRPr="00EE2DE7">
        <w:rPr>
          <w:rFonts w:eastAsia="Calibri"/>
          <w:kern w:val="24"/>
        </w:rPr>
        <w:t xml:space="preserve"> të cilat</w:t>
      </w:r>
      <w:r w:rsidRPr="00EE2DE7">
        <w:rPr>
          <w:rFonts w:eastAsia="MS Mincho"/>
          <w:kern w:val="24"/>
        </w:rPr>
        <w:t xml:space="preserve"> u zhvilluan për çdo lëndë. Vlerësimi përfundimtar ishte me 100 pikë totali me koeficient vështirësie 1.5.</w:t>
      </w:r>
    </w:p>
    <w:p w:rsidR="006B66AB" w:rsidRDefault="00F74D7F" w:rsidP="006B66AB">
      <w:pPr>
        <w:spacing w:line="276" w:lineRule="auto"/>
        <w:jc w:val="both"/>
        <w:rPr>
          <w:rFonts w:eastAsia="Tw Cen MT"/>
          <w:kern w:val="24"/>
        </w:rPr>
      </w:pPr>
      <w:r w:rsidRPr="00EE2DE7">
        <w:rPr>
          <w:rFonts w:eastAsia="Tw Cen MT"/>
          <w:kern w:val="24"/>
        </w:rPr>
        <w:t xml:space="preserve">Vlerësimi i të gjithë komponentëve të cilët mbulojnë pjesën e praktikës u bë në një procesverbal përfundimtar të nënshkruar nga pedagogët e brendshëm, të ngarkuar me drejtimin e praktikës së vitit të dytë dhe në total ishte 450 pikë. </w:t>
      </w:r>
    </w:p>
    <w:p w:rsidR="004E231A" w:rsidRDefault="004E231A" w:rsidP="006B66AB">
      <w:pPr>
        <w:spacing w:line="276" w:lineRule="auto"/>
        <w:jc w:val="both"/>
        <w:rPr>
          <w:rFonts w:eastAsia="Tw Cen MT"/>
          <w:kern w:val="24"/>
        </w:rPr>
      </w:pPr>
    </w:p>
    <w:p w:rsidR="00F74D7F" w:rsidRDefault="00E751F9" w:rsidP="00E751F9">
      <w:pPr>
        <w:spacing w:line="276" w:lineRule="auto"/>
        <w:jc w:val="both"/>
        <w:rPr>
          <w:rFonts w:eastAsia="Tw Cen MT"/>
          <w:b/>
          <w:kern w:val="24"/>
        </w:rPr>
      </w:pPr>
      <w:r>
        <w:rPr>
          <w:rFonts w:eastAsia="Tw Cen MT"/>
          <w:b/>
          <w:kern w:val="24"/>
        </w:rPr>
        <w:t>3.</w:t>
      </w:r>
      <w:r w:rsidRPr="00E751F9">
        <w:rPr>
          <w:rFonts w:eastAsia="Tw Cen MT"/>
          <w:b/>
          <w:kern w:val="24"/>
        </w:rPr>
        <w:t>T</w:t>
      </w:r>
      <w:r w:rsidR="00F74D7F" w:rsidRPr="00E751F9">
        <w:rPr>
          <w:rFonts w:eastAsia="Tw Cen MT"/>
          <w:b/>
          <w:kern w:val="24"/>
        </w:rPr>
        <w:t>ema</w:t>
      </w:r>
      <w:r w:rsidR="004E231A">
        <w:rPr>
          <w:rFonts w:eastAsia="Tw Cen MT"/>
          <w:b/>
          <w:kern w:val="24"/>
        </w:rPr>
        <w:t>:</w:t>
      </w:r>
    </w:p>
    <w:p w:rsidR="00F74D7F" w:rsidRPr="001E0C44" w:rsidRDefault="00F74D7F" w:rsidP="006B66AB">
      <w:pPr>
        <w:spacing w:line="276" w:lineRule="auto"/>
        <w:jc w:val="both"/>
        <w:rPr>
          <w:rFonts w:eastAsia="MS Mincho"/>
          <w:b/>
          <w:kern w:val="24"/>
        </w:rPr>
      </w:pPr>
      <w:r w:rsidRPr="001E0C44">
        <w:rPr>
          <w:rFonts w:eastAsia="MS Mincho"/>
          <w:b/>
          <w:kern w:val="24"/>
        </w:rPr>
        <w:t>Mënyra e vlerësimit të temës</w:t>
      </w:r>
    </w:p>
    <w:p w:rsidR="00F74D7F" w:rsidRPr="00EE2DE7" w:rsidRDefault="00F74D7F" w:rsidP="006B66AB">
      <w:pPr>
        <w:spacing w:line="276" w:lineRule="auto"/>
        <w:jc w:val="both"/>
        <w:rPr>
          <w:rFonts w:eastAsia="MS Mincho"/>
          <w:kern w:val="24"/>
        </w:rPr>
      </w:pPr>
      <w:r w:rsidRPr="00EE2DE7">
        <w:rPr>
          <w:rFonts w:eastAsia="MS Mincho"/>
          <w:kern w:val="24"/>
        </w:rPr>
        <w:t>Tema u miratua nga Drejtoria e Shkollës në fillim të vitit akademik. Ajo u përgatit nën udhëheqjen e Shkollës së Magjistraturës, e cila zgjodhi një drejtues me eksperiencë praktike e shkencore. Mbrojtja e temës u bë para një jurie të përbërë si rregull nga pesë pedagogët e brendshëm me urdhër të brendshëm të Drejtorit të Shkollës për caktimin e anëtarëve të komisionit të mbrojtjes së temave. Vlerësimi maksimal për çdo temë është 100 pikë me koeficient vështirësie 2.</w:t>
      </w:r>
    </w:p>
    <w:p w:rsidR="00F74D7F" w:rsidRPr="00EE2DE7" w:rsidRDefault="00F74D7F" w:rsidP="00F74D7F">
      <w:pPr>
        <w:spacing w:line="276" w:lineRule="auto"/>
        <w:jc w:val="both"/>
        <w:rPr>
          <w:rFonts w:eastAsia="MS Mincho"/>
          <w:kern w:val="24"/>
        </w:rPr>
      </w:pPr>
    </w:p>
    <w:p w:rsidR="00F74D7F" w:rsidRPr="004E231A" w:rsidRDefault="004E231A" w:rsidP="004E231A">
      <w:pPr>
        <w:spacing w:line="276" w:lineRule="auto"/>
        <w:jc w:val="both"/>
        <w:rPr>
          <w:rFonts w:eastAsia="MS Mincho"/>
          <w:b/>
          <w:kern w:val="24"/>
        </w:rPr>
      </w:pPr>
      <w:r>
        <w:rPr>
          <w:rFonts w:eastAsia="MS Mincho"/>
          <w:b/>
          <w:kern w:val="24"/>
        </w:rPr>
        <w:t>4.</w:t>
      </w:r>
      <w:r w:rsidR="00F74D7F" w:rsidRPr="004E231A">
        <w:rPr>
          <w:rFonts w:eastAsia="MS Mincho"/>
          <w:b/>
          <w:kern w:val="24"/>
        </w:rPr>
        <w:t xml:space="preserve"> Provimi përfundimtar: </w:t>
      </w:r>
    </w:p>
    <w:p w:rsidR="00F74D7F" w:rsidRPr="00EE2DE7" w:rsidRDefault="00F74D7F" w:rsidP="00F74D7F">
      <w:pPr>
        <w:spacing w:line="276" w:lineRule="auto"/>
        <w:jc w:val="both"/>
        <w:rPr>
          <w:rFonts w:eastAsia="MS Mincho"/>
          <w:b/>
          <w:kern w:val="24"/>
        </w:rPr>
      </w:pPr>
      <w:r w:rsidRPr="00EE2DE7">
        <w:rPr>
          <w:rFonts w:eastAsia="MS Mincho"/>
          <w:kern w:val="24"/>
        </w:rPr>
        <w:t>Për herë të parë për vitin akademik 2017-2018 në vitin e dytë u zhvillua provimi përfundimtar.</w:t>
      </w:r>
    </w:p>
    <w:p w:rsidR="00F74D7F" w:rsidRPr="000D0363" w:rsidRDefault="00F74D7F" w:rsidP="005C2687">
      <w:pPr>
        <w:pStyle w:val="ListParagraph"/>
        <w:numPr>
          <w:ilvl w:val="0"/>
          <w:numId w:val="15"/>
        </w:numPr>
        <w:tabs>
          <w:tab w:val="left" w:pos="720"/>
        </w:tabs>
        <w:autoSpaceDE w:val="0"/>
        <w:autoSpaceDN w:val="0"/>
        <w:adjustRightInd w:val="0"/>
        <w:spacing w:line="276" w:lineRule="auto"/>
        <w:jc w:val="both"/>
      </w:pPr>
      <w:r w:rsidRPr="000D0363">
        <w:t xml:space="preserve">Provimi u zhvillua në datën 18 qershor 2018. </w:t>
      </w:r>
    </w:p>
    <w:p w:rsidR="00F74D7F" w:rsidRPr="000D0363" w:rsidRDefault="00F74D7F" w:rsidP="005C2687">
      <w:pPr>
        <w:pStyle w:val="ListParagraph"/>
        <w:numPr>
          <w:ilvl w:val="0"/>
          <w:numId w:val="15"/>
        </w:numPr>
        <w:tabs>
          <w:tab w:val="left" w:pos="720"/>
        </w:tabs>
        <w:autoSpaceDE w:val="0"/>
        <w:autoSpaceDN w:val="0"/>
        <w:adjustRightInd w:val="0"/>
        <w:spacing w:line="276" w:lineRule="auto"/>
        <w:jc w:val="both"/>
      </w:pPr>
      <w:r w:rsidRPr="000D0363">
        <w:t xml:space="preserve">Provimi u zhvillua me shkrim. Teza ishte e ndërtuar me katër raste praktike nga fushat e mëposhtme: </w:t>
      </w:r>
    </w:p>
    <w:p w:rsidR="00F74D7F" w:rsidRPr="00EE2DE7" w:rsidRDefault="00F74D7F" w:rsidP="00F74D7F">
      <w:pPr>
        <w:autoSpaceDE w:val="0"/>
        <w:autoSpaceDN w:val="0"/>
        <w:adjustRightInd w:val="0"/>
        <w:spacing w:line="276" w:lineRule="auto"/>
        <w:ind w:firstLine="450"/>
        <w:jc w:val="both"/>
        <w:rPr>
          <w:rFonts w:eastAsia="MS Mincho"/>
        </w:rPr>
      </w:pPr>
      <w:r w:rsidRPr="00EE2DE7">
        <w:rPr>
          <w:rFonts w:eastAsia="MS Mincho"/>
        </w:rPr>
        <w:t xml:space="preserve">a) pjesa I - E drejta private (civile, familjare e punës, tregtare) dhe e drejta procedurale civile; </w:t>
      </w:r>
    </w:p>
    <w:p w:rsidR="00F74D7F" w:rsidRPr="00EE2DE7" w:rsidRDefault="00F74D7F" w:rsidP="00F74D7F">
      <w:pPr>
        <w:autoSpaceDE w:val="0"/>
        <w:autoSpaceDN w:val="0"/>
        <w:adjustRightInd w:val="0"/>
        <w:spacing w:line="276" w:lineRule="auto"/>
        <w:ind w:firstLine="450"/>
        <w:jc w:val="both"/>
        <w:rPr>
          <w:rFonts w:eastAsia="MS Mincho"/>
        </w:rPr>
      </w:pPr>
      <w:r w:rsidRPr="00EE2DE7">
        <w:rPr>
          <w:rFonts w:eastAsia="MS Mincho"/>
        </w:rPr>
        <w:lastRenderedPageBreak/>
        <w:t xml:space="preserve">b)  pjesa II - E drejta penale dhe procedurale penale; </w:t>
      </w:r>
    </w:p>
    <w:p w:rsidR="00F74D7F" w:rsidRPr="00EE2DE7" w:rsidRDefault="00F74D7F" w:rsidP="00F74D7F">
      <w:pPr>
        <w:autoSpaceDE w:val="0"/>
        <w:autoSpaceDN w:val="0"/>
        <w:adjustRightInd w:val="0"/>
        <w:spacing w:line="276" w:lineRule="auto"/>
        <w:ind w:firstLine="450"/>
        <w:jc w:val="both"/>
        <w:rPr>
          <w:rFonts w:eastAsia="MS Mincho"/>
        </w:rPr>
      </w:pPr>
      <w:r w:rsidRPr="00EE2DE7">
        <w:rPr>
          <w:rFonts w:eastAsia="MS Mincho"/>
        </w:rPr>
        <w:t xml:space="preserve">c)  pjesa III - E drejta administrative materiale dhe e drejta procedurale administrative; </w:t>
      </w:r>
    </w:p>
    <w:p w:rsidR="00F74D7F" w:rsidRPr="00EE2DE7" w:rsidRDefault="00F74D7F" w:rsidP="00F74D7F">
      <w:pPr>
        <w:autoSpaceDE w:val="0"/>
        <w:autoSpaceDN w:val="0"/>
        <w:adjustRightInd w:val="0"/>
        <w:spacing w:line="276" w:lineRule="auto"/>
        <w:ind w:firstLine="450"/>
        <w:jc w:val="both"/>
        <w:rPr>
          <w:rFonts w:eastAsia="MS Mincho"/>
        </w:rPr>
      </w:pPr>
      <w:r w:rsidRPr="00EE2DE7">
        <w:rPr>
          <w:rFonts w:eastAsia="MS Mincho"/>
        </w:rPr>
        <w:t xml:space="preserve">ç) pjesa IV - E drejta publike (kushtetuese, të drejtat e njeriut, ndërkombëtare, legjislacioni i BE-së etj.). </w:t>
      </w:r>
    </w:p>
    <w:p w:rsidR="00F74D7F" w:rsidRPr="000D0363" w:rsidRDefault="00F74D7F" w:rsidP="005C2687">
      <w:pPr>
        <w:pStyle w:val="ListParagraph"/>
        <w:numPr>
          <w:ilvl w:val="0"/>
          <w:numId w:val="15"/>
        </w:numPr>
        <w:spacing w:line="276" w:lineRule="auto"/>
        <w:jc w:val="both"/>
        <w:rPr>
          <w:rFonts w:eastAsia="Times New Roman"/>
        </w:rPr>
      </w:pPr>
      <w:r w:rsidRPr="000D0363">
        <w:rPr>
          <w:rFonts w:eastAsia="Times New Roman"/>
        </w:rPr>
        <w:t>Provimi përfundimtar u vlerësua nga një komision i përbërë nga katër anëtarë, nga radhët e pedagogëve të brendshëm dhe të jashtëm të Shkollës së Magjistraturës pasi Këshilli i Lartë Gjyqësor dhe Këshilli i Lartë i Prokurorisë nuk janë ngritur ende. Me vendimin nr. 15, datë 8.5.2018 u caktuan anëtarët e Komisionit të Provimit Përfundimtar të vitit të dytë akademik.</w:t>
      </w:r>
    </w:p>
    <w:p w:rsidR="00F74D7F" w:rsidRPr="000D0363" w:rsidRDefault="00F74D7F" w:rsidP="005C2687">
      <w:pPr>
        <w:pStyle w:val="ListParagraph"/>
        <w:numPr>
          <w:ilvl w:val="0"/>
          <w:numId w:val="15"/>
        </w:numPr>
        <w:spacing w:line="276" w:lineRule="auto"/>
        <w:jc w:val="both"/>
        <w:rPr>
          <w:rFonts w:eastAsia="Times New Roman"/>
        </w:rPr>
      </w:pPr>
      <w:r w:rsidRPr="000D0363">
        <w:t>Provimi përfundimtar i vitit të dytë u bë me shkrim, duke iu nënshtruar procesit të sekretimit, me qëllim ruajtjen e objektivitetit.</w:t>
      </w:r>
      <w:r w:rsidRPr="000D0363">
        <w:rPr>
          <w:rFonts w:eastAsia="Times New Roman"/>
        </w:rPr>
        <w:t xml:space="preserve"> Procedura e sekretimit ishte e njëjtë si provimi i pranimit të kandidatëve. Gjatë provimit, 25 kandidatëve iu shpërnda një zarf i vogël ku shkruan emrin, i cili u mbyll në momentin e dorëzimit të provimit. Mbyllja e tij u bë në fund e u vulos nga personi i caktuar përgjegjës. Zarfi i madh mbyllej nga kandidati me mbarimin e provimit dhe brenda tij ndodheshin 4 (katër) tezat me përgjigjet. Zarfi vulosej nga personi përgjegjës. Përmbajtja e çdo zarfi është në përgjegjësinë e kandidatit përkatës. Tezat që mungojnë në zarf vlerësohen nga Komisioni me 0 pikë. Anëtari i Komisionit që konstaton i pari mungesën e tezës në zarf e bën këtë gjë publike duke mbajtur një procesverbal të veçantë për këto mungesa, i cili nënshkruhet nga të gjithë anëtarët e komisionit. Në fund të provimit, zarfi i vogël së bashku me zarfin e madh, iu dorëzuan Drejtorit të Shkollës dhe </w:t>
      </w:r>
      <w:r w:rsidRPr="000D0363">
        <w:rPr>
          <w:rFonts w:eastAsia="Times New Roman"/>
        </w:rPr>
        <w:t xml:space="preserve">Përgjegjësit të Trajnimit Fillestar. Nga Komisioni i Provimit nuk u konstatuan raste të mungesës së tezave në zarfet e mëdha. Zarfi i vogël u depozitua në kasafortën e Drejtorisë, ndërsa zarfet e mëdhenj iu dorëzuan komisionit për vlerësim. </w:t>
      </w:r>
    </w:p>
    <w:p w:rsidR="00F74D7F" w:rsidRPr="000D0363" w:rsidRDefault="00F74D7F" w:rsidP="005C2687">
      <w:pPr>
        <w:pStyle w:val="ListParagraph"/>
        <w:numPr>
          <w:ilvl w:val="0"/>
          <w:numId w:val="15"/>
        </w:numPr>
        <w:spacing w:line="276" w:lineRule="auto"/>
        <w:jc w:val="both"/>
        <w:rPr>
          <w:rFonts w:eastAsia="Times New Roman"/>
        </w:rPr>
      </w:pPr>
      <w:r w:rsidRPr="000D0363">
        <w:rPr>
          <w:rFonts w:eastAsia="Times New Roman"/>
        </w:rPr>
        <w:t>Kohëzgjatja e provimit, e parashikuar në Rregulloren e Brendshme është 4 orë.</w:t>
      </w:r>
    </w:p>
    <w:p w:rsidR="00F74D7F" w:rsidRPr="000D0363" w:rsidRDefault="00F74D7F" w:rsidP="005C2687">
      <w:pPr>
        <w:pStyle w:val="ListParagraph"/>
        <w:numPr>
          <w:ilvl w:val="0"/>
          <w:numId w:val="15"/>
        </w:numPr>
        <w:spacing w:line="276" w:lineRule="auto"/>
        <w:jc w:val="both"/>
        <w:rPr>
          <w:rFonts w:eastAsia="Times New Roman"/>
        </w:rPr>
      </w:pPr>
      <w:r w:rsidRPr="000D0363">
        <w:rPr>
          <w:rFonts w:eastAsia="Times New Roman"/>
        </w:rPr>
        <w:t>Pas përfundimit të provimit, u bë sekretimi i zarfeve. Pas dorëzimit të fletëve të provimit, u vendos numri, si në zarfin e vogël, ashtu dhe në zarfin e madh të çdo kandidati. Komisionit të Provimit iu vu në dispozicion vetëm zarfi i madh, me numrin përkatës, i cili kishte brenda vetëm fletë me zgjidhen e provimit.</w:t>
      </w:r>
    </w:p>
    <w:p w:rsidR="00F74D7F" w:rsidRPr="000D0363" w:rsidRDefault="00F74D7F" w:rsidP="005C2687">
      <w:pPr>
        <w:pStyle w:val="ListParagraph"/>
        <w:numPr>
          <w:ilvl w:val="0"/>
          <w:numId w:val="15"/>
        </w:numPr>
        <w:spacing w:line="276" w:lineRule="auto"/>
        <w:jc w:val="both"/>
        <w:rPr>
          <w:rFonts w:eastAsia="Times New Roman"/>
        </w:rPr>
      </w:pPr>
      <w:r w:rsidRPr="000D0363">
        <w:rPr>
          <w:rFonts w:eastAsia="Times New Roman"/>
        </w:rPr>
        <w:t xml:space="preserve">Korrigjimi i provimit me shkrim u bë në një sallë të mbyllur (mjedis zyrtar) brenda godinës së Shkollës së Magjistraturës. Gjithashtu, asnjë anëtar i komisionit nuk lejohej të merrte me vete fletët e provimit. Gjatë provimit, e gjithë salla u mbikëqyr nga një komision i ngritur për këtë qëllim nga Drejtoria e Shkollës. </w:t>
      </w:r>
    </w:p>
    <w:p w:rsidR="00F74D7F" w:rsidRPr="000D0363" w:rsidRDefault="00F74D7F" w:rsidP="005C2687">
      <w:pPr>
        <w:pStyle w:val="ListParagraph"/>
        <w:numPr>
          <w:ilvl w:val="0"/>
          <w:numId w:val="15"/>
        </w:numPr>
        <w:spacing w:line="276" w:lineRule="auto"/>
        <w:jc w:val="both"/>
        <w:rPr>
          <w:rFonts w:eastAsia="Times New Roman"/>
        </w:rPr>
      </w:pPr>
      <w:r w:rsidRPr="000D0363">
        <w:rPr>
          <w:rFonts w:eastAsia="Times New Roman"/>
        </w:rPr>
        <w:t>Zarf</w:t>
      </w:r>
      <w:r>
        <w:rPr>
          <w:rFonts w:eastAsia="Times New Roman"/>
        </w:rPr>
        <w:t>a</w:t>
      </w:r>
      <w:r w:rsidRPr="000D0363">
        <w:rPr>
          <w:rFonts w:eastAsia="Times New Roman"/>
        </w:rPr>
        <w:t xml:space="preserve">t e mëdhenj me fletët e përgjigjeve u hapën vetëm në ditët e korrigjimit në prezencë të komisionit të korrigjimit. </w:t>
      </w:r>
    </w:p>
    <w:p w:rsidR="00F74D7F" w:rsidRPr="000D0363" w:rsidRDefault="00F74D7F" w:rsidP="005C2687">
      <w:pPr>
        <w:pStyle w:val="ListParagraph"/>
        <w:numPr>
          <w:ilvl w:val="0"/>
          <w:numId w:val="15"/>
        </w:numPr>
        <w:spacing w:line="276" w:lineRule="auto"/>
        <w:jc w:val="both"/>
        <w:rPr>
          <w:rFonts w:eastAsia="Times New Roman"/>
        </w:rPr>
      </w:pPr>
      <w:r w:rsidRPr="000D0363">
        <w:rPr>
          <w:rFonts w:eastAsia="Times New Roman"/>
        </w:rPr>
        <w:t>Shpallja e rezultateve në bazë të numrave të sekretimit u bë një javë më pas në datë 25 qershor. Po në këtë datë, u bë dhe hapja e zarfeve të vegjël me emrat në prani të kandidatë</w:t>
      </w:r>
      <w:r w:rsidRPr="000D0363">
        <w:t>ve p</w:t>
      </w:r>
      <w:r w:rsidRPr="000D0363">
        <w:rPr>
          <w:rFonts w:eastAsia="Times New Roman"/>
        </w:rPr>
        <w:t>ër magjistratë, në mjediset e Shkollës së Magjistraturës.</w:t>
      </w:r>
    </w:p>
    <w:p w:rsidR="00F74D7F" w:rsidRPr="000D0363" w:rsidRDefault="00F74D7F" w:rsidP="005C2687">
      <w:pPr>
        <w:pStyle w:val="ListParagraph"/>
        <w:numPr>
          <w:ilvl w:val="0"/>
          <w:numId w:val="15"/>
        </w:numPr>
        <w:spacing w:line="276" w:lineRule="auto"/>
        <w:jc w:val="both"/>
        <w:rPr>
          <w:rFonts w:eastAsia="Times New Roman"/>
        </w:rPr>
      </w:pPr>
      <w:r w:rsidRPr="000D0363">
        <w:rPr>
          <w:rFonts w:eastAsia="Times New Roman"/>
        </w:rPr>
        <w:t xml:space="preserve">Pas marrjes së rezultateve, kandidatët verifikuan përgjigjet e tyre. Fletët e provimit u panë nga kandidatët, vetëm në sallën e vënë në dispozicion nga Shkolla. Nuk u lejua fotokopjimi ose marrja e fletëve të provimit. </w:t>
      </w:r>
    </w:p>
    <w:p w:rsidR="00F74D7F" w:rsidRPr="000D0363" w:rsidRDefault="00F74D7F" w:rsidP="005C2687">
      <w:pPr>
        <w:pStyle w:val="ListParagraph"/>
        <w:numPr>
          <w:ilvl w:val="0"/>
          <w:numId w:val="15"/>
        </w:numPr>
        <w:spacing w:line="276" w:lineRule="auto"/>
        <w:jc w:val="both"/>
        <w:rPr>
          <w:rFonts w:eastAsia="Times New Roman"/>
        </w:rPr>
      </w:pPr>
      <w:r w:rsidRPr="000D0363">
        <w:rPr>
          <w:rFonts w:eastAsia="Times New Roman"/>
        </w:rPr>
        <w:t xml:space="preserve">Provimi përfundimtar, parashikuar në Planin Mësimor të vitit të dytë për vitin </w:t>
      </w:r>
      <w:r w:rsidRPr="000D0363">
        <w:rPr>
          <w:rFonts w:eastAsia="Times New Roman"/>
        </w:rPr>
        <w:lastRenderedPageBreak/>
        <w:t xml:space="preserve">akademik 2017-2018, </w:t>
      </w:r>
      <w:r w:rsidRPr="000D0363">
        <w:t xml:space="preserve"> vlerësohet me 100 pikë, me koeficient vështirësie 2.</w:t>
      </w:r>
    </w:p>
    <w:p w:rsidR="00F74D7F" w:rsidRPr="000D0363" w:rsidRDefault="00F74D7F" w:rsidP="005C2687">
      <w:pPr>
        <w:pStyle w:val="ListParagraph"/>
        <w:numPr>
          <w:ilvl w:val="0"/>
          <w:numId w:val="15"/>
        </w:numPr>
        <w:spacing w:line="276" w:lineRule="auto"/>
        <w:jc w:val="both"/>
        <w:rPr>
          <w:rFonts w:eastAsia="Times New Roman"/>
        </w:rPr>
      </w:pPr>
      <w:r w:rsidRPr="000D0363">
        <w:rPr>
          <w:rFonts w:eastAsia="Times New Roman"/>
        </w:rPr>
        <w:t xml:space="preserve">Vlerësimi total i të gjithë komponentëve në provimin përfundimtar u bë me procesverbalin e </w:t>
      </w:r>
      <w:r w:rsidRPr="000D0363">
        <w:rPr>
          <w:rFonts w:eastAsia="Times New Roman"/>
          <w:color w:val="000000"/>
        </w:rPr>
        <w:t>përgatitur dhe të nënshkruar nga Komisioni i Provimit.</w:t>
      </w:r>
    </w:p>
    <w:p w:rsidR="00F74D7F" w:rsidRPr="00EE2DE7" w:rsidRDefault="00F74D7F" w:rsidP="00F74D7F">
      <w:pPr>
        <w:spacing w:line="276" w:lineRule="auto"/>
        <w:contextualSpacing/>
        <w:jc w:val="both"/>
        <w:rPr>
          <w:rFonts w:eastAsia="Times New Roman"/>
        </w:rPr>
      </w:pPr>
    </w:p>
    <w:p w:rsidR="00F74D7F" w:rsidRPr="00EE2DE7" w:rsidRDefault="00F74D7F" w:rsidP="005C2687">
      <w:pPr>
        <w:numPr>
          <w:ilvl w:val="0"/>
          <w:numId w:val="14"/>
        </w:numPr>
        <w:spacing w:line="276" w:lineRule="auto"/>
        <w:ind w:left="284"/>
        <w:contextualSpacing/>
        <w:jc w:val="both"/>
        <w:rPr>
          <w:rFonts w:eastAsia="Times New Roman"/>
        </w:rPr>
      </w:pPr>
      <w:r w:rsidRPr="00EE2DE7">
        <w:rPr>
          <w:rFonts w:eastAsia="Times New Roman"/>
          <w:color w:val="000000"/>
        </w:rPr>
        <w:t>Vlerësimi total i të gjithë komponentëve të vitit të parë dhe të dytë u bë me procesverbalin e nënshkruar nga Këshilli Pedagogjik</w:t>
      </w:r>
      <w:r w:rsidRPr="00EE2DE7">
        <w:rPr>
          <w:rFonts w:eastAsia="Times New Roman"/>
          <w:b/>
          <w:color w:val="000000"/>
        </w:rPr>
        <w:t xml:space="preserve"> </w:t>
      </w:r>
      <w:r w:rsidRPr="00EE2DE7">
        <w:rPr>
          <w:rFonts w:eastAsia="Times New Roman"/>
          <w:color w:val="000000"/>
        </w:rPr>
        <w:t>dhe është shumatorja</w:t>
      </w:r>
      <w:r w:rsidRPr="00EE2DE7">
        <w:rPr>
          <w:rFonts w:eastAsia="Times New Roman"/>
        </w:rPr>
        <w:t xml:space="preserve"> e:</w:t>
      </w:r>
    </w:p>
    <w:p w:rsidR="00F74D7F" w:rsidRPr="00EE2DE7" w:rsidRDefault="00F74D7F" w:rsidP="005C2687">
      <w:pPr>
        <w:numPr>
          <w:ilvl w:val="0"/>
          <w:numId w:val="13"/>
        </w:numPr>
        <w:spacing w:line="276" w:lineRule="auto"/>
        <w:ind w:left="1134"/>
        <w:contextualSpacing/>
        <w:jc w:val="both"/>
        <w:rPr>
          <w:rFonts w:eastAsia="Times New Roman"/>
        </w:rPr>
      </w:pPr>
      <w:r w:rsidRPr="00EE2DE7">
        <w:rPr>
          <w:rFonts w:eastAsia="Times New Roman"/>
        </w:rPr>
        <w:t xml:space="preserve">2250 pikëve të  vitit të parë; </w:t>
      </w:r>
    </w:p>
    <w:p w:rsidR="00F74D7F" w:rsidRPr="00EE2DE7" w:rsidRDefault="00F74D7F" w:rsidP="005C2687">
      <w:pPr>
        <w:numPr>
          <w:ilvl w:val="0"/>
          <w:numId w:val="13"/>
        </w:numPr>
        <w:spacing w:line="276" w:lineRule="auto"/>
        <w:ind w:left="1134"/>
        <w:contextualSpacing/>
        <w:jc w:val="both"/>
        <w:rPr>
          <w:rFonts w:eastAsia="Times New Roman"/>
        </w:rPr>
      </w:pPr>
      <w:r w:rsidRPr="00EE2DE7">
        <w:rPr>
          <w:rFonts w:eastAsia="Times New Roman"/>
        </w:rPr>
        <w:t xml:space="preserve">1400 pikë të vitit të dytë: dhe  </w:t>
      </w:r>
    </w:p>
    <w:p w:rsidR="00F74D7F" w:rsidRPr="00EE2DE7" w:rsidRDefault="00F74D7F" w:rsidP="005C2687">
      <w:pPr>
        <w:numPr>
          <w:ilvl w:val="0"/>
          <w:numId w:val="13"/>
        </w:numPr>
        <w:spacing w:line="276" w:lineRule="auto"/>
        <w:ind w:left="1134"/>
        <w:contextualSpacing/>
        <w:jc w:val="both"/>
        <w:rPr>
          <w:rFonts w:eastAsia="Times New Roman"/>
        </w:rPr>
      </w:pPr>
      <w:r w:rsidRPr="00EE2DE7">
        <w:rPr>
          <w:rFonts w:eastAsia="Times New Roman"/>
        </w:rPr>
        <w:t xml:space="preserve">200 pikëve të provimit përfundimtar </w:t>
      </w:r>
    </w:p>
    <w:p w:rsidR="00F74D7F" w:rsidRPr="00EE2DE7" w:rsidRDefault="00F74D7F" w:rsidP="00F74D7F">
      <w:pPr>
        <w:spacing w:line="276" w:lineRule="auto"/>
        <w:jc w:val="both"/>
        <w:rPr>
          <w:rFonts w:eastAsia="Times New Roman"/>
          <w:b/>
        </w:rPr>
      </w:pPr>
    </w:p>
    <w:p w:rsidR="00F74D7F" w:rsidRPr="00EE2DE7" w:rsidRDefault="00F74D7F" w:rsidP="00F74D7F">
      <w:pPr>
        <w:spacing w:line="276" w:lineRule="auto"/>
        <w:jc w:val="both"/>
        <w:rPr>
          <w:rFonts w:eastAsia="MS Mincho"/>
          <w:b/>
          <w:kern w:val="24"/>
        </w:rPr>
      </w:pPr>
      <w:r w:rsidRPr="00EE2DE7">
        <w:rPr>
          <w:rFonts w:eastAsia="Times New Roman"/>
          <w:b/>
        </w:rPr>
        <w:t xml:space="preserve">Totali i vlerësimit të dy viteve të para është 3850 pikë. </w:t>
      </w:r>
    </w:p>
    <w:p w:rsidR="00F74D7F" w:rsidRPr="00EE2DE7" w:rsidRDefault="00F74D7F" w:rsidP="00F74D7F">
      <w:pPr>
        <w:spacing w:line="276" w:lineRule="auto"/>
        <w:jc w:val="both"/>
        <w:rPr>
          <w:rFonts w:eastAsia="Tw Cen MT"/>
          <w:kern w:val="24"/>
        </w:rPr>
      </w:pPr>
    </w:p>
    <w:p w:rsidR="00F74D7F" w:rsidRPr="007105F6" w:rsidRDefault="00F74D7F" w:rsidP="005C2687">
      <w:pPr>
        <w:numPr>
          <w:ilvl w:val="0"/>
          <w:numId w:val="12"/>
        </w:numPr>
        <w:spacing w:line="276" w:lineRule="auto"/>
        <w:ind w:left="284"/>
        <w:contextualSpacing/>
        <w:jc w:val="both"/>
        <w:rPr>
          <w:rFonts w:eastAsia="Times New Roman"/>
          <w:kern w:val="24"/>
        </w:rPr>
      </w:pPr>
      <w:r w:rsidRPr="00EE2DE7">
        <w:rPr>
          <w:rFonts w:eastAsia="Times New Roman"/>
          <w:kern w:val="24"/>
        </w:rPr>
        <w:t xml:space="preserve">Vlerësimi maksimal i të gjithë komponentëve të vitit të </w:t>
      </w:r>
      <w:r w:rsidRPr="009A01C5">
        <w:rPr>
          <w:rFonts w:eastAsia="Times New Roman"/>
          <w:kern w:val="24"/>
        </w:rPr>
        <w:t>dytë është</w:t>
      </w:r>
      <w:r w:rsidRPr="009A01C5">
        <w:rPr>
          <w:rFonts w:eastAsia="Tw Cen MT"/>
          <w:kern w:val="24"/>
        </w:rPr>
        <w:t xml:space="preserve"> 1400</w:t>
      </w:r>
      <w:r w:rsidRPr="00EE2DE7">
        <w:rPr>
          <w:rFonts w:eastAsia="Tw Cen MT"/>
          <w:kern w:val="24"/>
        </w:rPr>
        <w:t xml:space="preserve"> pikë dhe </w:t>
      </w:r>
      <w:r w:rsidRPr="00EE2DE7">
        <w:rPr>
          <w:rFonts w:eastAsia="Times New Roman"/>
          <w:kern w:val="24"/>
        </w:rPr>
        <w:t xml:space="preserve">u bë me vendim të Këshillit Pedagogjik në fund të çdo viti akademik dhe del si rezultat i mbledhjes së pikëve të pjesës teorike, pjesës praktike si dhe e provimit përfundimtar. </w:t>
      </w:r>
    </w:p>
    <w:p w:rsidR="00F74D7F" w:rsidRPr="00EE2DE7" w:rsidRDefault="00F74D7F" w:rsidP="00F74D7F">
      <w:pPr>
        <w:spacing w:line="276" w:lineRule="auto"/>
        <w:jc w:val="both"/>
        <w:rPr>
          <w:rFonts w:eastAsia="Tw Cen MT"/>
          <w:kern w:val="24"/>
        </w:rPr>
      </w:pPr>
      <w:r w:rsidRPr="00EE2DE7">
        <w:rPr>
          <w:rFonts w:eastAsia="Tw Cen MT"/>
          <w:kern w:val="24"/>
        </w:rPr>
        <w:t xml:space="preserve">Niveli “Shkëlqyeshëm”  është   100 (njëqind) pikë; </w:t>
      </w:r>
    </w:p>
    <w:p w:rsidR="00F74D7F" w:rsidRPr="00EE2DE7" w:rsidRDefault="00F74D7F" w:rsidP="00F74D7F">
      <w:pPr>
        <w:spacing w:line="276" w:lineRule="auto"/>
        <w:jc w:val="both"/>
        <w:rPr>
          <w:rFonts w:eastAsia="Tw Cen MT"/>
          <w:kern w:val="24"/>
        </w:rPr>
      </w:pPr>
      <w:r w:rsidRPr="00EE2DE7">
        <w:rPr>
          <w:rFonts w:eastAsia="Tw Cen MT"/>
          <w:kern w:val="24"/>
        </w:rPr>
        <w:t xml:space="preserve">Niveli “Shumë mirë”      është     90-99 (nëntëdhjetë deri nëntëdhjetë e nëntë) pikë; </w:t>
      </w:r>
    </w:p>
    <w:p w:rsidR="00F74D7F" w:rsidRPr="00EE2DE7" w:rsidRDefault="00F74D7F" w:rsidP="00F74D7F">
      <w:pPr>
        <w:spacing w:line="276" w:lineRule="auto"/>
        <w:jc w:val="both"/>
        <w:rPr>
          <w:rFonts w:eastAsia="Tw Cen MT"/>
          <w:kern w:val="24"/>
        </w:rPr>
      </w:pPr>
      <w:r w:rsidRPr="00EE2DE7">
        <w:rPr>
          <w:rFonts w:eastAsia="Tw Cen MT"/>
          <w:kern w:val="24"/>
        </w:rPr>
        <w:t xml:space="preserve">Niveli “Mirë”                  është     70-89 (shtatëdhjetë deri tetëdhjetë e nëntë) pikë; </w:t>
      </w:r>
    </w:p>
    <w:p w:rsidR="00F74D7F" w:rsidRPr="00EE2DE7" w:rsidRDefault="00F74D7F" w:rsidP="00F74D7F">
      <w:pPr>
        <w:spacing w:line="276" w:lineRule="auto"/>
        <w:jc w:val="both"/>
        <w:rPr>
          <w:rFonts w:eastAsia="Tw Cen MT"/>
          <w:kern w:val="24"/>
        </w:rPr>
      </w:pPr>
      <w:r w:rsidRPr="00EE2DE7">
        <w:rPr>
          <w:rFonts w:eastAsia="Tw Cen MT"/>
          <w:kern w:val="24"/>
        </w:rPr>
        <w:t xml:space="preserve">Niveli “Mjaftueshëm”     është     50-69 (pesëdhjetë deri gjashtëdhjetë e nëntë) pikë. </w:t>
      </w:r>
    </w:p>
    <w:p w:rsidR="00F74D7F" w:rsidRPr="00EE2DE7" w:rsidRDefault="00F74D7F" w:rsidP="00F74D7F">
      <w:pPr>
        <w:rPr>
          <w:rFonts w:eastAsia="Calibri"/>
          <w:kern w:val="24"/>
        </w:rPr>
      </w:pPr>
    </w:p>
    <w:p w:rsidR="00F74D7F" w:rsidRPr="00EE2DE7" w:rsidRDefault="00F74D7F" w:rsidP="00F74D7F">
      <w:pPr>
        <w:rPr>
          <w:rFonts w:ascii="Bookman Old Style" w:eastAsia="MS Mincho" w:hAnsi="Bookman Old Style"/>
          <w:b/>
          <w:lang w:eastAsia="en-GB"/>
        </w:rPr>
      </w:pPr>
      <w:r>
        <w:rPr>
          <w:rFonts w:eastAsia="MS Mincho"/>
          <w:b/>
          <w:kern w:val="24"/>
        </w:rPr>
        <w:t>5</w:t>
      </w:r>
      <w:r w:rsidRPr="00EE2DE7">
        <w:rPr>
          <w:rFonts w:eastAsia="MS Mincho"/>
          <w:b/>
          <w:kern w:val="24"/>
        </w:rPr>
        <w:t xml:space="preserve">. </w:t>
      </w:r>
      <w:r w:rsidRPr="007105F6">
        <w:rPr>
          <w:rFonts w:eastAsia="MS Mincho"/>
          <w:b/>
          <w:lang w:eastAsia="en-GB"/>
        </w:rPr>
        <w:t>Skema e vlerësimit për vitin e dytë:</w:t>
      </w:r>
      <w:r w:rsidRPr="00EE2DE7">
        <w:rPr>
          <w:rFonts w:ascii="Bookman Old Style" w:eastAsia="MS Mincho" w:hAnsi="Bookman Old Style"/>
          <w:b/>
          <w:lang w:eastAsia="en-GB"/>
        </w:rPr>
        <w:t xml:space="preserve">  </w:t>
      </w:r>
    </w:p>
    <w:p w:rsidR="00F74D7F" w:rsidRPr="00EE2DE7" w:rsidRDefault="00CF3AE0" w:rsidP="00F74D7F">
      <w:pPr>
        <w:rPr>
          <w:rFonts w:eastAsia="MS Mincho" w:cs="Arial"/>
          <w:sz w:val="26"/>
          <w:szCs w:val="26"/>
          <w:lang w:eastAsia="en-GB"/>
        </w:rPr>
      </w:pPr>
      <w:r>
        <w:rPr>
          <w:rFonts w:ascii="Calibri" w:eastAsia="Calibri" w:hAnsi="Calibri"/>
        </w:rPr>
        <w:pict>
          <v:shape id="Straight Arrow Connector 12" o:spid="_x0000_s1058" type="#_x0000_t32" style="position:absolute;margin-left:70.8pt;margin-top:22.5pt;width:17.25pt;height:0;flip:y;z-index:251722240;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"/>
        </w:pict>
      </w:r>
      <w:r>
        <w:rPr>
          <w:rFonts w:ascii="Calibri" w:eastAsia="Calibri" w:hAnsi="Calibri"/>
        </w:rPr>
        <w:pict>
          <v:shape id="Straight Arrow Connector 13" o:spid="_x0000_s1057" type="#_x0000_t32" style="position:absolute;margin-left:24pt;margin-top:22.5pt;width:15pt;height:0;z-index:251721216;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"/>
        </w:pict>
      </w:r>
      <w:r w:rsidR="00F74D7F" w:rsidRPr="00EE2DE7">
        <w:rPr>
          <w:rFonts w:eastAsia="MS Mincho" w:cs="Arial"/>
          <w:sz w:val="26"/>
          <w:szCs w:val="26"/>
          <w:lang w:eastAsia="en-GB"/>
        </w:rPr>
        <w:tab/>
      </w:r>
      <w:r w:rsidR="00F74D7F" w:rsidRPr="00EE2DE7">
        <w:rPr>
          <w:rFonts w:eastAsia="MS Mincho" w:cs="Arial"/>
          <w:sz w:val="26"/>
          <w:szCs w:val="26"/>
          <w:lang w:eastAsia="en-GB"/>
        </w:rPr>
        <w:tab/>
      </w:r>
      <w:r w:rsidR="00F74D7F" w:rsidRPr="00EE2DE7">
        <w:rPr>
          <w:rFonts w:eastAsia="MS Mincho" w:cs="Arial"/>
          <w:sz w:val="26"/>
          <w:szCs w:val="26"/>
          <w:lang w:eastAsia="en-GB"/>
        </w:rPr>
        <w:tab/>
      </w:r>
      <w:r w:rsidR="00F74D7F" w:rsidRPr="00EE2DE7">
        <w:rPr>
          <w:rFonts w:eastAsia="MS Mincho" w:cs="Arial"/>
          <w:sz w:val="26"/>
          <w:szCs w:val="26"/>
          <w:lang w:eastAsia="en-GB"/>
        </w:rPr>
        <w:tab/>
      </w:r>
      <w:r w:rsidR="00F74D7F" w:rsidRPr="00EE2DE7">
        <w:rPr>
          <w:rFonts w:eastAsia="MS Mincho" w:cs="Arial"/>
          <w:sz w:val="26"/>
          <w:szCs w:val="26"/>
          <w:lang w:eastAsia="en-GB"/>
        </w:rPr>
        <w:tab/>
      </w:r>
      <w:r w:rsidR="00F74D7F" w:rsidRPr="00EE2DE7">
        <w:rPr>
          <w:rFonts w:eastAsia="MS Mincho" w:cs="Arial"/>
          <w:sz w:val="26"/>
          <w:szCs w:val="26"/>
          <w:lang w:eastAsia="en-GB"/>
        </w:rPr>
        <w:tab/>
      </w:r>
      <w:r w:rsidR="00F74D7F" w:rsidRPr="00EE2DE7">
        <w:rPr>
          <w:rFonts w:eastAsia="MS Mincho" w:cs="Arial"/>
          <w:sz w:val="26"/>
          <w:szCs w:val="26"/>
          <w:lang w:eastAsia="en-GB"/>
        </w:rPr>
        <w:tab/>
      </w:r>
      <w:r w:rsidR="00F74D7F" w:rsidRPr="00EE2DE7">
        <w:rPr>
          <w:rFonts w:eastAsia="MS Mincho" w:cs="Arial"/>
          <w:sz w:val="26"/>
          <w:szCs w:val="26"/>
          <w:lang w:eastAsia="en-GB"/>
        </w:rPr>
        <w:tab/>
      </w:r>
      <w:r w:rsidR="00F74D7F" w:rsidRPr="00EE2DE7">
        <w:rPr>
          <w:rFonts w:eastAsia="MS Mincho" w:cs="Arial"/>
          <w:sz w:val="26"/>
          <w:szCs w:val="26"/>
          <w:lang w:eastAsia="en-GB"/>
        </w:rPr>
        <w:tab/>
        <w:t xml:space="preserve">       </w:t>
      </w:r>
      <w:r w:rsidR="00F74D7F" w:rsidRPr="00EE2DE7">
        <w:rPr>
          <w:rFonts w:eastAsia="MS Mincho" w:cs="Arial"/>
          <w:sz w:val="26"/>
          <w:szCs w:val="26"/>
          <w:lang w:eastAsia="en-GB"/>
        </w:rPr>
        <w:tab/>
      </w:r>
      <w:r w:rsidR="00F74D7F" w:rsidRPr="00EE2DE7">
        <w:rPr>
          <w:rFonts w:eastAsia="MS Mincho" w:cs="Arial"/>
          <w:sz w:val="26"/>
          <w:szCs w:val="26"/>
          <w:lang w:eastAsia="en-GB"/>
        </w:rPr>
        <w:tab/>
      </w:r>
    </w:p>
    <w:p w:rsidR="00F74D7F" w:rsidRPr="00EE2DE7" w:rsidRDefault="00CF3AE0" w:rsidP="00F74D7F">
      <w:pPr>
        <w:ind w:left="450"/>
        <w:rPr>
          <w:rFonts w:eastAsia="MS Mincho"/>
          <w:sz w:val="26"/>
          <w:szCs w:val="26"/>
          <w:lang w:eastAsia="en-GB"/>
        </w:rPr>
      </w:pPr>
      <m:oMathPara>
        <m:oMathParaPr>
          <m:jc m:val="left"/>
        </m:oMathParaPr>
        <m:oMath>
          <m:nary>
            <m:naryPr>
              <m:chr m:val="∑"/>
              <m:limLoc m:val="subSup"/>
              <m:supHide m:val="1"/>
              <m:ctrlPr>
                <w:rPr>
                  <w:rFonts w:ascii="Cambria Math" w:eastAsia="Calibri" w:hAnsi="Arial" w:cs="Arial"/>
                  <w:lang w:eastAsia="ja-JP"/>
                </w:rPr>
              </m:ctrlPr>
            </m:naryPr>
            <m:sub>
              <m:r>
                <w:rPr>
                  <w:rFonts w:ascii="Cambria Math" w:eastAsia="Calibri" w:hAnsi="Cambria Math" w:cs="Arial"/>
                  <w:lang w:eastAsia="ja-JP"/>
                </w:rPr>
                <m:t>p</m:t>
              </m:r>
            </m:sub>
            <m:sup/>
            <m:e>
              <m:r>
                <m:rPr>
                  <m:sty m:val="p"/>
                </m:rPr>
                <w:rPr>
                  <w:rFonts w:ascii="Cambria Math" w:eastAsia="Calibri" w:hAnsi="Arial" w:cs="Arial"/>
                  <w:lang w:eastAsia="ja-JP"/>
                </w:rPr>
                <m:t>=</m:t>
              </m:r>
            </m:e>
          </m:nary>
          <m:r>
            <m:rPr>
              <m:sty m:val="p"/>
            </m:rPr>
            <w:rPr>
              <w:rFonts w:ascii="Cambria Math" w:eastAsia="Calibri" w:hAnsi="Cambria Math" w:cs="Arial"/>
              <w:lang w:eastAsia="ja-JP"/>
            </w:rPr>
            <m:t>+</m:t>
          </m:r>
          <m:nary>
            <m:naryPr>
              <m:chr m:val="∑"/>
              <m:limLoc m:val="undOvr"/>
              <m:supHide m:val="1"/>
              <m:ctrlPr>
                <w:rPr>
                  <w:rFonts w:ascii="Cambria Math" w:eastAsia="Calibri" w:hAnsi="Cambria Math" w:cs="Arial"/>
                  <w:lang w:eastAsia="ja-JP"/>
                </w:rPr>
              </m:ctrlPr>
            </m:naryPr>
            <m:sub>
              <m:r>
                <w:rPr>
                  <w:rFonts w:ascii="Cambria Math" w:eastAsia="Calibri" w:hAnsi="Cambria Math" w:cs="Arial"/>
                  <w:lang w:eastAsia="ja-JP"/>
                </w:rPr>
                <m:t>VitiII</m:t>
              </m:r>
            </m:sub>
            <m:sup/>
            <m:e>
              <m:d>
                <m:dPr>
                  <m:begChr m:val="{"/>
                  <m:endChr m:val="}"/>
                  <m:ctrlPr>
                    <w:rPr>
                      <w:rFonts w:ascii="Cambria Math" w:eastAsia="Calibri" w:hAnsi="Cambria Math" w:cs="Arial"/>
                      <w:lang w:eastAsia="ja-JP"/>
                    </w:rPr>
                  </m:ctrlPr>
                </m:dPr>
                <m:e>
                  <m:d>
                    <m:dPr>
                      <m:ctrlPr>
                        <w:rPr>
                          <w:rFonts w:ascii="Cambria Math" w:eastAsia="Calibri" w:hAnsi="Arial" w:cs="Arial"/>
                        </w:rPr>
                      </m:ctrlPr>
                    </m:dPr>
                    <m:e>
                      <m:sSub>
                        <m:sSubPr>
                          <m:ctrlPr>
                            <w:rPr>
                              <w:rFonts w:ascii="Cambria Math" w:eastAsia="Calibri" w:hAnsi="Arial" w:cs="Arial"/>
                            </w:rPr>
                          </m:ctrlPr>
                        </m:sSubPr>
                        <m:e>
                          <m:r>
                            <w:rPr>
                              <w:rFonts w:ascii="Cambria Math" w:eastAsia="Calibri" w:hAnsi="Cambria Math" w:cs="Arial"/>
                            </w:rPr>
                            <m:t>x</m:t>
                          </m:r>
                        </m:e>
                        <m:sub>
                          <m:r>
                            <m:rPr>
                              <m:sty m:val="p"/>
                            </m:rPr>
                            <w:rPr>
                              <w:rFonts w:ascii="Cambria Math" w:eastAsia="Calibri" w:hAnsi="Arial" w:cs="Arial"/>
                            </w:rPr>
                            <m:t>2</m:t>
                          </m:r>
                        </m:sub>
                      </m:sSub>
                      <m:r>
                        <m:rPr>
                          <m:sty m:val="p"/>
                        </m:rPr>
                        <w:rPr>
                          <w:rFonts w:ascii="Cambria Math" w:eastAsia="Calibri" w:hAnsi="Cambria Math" w:cs="Arial"/>
                        </w:rPr>
                        <m:t>*</m:t>
                      </m:r>
                      <m:sSub>
                        <m:sSubPr>
                          <m:ctrlPr>
                            <w:rPr>
                              <w:rFonts w:ascii="Cambria Math" w:eastAsia="Calibri" w:hAnsi="Arial" w:cs="Arial"/>
                            </w:rPr>
                          </m:ctrlPr>
                        </m:sSubPr>
                        <m:e>
                          <m:r>
                            <w:rPr>
                              <w:rFonts w:ascii="Cambria Math" w:eastAsia="Calibri" w:hAnsi="Cambria Math" w:cs="Arial"/>
                            </w:rPr>
                            <m:t>f</m:t>
                          </m:r>
                        </m:e>
                        <m:sub>
                          <m:r>
                            <m:rPr>
                              <m:sty m:val="p"/>
                            </m:rPr>
                            <w:rPr>
                              <w:rFonts w:ascii="Cambria Math" w:eastAsia="Calibri" w:hAnsi="Arial" w:cs="Arial"/>
                            </w:rPr>
                            <m:t xml:space="preserve">2 </m:t>
                          </m:r>
                        </m:sub>
                      </m:sSub>
                    </m:e>
                  </m:d>
                  <m:r>
                    <m:rPr>
                      <m:sty m:val="p"/>
                    </m:rPr>
                    <w:rPr>
                      <w:rFonts w:ascii="Cambria Math" w:eastAsia="Calibri" w:hAnsi="Arial" w:cs="Arial"/>
                    </w:rPr>
                    <m:t>+</m:t>
                  </m:r>
                  <m:d>
                    <m:dPr>
                      <m:ctrlPr>
                        <w:rPr>
                          <w:rFonts w:ascii="Cambria Math" w:eastAsia="Calibri" w:hAnsi="Arial" w:cs="Arial"/>
                        </w:rPr>
                      </m:ctrlPr>
                    </m:dPr>
                    <m:e>
                      <m:sSub>
                        <m:sSubPr>
                          <m:ctrlPr>
                            <w:rPr>
                              <w:rFonts w:ascii="Cambria Math" w:eastAsia="Calibri" w:hAnsi="Arial" w:cs="Arial"/>
                            </w:rPr>
                          </m:ctrlPr>
                        </m:sSubPr>
                        <m:e>
                          <m:r>
                            <w:rPr>
                              <w:rFonts w:ascii="Cambria Math" w:eastAsia="Calibri" w:hAnsi="Cambria Math" w:cs="Arial"/>
                            </w:rPr>
                            <m:t>x</m:t>
                          </m:r>
                        </m:e>
                        <m:sub>
                          <m:r>
                            <m:rPr>
                              <m:sty m:val="p"/>
                            </m:rPr>
                            <w:rPr>
                              <w:rFonts w:ascii="Cambria Math" w:eastAsia="Calibri" w:hAnsi="Arial" w:cs="Arial"/>
                            </w:rPr>
                            <m:t>3</m:t>
                          </m:r>
                        </m:sub>
                      </m:sSub>
                      <m:r>
                        <m:rPr>
                          <m:sty m:val="p"/>
                        </m:rPr>
                        <w:rPr>
                          <w:rFonts w:ascii="Cambria Math" w:eastAsia="Calibri" w:hAnsi="Cambria Math" w:cs="Cambria Math"/>
                        </w:rPr>
                        <m:t>*</m:t>
                      </m:r>
                      <m:sSub>
                        <m:sSubPr>
                          <m:ctrlPr>
                            <w:rPr>
                              <w:rFonts w:ascii="Cambria Math" w:eastAsia="Calibri" w:hAnsi="Arial" w:cs="Arial"/>
                            </w:rPr>
                          </m:ctrlPr>
                        </m:sSubPr>
                        <m:e>
                          <m:r>
                            <w:rPr>
                              <w:rFonts w:ascii="Cambria Math" w:eastAsia="Calibri" w:hAnsi="Cambria Math" w:cs="Arial"/>
                            </w:rPr>
                            <m:t>f</m:t>
                          </m:r>
                        </m:e>
                        <m:sub>
                          <m:r>
                            <m:rPr>
                              <m:sty m:val="p"/>
                            </m:rPr>
                            <w:rPr>
                              <w:rFonts w:ascii="Cambria Math" w:eastAsia="Calibri" w:hAnsi="Arial" w:cs="Arial"/>
                            </w:rPr>
                            <m:t>1</m:t>
                          </m:r>
                        </m:sub>
                      </m:sSub>
                      <m:r>
                        <m:rPr>
                          <m:sty m:val="p"/>
                        </m:rPr>
                        <w:rPr>
                          <w:rFonts w:ascii="Cambria Math" w:eastAsia="Calibri" w:hAnsi="Arial" w:cs="Arial"/>
                        </w:rPr>
                        <m:t>)+(</m:t>
                      </m:r>
                      <m:sSub>
                        <m:sSubPr>
                          <m:ctrlPr>
                            <w:rPr>
                              <w:rFonts w:ascii="Cambria Math" w:eastAsia="Calibri" w:hAnsi="Arial" w:cs="Arial"/>
                            </w:rPr>
                          </m:ctrlPr>
                        </m:sSubPr>
                        <m:e>
                          <m:r>
                            <w:rPr>
                              <w:rFonts w:ascii="Cambria Math" w:eastAsia="Calibri" w:hAnsi="Cambria Math" w:cs="Arial"/>
                            </w:rPr>
                            <m:t>x</m:t>
                          </m:r>
                        </m:e>
                        <m:sub>
                          <m:r>
                            <m:rPr>
                              <m:sty m:val="p"/>
                            </m:rPr>
                            <w:rPr>
                              <w:rFonts w:ascii="Cambria Math" w:eastAsia="Calibri" w:hAnsi="Arial" w:cs="Arial"/>
                            </w:rPr>
                            <m:t xml:space="preserve">4  </m:t>
                          </m:r>
                        </m:sub>
                      </m:sSub>
                      <m:r>
                        <m:rPr>
                          <m:sty m:val="p"/>
                        </m:rPr>
                        <w:rPr>
                          <w:rFonts w:ascii="Cambria Math" w:eastAsia="Calibri" w:hAnsi="Cambria Math" w:cs="Cambria Math"/>
                        </w:rPr>
                        <m:t>*</m:t>
                      </m:r>
                      <m:sSub>
                        <m:sSubPr>
                          <m:ctrlPr>
                            <w:rPr>
                              <w:rFonts w:ascii="Cambria Math" w:eastAsia="Calibri" w:hAnsi="Arial" w:cs="Arial"/>
                            </w:rPr>
                          </m:ctrlPr>
                        </m:sSubPr>
                        <m:e>
                          <m:r>
                            <w:rPr>
                              <w:rFonts w:ascii="Cambria Math" w:eastAsia="Calibri" w:hAnsi="Cambria Math" w:cs="Arial"/>
                            </w:rPr>
                            <m:t>f</m:t>
                          </m:r>
                        </m:e>
                        <m:sub>
                          <m:r>
                            <m:rPr>
                              <m:sty m:val="p"/>
                            </m:rPr>
                            <w:rPr>
                              <w:rFonts w:ascii="Cambria Math" w:eastAsia="Calibri" w:hAnsi="Arial" w:cs="Arial"/>
                            </w:rPr>
                            <m:t>1</m:t>
                          </m:r>
                        </m:sub>
                      </m:sSub>
                      <m:r>
                        <m:rPr>
                          <m:sty m:val="p"/>
                        </m:rPr>
                        <w:rPr>
                          <w:rFonts w:ascii="Cambria Math" w:eastAsia="Calibri" w:hAnsi="Arial" w:cs="Arial"/>
                        </w:rPr>
                        <m:t>)+(</m:t>
                      </m:r>
                      <m:sSub>
                        <m:sSubPr>
                          <m:ctrlPr>
                            <w:rPr>
                              <w:rFonts w:ascii="Cambria Math" w:eastAsia="Calibri" w:hAnsi="Arial" w:cs="Arial"/>
                            </w:rPr>
                          </m:ctrlPr>
                        </m:sSubPr>
                        <m:e>
                          <m:r>
                            <w:rPr>
                              <w:rFonts w:ascii="Cambria Math" w:eastAsia="Calibri" w:hAnsi="Cambria Math" w:cs="Arial"/>
                            </w:rPr>
                            <m:t>x</m:t>
                          </m:r>
                        </m:e>
                        <m:sub>
                          <m:r>
                            <m:rPr>
                              <m:sty m:val="p"/>
                            </m:rPr>
                            <w:rPr>
                              <w:rFonts w:ascii="Cambria Math" w:eastAsia="Calibri" w:hAnsi="Arial" w:cs="Arial"/>
                            </w:rPr>
                            <m:t>5</m:t>
                          </m:r>
                        </m:sub>
                      </m:sSub>
                      <m:r>
                        <m:rPr>
                          <m:sty m:val="p"/>
                        </m:rPr>
                        <w:rPr>
                          <w:rFonts w:ascii="Cambria Math" w:eastAsia="Calibri" w:hAnsi="Cambria Math" w:cs="Cambria Math"/>
                        </w:rPr>
                        <m:t>*</m:t>
                      </m:r>
                      <m:sSub>
                        <m:sSubPr>
                          <m:ctrlPr>
                            <w:rPr>
                              <w:rFonts w:ascii="Cambria Math" w:eastAsia="Calibri" w:hAnsi="Arial" w:cs="Arial"/>
                            </w:rPr>
                          </m:ctrlPr>
                        </m:sSubPr>
                        <m:e>
                          <m:r>
                            <w:rPr>
                              <w:rFonts w:ascii="Cambria Math" w:eastAsia="Calibri" w:hAnsi="Cambria Math" w:cs="Arial"/>
                            </w:rPr>
                            <m:t>f</m:t>
                          </m:r>
                        </m:e>
                        <m:sub>
                          <m:r>
                            <w:rPr>
                              <w:rFonts w:ascii="Cambria Math" w:eastAsia="Calibri" w:hAnsi="Arial" w:cs="Arial"/>
                            </w:rPr>
                            <m:t>3</m:t>
                          </m:r>
                        </m:sub>
                      </m:sSub>
                      <m:r>
                        <m:rPr>
                          <m:sty m:val="p"/>
                        </m:rPr>
                        <w:rPr>
                          <w:rFonts w:ascii="Cambria Math" w:eastAsia="Calibri" w:hAnsi="Arial" w:cs="Arial"/>
                        </w:rPr>
                        <m:t>)+(</m:t>
                      </m:r>
                      <m:sSub>
                        <m:sSubPr>
                          <m:ctrlPr>
                            <w:rPr>
                              <w:rFonts w:ascii="Cambria Math" w:eastAsia="Calibri" w:hAnsi="Arial" w:cs="Arial"/>
                            </w:rPr>
                          </m:ctrlPr>
                        </m:sSubPr>
                        <m:e>
                          <m:r>
                            <w:rPr>
                              <w:rFonts w:ascii="Cambria Math" w:eastAsia="Calibri" w:hAnsi="Cambria Math" w:cs="Arial"/>
                            </w:rPr>
                            <m:t>x</m:t>
                          </m:r>
                        </m:e>
                        <m:sub>
                          <m:r>
                            <m:rPr>
                              <m:sty m:val="p"/>
                            </m:rPr>
                            <w:rPr>
                              <w:rFonts w:ascii="Cambria Math" w:eastAsia="Calibri" w:hAnsi="Arial" w:cs="Arial"/>
                            </w:rPr>
                            <m:t xml:space="preserve">6 </m:t>
                          </m:r>
                        </m:sub>
                      </m:sSub>
                      <m:r>
                        <m:rPr>
                          <m:sty m:val="p"/>
                        </m:rPr>
                        <w:rPr>
                          <w:rFonts w:ascii="Cambria Math" w:eastAsia="Calibri" w:hAnsi="Cambria Math" w:cs="Cambria Math"/>
                        </w:rPr>
                        <m:t>*</m:t>
                      </m:r>
                      <m:sSub>
                        <m:sSubPr>
                          <m:ctrlPr>
                            <w:rPr>
                              <w:rFonts w:ascii="Cambria Math" w:eastAsia="Calibri" w:hAnsi="Arial" w:cs="Arial"/>
                            </w:rPr>
                          </m:ctrlPr>
                        </m:sSubPr>
                        <m:e>
                          <m:r>
                            <w:rPr>
                              <w:rFonts w:ascii="Cambria Math" w:eastAsia="Calibri" w:hAnsi="Cambria Math" w:cs="Arial"/>
                            </w:rPr>
                            <m:t>f</m:t>
                          </m:r>
                        </m:e>
                        <m:sub>
                          <m:r>
                            <m:rPr>
                              <m:sty m:val="p"/>
                            </m:rPr>
                            <w:rPr>
                              <w:rFonts w:ascii="Cambria Math" w:eastAsia="Calibri" w:hAnsi="Arial" w:cs="Arial"/>
                            </w:rPr>
                            <m:t>1</m:t>
                          </m:r>
                        </m:sub>
                      </m:sSub>
                    </m:e>
                  </m:d>
                  <m:ctrlPr>
                    <w:rPr>
                      <w:rFonts w:ascii="Cambria Math" w:eastAsia="Calibri" w:hAnsi="Arial" w:cs="Arial"/>
                    </w:rPr>
                  </m:ctrlPr>
                </m:e>
              </m:d>
              <m:r>
                <m:rPr>
                  <m:sty m:val="p"/>
                </m:rPr>
                <w:rPr>
                  <w:rFonts w:ascii="Cambria Math" w:eastAsia="Calibri" w:hAnsi="Arial" w:cs="Arial"/>
                </w:rPr>
                <m:t>+</m:t>
              </m:r>
              <m:sSub>
                <m:sSubPr>
                  <m:ctrlPr>
                    <w:rPr>
                      <w:rFonts w:ascii="Cambria Math" w:eastAsia="Calibri" w:hAnsi="Arial" w:cs="Arial"/>
                    </w:rPr>
                  </m:ctrlPr>
                </m:sSubPr>
                <m:e>
                  <m:r>
                    <w:rPr>
                      <w:rFonts w:ascii="Cambria Math" w:eastAsia="Calibri" w:hAnsi="Cambria Math" w:cs="Arial"/>
                    </w:rPr>
                    <m:t>x</m:t>
                  </m:r>
                </m:e>
                <m:sub>
                  <m:r>
                    <m:rPr>
                      <m:sty m:val="p"/>
                    </m:rPr>
                    <w:rPr>
                      <w:rFonts w:ascii="Cambria Math" w:eastAsia="Calibri" w:hAnsi="Arial" w:cs="Arial"/>
                    </w:rPr>
                    <m:t xml:space="preserve">7 </m:t>
                  </m:r>
                </m:sub>
              </m:sSub>
              <m:r>
                <m:rPr>
                  <m:sty m:val="p"/>
                </m:rPr>
                <w:rPr>
                  <w:rFonts w:ascii="Cambria Math" w:eastAsia="Calibri" w:hAnsi="Cambria Math" w:cs="Cambria Math"/>
                </w:rPr>
                <m:t>*</m:t>
              </m:r>
              <m:sSub>
                <m:sSubPr>
                  <m:ctrlPr>
                    <w:rPr>
                      <w:rFonts w:ascii="Cambria Math" w:eastAsia="Calibri" w:hAnsi="Arial" w:cs="Arial"/>
                    </w:rPr>
                  </m:ctrlPr>
                </m:sSubPr>
                <m:e>
                  <m:r>
                    <w:rPr>
                      <w:rFonts w:ascii="Cambria Math" w:eastAsia="Calibri" w:hAnsi="Cambria Math" w:cs="Arial"/>
                    </w:rPr>
                    <m:t>f</m:t>
                  </m:r>
                </m:e>
                <m:sub>
                  <m:r>
                    <w:rPr>
                      <w:rFonts w:ascii="Cambria Math" w:eastAsia="Calibri" w:hAnsi="Arial" w:cs="Arial"/>
                    </w:rPr>
                    <m:t>3</m:t>
                  </m:r>
                </m:sub>
              </m:sSub>
            </m:e>
          </m:nary>
        </m:oMath>
      </m:oMathPara>
    </w:p>
    <w:p w:rsidR="00F74D7F" w:rsidRPr="00EE2DE7" w:rsidRDefault="00F74D7F" w:rsidP="00F74D7F">
      <w:pPr>
        <w:ind w:firstLine="720"/>
        <w:rPr>
          <w:rFonts w:eastAsia="MS Mincho" w:cs="Arial"/>
          <w:sz w:val="16"/>
          <w:szCs w:val="16"/>
          <w:vertAlign w:val="subscript"/>
          <w:lang w:eastAsia="en-GB"/>
        </w:rPr>
      </w:pPr>
    </w:p>
    <w:p w:rsidR="00F74D7F" w:rsidRPr="00EE2DE7" w:rsidRDefault="00F74D7F" w:rsidP="00F74D7F">
      <w:pPr>
        <w:spacing w:line="276" w:lineRule="auto"/>
        <w:rPr>
          <w:rFonts w:eastAsia="MS Mincho"/>
          <w:lang w:eastAsia="ja-JP"/>
        </w:rPr>
      </w:pPr>
      <w:r w:rsidRPr="00EE2DE7">
        <w:rPr>
          <w:rFonts w:eastAsia="MS Mincho"/>
          <w:lang w:eastAsia="ja-JP"/>
        </w:rPr>
        <w:t xml:space="preserve"> </w:t>
      </w:r>
      <m:oMath>
        <m:nary>
          <m:naryPr>
            <m:chr m:val="∑"/>
            <m:limLoc m:val="subSup"/>
            <m:supHide m:val="1"/>
            <m:ctrlPr>
              <w:rPr>
                <w:rFonts w:ascii="Cambria Math" w:hAnsi="Cambria Math"/>
                <w:lang w:eastAsia="ja-JP"/>
              </w:rPr>
            </m:ctrlPr>
          </m:naryPr>
          <m:sub>
            <m:r>
              <w:rPr>
                <w:rFonts w:ascii="Cambria Math" w:hAnsi="Cambria Math"/>
                <w:lang w:eastAsia="ja-JP"/>
              </w:rPr>
              <m:t>p</m:t>
            </m:r>
          </m:sub>
          <m:sup/>
          <m:e>
            <m:r>
              <m:rPr>
                <m:sty m:val="p"/>
              </m:rPr>
              <w:rPr>
                <w:rFonts w:ascii="Cambria Math" w:hAnsi="Cambria Math"/>
                <w:lang w:eastAsia="ja-JP"/>
              </w:rPr>
              <m:t>=</m:t>
            </m:r>
          </m:e>
        </m:nary>
        <m:r>
          <w:rPr>
            <w:rFonts w:ascii="Cambria Math" w:hAnsi="Cambria Math"/>
            <w:lang w:eastAsia="ja-JP"/>
          </w:rPr>
          <m:t xml:space="preserve"> S</m:t>
        </m:r>
      </m:oMath>
      <w:r w:rsidRPr="00EE2DE7">
        <w:rPr>
          <w:rFonts w:eastAsia="MS Mincho"/>
          <w:lang w:eastAsia="ja-JP"/>
        </w:rPr>
        <w:t>huma e ponderuar;</w:t>
      </w:r>
    </w:p>
    <w:p w:rsidR="00F74D7F" w:rsidRPr="00EE2DE7" w:rsidRDefault="00CF3AE0" w:rsidP="00F74D7F">
      <w:pPr>
        <w:spacing w:line="276" w:lineRule="auto"/>
        <w:rPr>
          <w:rFonts w:eastAsia="MS Mincho"/>
          <w:lang w:eastAsia="ja-JP"/>
        </w:rPr>
      </w:pPr>
      <m:oMath>
        <m:sSub>
          <m:sSubPr>
            <m:ctrlPr>
              <w:rPr>
                <w:rFonts w:ascii="Cambria Math" w:hAnsi="Cambria Math"/>
              </w:rPr>
            </m:ctrlPr>
          </m:sSubPr>
          <m:e>
            <m:r>
              <w:rPr>
                <w:rFonts w:ascii="Cambria Math" w:hAnsi="Cambria Math"/>
              </w:rPr>
              <m:t>x</m:t>
            </m:r>
          </m:e>
          <m:sub>
            <m:r>
              <m:rPr>
                <m:sty m:val="p"/>
              </m:rPr>
              <w:rPr>
                <w:rFonts w:ascii="Cambria Math" w:hAnsi="Cambria Math"/>
              </w:rPr>
              <m:t>2</m:t>
            </m:r>
          </m:sub>
        </m:sSub>
      </m:oMath>
      <w:r w:rsidR="00F74D7F" w:rsidRPr="00EE2DE7">
        <w:rPr>
          <w:rFonts w:eastAsia="MS Mincho"/>
          <w:lang w:eastAsia="ja-JP"/>
        </w:rPr>
        <w:t>=   Shuma e pikëve të kurseve të vitit II;</w:t>
      </w:r>
    </w:p>
    <w:p w:rsidR="00F74D7F" w:rsidRPr="00EE2DE7" w:rsidRDefault="00CF3AE0" w:rsidP="00F74D7F">
      <w:pPr>
        <w:spacing w:line="276" w:lineRule="auto"/>
        <w:rPr>
          <w:rFonts w:eastAsia="MS Mincho"/>
          <w:lang w:eastAsia="en-GB"/>
        </w:rPr>
      </w:pPr>
      <m:oMath>
        <m:sSub>
          <m:sSubPr>
            <m:ctrlPr>
              <w:rPr>
                <w:rFonts w:ascii="Cambria Math" w:hAnsi="Cambria Math"/>
              </w:rPr>
            </m:ctrlPr>
          </m:sSubPr>
          <m:e>
            <m:r>
              <w:rPr>
                <w:rFonts w:ascii="Cambria Math" w:hAnsi="Cambria Math"/>
              </w:rPr>
              <m:t>x</m:t>
            </m:r>
          </m:e>
          <m:sub>
            <m:r>
              <m:rPr>
                <m:sty m:val="p"/>
              </m:rPr>
              <w:rPr>
                <w:rFonts w:ascii="Cambria Math" w:hAnsi="Cambria Math"/>
              </w:rPr>
              <m:t>3</m:t>
            </m:r>
          </m:sub>
        </m:sSub>
      </m:oMath>
      <w:r w:rsidR="00F74D7F" w:rsidRPr="00EE2DE7">
        <w:rPr>
          <w:rFonts w:eastAsia="MS Mincho"/>
          <w:lang w:eastAsia="en-GB"/>
        </w:rPr>
        <w:t xml:space="preserve"> =  Gjyqet imituese dhe debatet profesionale;</w:t>
      </w:r>
    </w:p>
    <w:p w:rsidR="00F74D7F" w:rsidRPr="00EE2DE7" w:rsidRDefault="00CF3AE0" w:rsidP="00F74D7F">
      <w:pPr>
        <w:spacing w:line="276" w:lineRule="auto"/>
        <w:rPr>
          <w:rFonts w:eastAsia="MS Mincho"/>
          <w:lang w:eastAsia="en-GB"/>
        </w:rPr>
      </w:pPr>
      <m:oMath>
        <m:sSub>
          <m:sSubPr>
            <m:ctrlPr>
              <w:rPr>
                <w:rFonts w:ascii="Cambria Math" w:hAnsi="Cambria Math"/>
              </w:rPr>
            </m:ctrlPr>
          </m:sSubPr>
          <m:e>
            <m:r>
              <w:rPr>
                <w:rFonts w:ascii="Cambria Math" w:hAnsi="Cambria Math"/>
              </w:rPr>
              <m:t>x</m:t>
            </m:r>
          </m:e>
          <m:sub>
            <m:r>
              <m:rPr>
                <m:sty m:val="p"/>
              </m:rPr>
              <w:rPr>
                <w:rFonts w:ascii="Cambria Math" w:hAnsi="Cambria Math"/>
              </w:rPr>
              <m:t>4</m:t>
            </m:r>
          </m:sub>
        </m:sSub>
      </m:oMath>
      <w:r w:rsidR="00F74D7F" w:rsidRPr="00EE2DE7">
        <w:rPr>
          <w:rFonts w:eastAsia="MS Mincho"/>
          <w:lang w:eastAsia="en-GB"/>
        </w:rPr>
        <w:t xml:space="preserve"> =  Vlerësimi i stazhit paraprofesional dosjet e përgatitura civile dhe penale;</w:t>
      </w:r>
    </w:p>
    <w:p w:rsidR="00F74D7F" w:rsidRPr="00EE2DE7" w:rsidRDefault="00CF3AE0" w:rsidP="00F74D7F">
      <w:pPr>
        <w:spacing w:line="276" w:lineRule="auto"/>
        <w:rPr>
          <w:rFonts w:eastAsia="MS Mincho"/>
          <w:lang w:eastAsia="en-GB"/>
        </w:rPr>
      </w:pPr>
      <m:oMath>
        <m:sSub>
          <m:sSubPr>
            <m:ctrlPr>
              <w:rPr>
                <w:rFonts w:ascii="Cambria Math" w:hAnsi="Cambria Math"/>
              </w:rPr>
            </m:ctrlPr>
          </m:sSubPr>
          <m:e>
            <m:r>
              <w:rPr>
                <w:rFonts w:ascii="Cambria Math" w:hAnsi="Cambria Math"/>
              </w:rPr>
              <m:t>x</m:t>
            </m:r>
          </m:e>
          <m:sub>
            <m:r>
              <m:rPr>
                <m:sty m:val="p"/>
              </m:rPr>
              <w:rPr>
                <w:rFonts w:ascii="Cambria Math" w:hAnsi="Cambria Math"/>
              </w:rPr>
              <m:t>5</m:t>
            </m:r>
          </m:sub>
        </m:sSub>
      </m:oMath>
      <w:r w:rsidR="00F74D7F" w:rsidRPr="00EE2DE7">
        <w:rPr>
          <w:rFonts w:eastAsia="MS Mincho"/>
          <w:lang w:eastAsia="en-GB"/>
        </w:rPr>
        <w:t>=   Vlerësim i stazhit paraprofesional në institucione;</w:t>
      </w:r>
    </w:p>
    <w:p w:rsidR="00F74D7F" w:rsidRPr="00EE2DE7" w:rsidRDefault="00CF3AE0" w:rsidP="00F74D7F">
      <w:pPr>
        <w:spacing w:line="276" w:lineRule="auto"/>
        <w:rPr>
          <w:rFonts w:eastAsia="MS Mincho"/>
          <w:lang w:eastAsia="en-GB"/>
        </w:rPr>
      </w:pPr>
      <m:oMath>
        <m:sSub>
          <m:sSubPr>
            <m:ctrlPr>
              <w:rPr>
                <w:rFonts w:ascii="Cambria Math" w:hAnsi="Cambria Math"/>
              </w:rPr>
            </m:ctrlPr>
          </m:sSubPr>
          <m:e>
            <m:r>
              <w:rPr>
                <w:rFonts w:ascii="Cambria Math" w:hAnsi="Cambria Math"/>
              </w:rPr>
              <m:t>x</m:t>
            </m:r>
          </m:e>
          <m:sub>
            <m:r>
              <m:rPr>
                <m:sty m:val="p"/>
              </m:rPr>
              <w:rPr>
                <w:rFonts w:ascii="Cambria Math" w:hAnsi="Cambria Math"/>
              </w:rPr>
              <m:t>6</m:t>
            </m:r>
          </m:sub>
        </m:sSub>
      </m:oMath>
      <w:r w:rsidR="00F74D7F" w:rsidRPr="00EE2DE7">
        <w:rPr>
          <w:rFonts w:eastAsia="MS Mincho"/>
          <w:lang w:eastAsia="en-GB"/>
        </w:rPr>
        <w:t>=   Vlerësimi i temës së vitit II;</w:t>
      </w:r>
    </w:p>
    <w:p w:rsidR="00F74D7F" w:rsidRPr="00EE2DE7" w:rsidRDefault="00CF3AE0" w:rsidP="00F74D7F">
      <w:pPr>
        <w:spacing w:line="276" w:lineRule="auto"/>
        <w:rPr>
          <w:rFonts w:eastAsia="MS Mincho" w:cs="Arial"/>
          <w:sz w:val="26"/>
          <w:szCs w:val="26"/>
          <w:lang w:eastAsia="en-GB"/>
        </w:rPr>
      </w:pPr>
      <m:oMath>
        <m:sSub>
          <m:sSubPr>
            <m:ctrlPr>
              <w:rPr>
                <w:rFonts w:ascii="Cambria Math" w:eastAsia="Calibri" w:hAnsi="Arial" w:cs="Arial"/>
              </w:rPr>
            </m:ctrlPr>
          </m:sSubPr>
          <m:e>
            <m:r>
              <w:rPr>
                <w:rFonts w:ascii="Cambria Math" w:eastAsia="Calibri" w:hAnsi="Cambria Math" w:cs="Arial"/>
              </w:rPr>
              <m:t>x</m:t>
            </m:r>
          </m:e>
          <m:sub>
            <m:r>
              <w:rPr>
                <w:rFonts w:ascii="Cambria Math" w:eastAsia="Calibri" w:hAnsi="Arial" w:cs="Arial"/>
              </w:rPr>
              <m:t>7</m:t>
            </m:r>
          </m:sub>
        </m:sSub>
        <m:r>
          <w:rPr>
            <w:rFonts w:ascii="Cambria Math" w:eastAsia="Calibri" w:hAnsi="Arial" w:cs="Arial"/>
          </w:rPr>
          <m:t xml:space="preserve">  </m:t>
        </m:r>
      </m:oMath>
      <w:r w:rsidR="00F74D7F" w:rsidRPr="00EE2DE7">
        <w:rPr>
          <w:rFonts w:eastAsia="MS Mincho" w:cs="Arial"/>
        </w:rPr>
        <w:t xml:space="preserve">=   Vlerësimi i provimit përfundimtar i vitit të dytë; </w:t>
      </w:r>
    </w:p>
    <w:p w:rsidR="00F74D7F" w:rsidRPr="00EE2DE7" w:rsidRDefault="00CF3AE0" w:rsidP="00F74D7F">
      <w:pPr>
        <w:spacing w:line="276" w:lineRule="auto"/>
        <w:rPr>
          <w:rFonts w:eastAsia="MS Mincho"/>
          <w:lang w:eastAsia="ja-JP"/>
        </w:rPr>
      </w:pPr>
      <m:oMath>
        <m:sSub>
          <m:sSubPr>
            <m:ctrlPr>
              <w:rPr>
                <w:rFonts w:ascii="Cambria Math" w:hAnsi="Cambria Math"/>
              </w:rPr>
            </m:ctrlPr>
          </m:sSubPr>
          <m:e>
            <m:r>
              <w:rPr>
                <w:rFonts w:ascii="Cambria Math" w:hAnsi="Cambria Math"/>
              </w:rPr>
              <m:t>f</m:t>
            </m:r>
          </m:e>
          <m:sub>
            <m:r>
              <m:rPr>
                <m:sty m:val="p"/>
              </m:rPr>
              <w:rPr>
                <w:rFonts w:ascii="Cambria Math" w:hAnsi="Cambria Math"/>
              </w:rPr>
              <m:t>1</m:t>
            </m:r>
          </m:sub>
        </m:sSub>
      </m:oMath>
      <w:r w:rsidR="00C057AA" w:rsidRPr="00EE2DE7">
        <w:rPr>
          <w:rFonts w:eastAsia="MS Mincho"/>
          <w:lang w:eastAsia="en-GB"/>
        </w:rPr>
        <w:fldChar w:fldCharType="begin"/>
      </w:r>
      <w:r w:rsidR="00F74D7F" w:rsidRPr="00EE2DE7">
        <w:rPr>
          <w:rFonts w:eastAsia="MS Mincho"/>
          <w:lang w:eastAsia="en-GB"/>
        </w:rPr>
        <w:instrText xml:space="preserve"> QUOTE </w:instrText>
      </w:r>
      <m:oMath>
        <m:sSub>
          <m:sSubPr>
            <m:ctrlPr>
              <w:rPr>
                <w:rFonts w:ascii="Cambria Math" w:hAnsi="Cambria Math"/>
              </w:rPr>
            </m:ctrlPr>
          </m:sSubPr>
          <m:e>
            <m:r>
              <m:rPr>
                <m:sty m:val="p"/>
              </m:rPr>
              <w:rPr>
                <w:rFonts w:ascii="Cambria Math" w:hAnsi="Cambria Math"/>
              </w:rPr>
              <m:t>f</m:t>
            </m:r>
          </m:e>
          <m:sub>
            <m:r>
              <m:rPr>
                <m:sty m:val="p"/>
              </m:rPr>
              <w:rPr>
                <w:rFonts w:ascii="Cambria Math" w:hAnsi="Cambria Math"/>
              </w:rPr>
              <m:t>1</m:t>
            </m:r>
          </m:sub>
        </m:sSub>
      </m:oMath>
      <w:r w:rsidR="00C057AA" w:rsidRPr="00EE2DE7">
        <w:rPr>
          <w:rFonts w:eastAsia="MS Mincho"/>
          <w:lang w:eastAsia="en-GB"/>
        </w:rPr>
        <w:fldChar w:fldCharType="end"/>
      </w:r>
      <w:r w:rsidR="00F74D7F" w:rsidRPr="00EE2DE7">
        <w:rPr>
          <w:rFonts w:eastAsia="MS Mincho"/>
          <w:lang w:eastAsia="en-GB"/>
        </w:rPr>
        <w:t>=</w:t>
      </w:r>
      <w:r w:rsidR="00F74D7F" w:rsidRPr="00EE2DE7">
        <w:rPr>
          <w:rFonts w:eastAsia="MS Mincho"/>
          <w:lang w:eastAsia="ja-JP"/>
        </w:rPr>
        <w:t xml:space="preserve">    1.5 (një pikë pesë) </w:t>
      </w:r>
      <w:r w:rsidR="00F74D7F" w:rsidRPr="00EE2DE7">
        <w:rPr>
          <w:rFonts w:eastAsia="MS Mincho"/>
          <w:lang w:eastAsia="en-GB"/>
        </w:rPr>
        <w:t>koefi</w:t>
      </w:r>
      <w:r w:rsidR="00F74D7F" w:rsidRPr="00EE2DE7">
        <w:rPr>
          <w:rFonts w:eastAsia="MS Mincho"/>
          <w:lang w:eastAsia="ja-JP"/>
        </w:rPr>
        <w:t xml:space="preserve">cienti i vështirësisë  </w:t>
      </w:r>
      <w:r w:rsidR="00C057AA" w:rsidRPr="00EE2DE7">
        <w:rPr>
          <w:rFonts w:eastAsia="MS Mincho"/>
        </w:rPr>
        <w:fldChar w:fldCharType="begin"/>
      </w:r>
      <w:r w:rsidR="00F74D7F" w:rsidRPr="00EE2DE7">
        <w:rPr>
          <w:rFonts w:eastAsia="MS Mincho"/>
        </w:rPr>
        <w:instrText xml:space="preserve"> QUOTE </w:instrText>
      </w:r>
      <m:oMath>
        <m:sSub>
          <m:sSubPr>
            <m:ctrlPr>
              <w:rPr>
                <w:rFonts w:ascii="Cambria Math" w:hAnsi="Cambria Math"/>
              </w:rPr>
            </m:ctrlPr>
          </m:sSubPr>
          <m:e>
            <m:r>
              <m:rPr>
                <m:sty m:val="p"/>
              </m:rPr>
              <w:rPr>
                <w:rFonts w:ascii="Cambria Math" w:hAnsi="Cambria Math"/>
              </w:rPr>
              <m:t>x</m:t>
            </m:r>
          </m:e>
          <m:sub>
            <m:r>
              <m:rPr>
                <m:sty m:val="p"/>
              </m:rPr>
              <w:rPr>
                <w:rFonts w:ascii="Cambria Math" w:hAnsi="Cambria Math"/>
              </w:rPr>
              <m:t>1</m:t>
            </m:r>
          </m:sub>
        </m:sSub>
        <m:r>
          <m:rPr>
            <m:sty m:val="p"/>
          </m:rPr>
          <w:rPr>
            <w:rFonts w:ascii="Cambria Math" w:hAnsi="Cambria Math"/>
          </w:rPr>
          <m:t xml:space="preserve">),  </m:t>
        </m:r>
      </m:oMath>
      <w:r w:rsidR="00F74D7F" w:rsidRPr="00EE2DE7">
        <w:rPr>
          <w:rFonts w:eastAsia="MS Mincho"/>
        </w:rPr>
        <w:instrText xml:space="preserve"> </w:instrText>
      </w:r>
      <w:r w:rsidR="00C057AA" w:rsidRPr="00EE2DE7">
        <w:rPr>
          <w:rFonts w:eastAsia="MS Mincho"/>
        </w:rPr>
        <w:fldChar w:fldCharType="separate"/>
      </w:r>
      <w:r w:rsidR="00F74D7F" w:rsidRPr="00EE2DE7">
        <w:rPr>
          <w:rFonts w:eastAsia="MS Mincho"/>
          <w:lang w:eastAsia="ja-JP"/>
        </w:rPr>
        <w:t>(</w:t>
      </w:r>
      <m:oMath>
        <m:sSub>
          <m:sSubPr>
            <m:ctrlPr>
              <w:rPr>
                <w:rFonts w:ascii="Cambria Math" w:hAnsi="Cambria Math"/>
              </w:rPr>
            </m:ctrlPr>
          </m:sSubPr>
          <m:e>
            <m:r>
              <m:rPr>
                <m:sty m:val="p"/>
              </m:rPr>
              <w:rPr>
                <w:rFonts w:ascii="Cambria Math" w:hAnsi="Cambria Math"/>
              </w:rPr>
              <m:t>x</m:t>
            </m:r>
          </m:e>
          <m:sub>
            <m:r>
              <m:rPr>
                <m:sty m:val="p"/>
              </m:rPr>
              <w:rPr>
                <w:rFonts w:ascii="Cambria Math" w:hAnsi="Cambria Math"/>
              </w:rPr>
              <m:t>2</m:t>
            </m:r>
          </m:sub>
        </m:sSub>
        <m:r>
          <m:rPr>
            <m:sty m:val="p"/>
          </m:rPr>
          <w:rPr>
            <w:rFonts w:ascii="Cambria Math" w:hAnsi="Cambria Math"/>
          </w:rPr>
          <m:t xml:space="preserve"> 1 kurs ), </m:t>
        </m:r>
      </m:oMath>
      <w:r w:rsidR="00C057AA" w:rsidRPr="00EE2DE7">
        <w:rPr>
          <w:rFonts w:eastAsia="MS Mincho"/>
        </w:rPr>
        <w:fldChar w:fldCharType="end"/>
      </w:r>
      <w:r w:rsidR="00F74D7F" w:rsidRPr="00EE2DE7">
        <w:rPr>
          <w:rFonts w:eastAsia="MS Mincho"/>
        </w:rPr>
        <w:t>(</w:t>
      </w:r>
      <m:oMath>
        <m:sSub>
          <m:sSubPr>
            <m:ctrlPr>
              <w:rPr>
                <w:rFonts w:ascii="Cambria Math" w:hAnsi="Cambria Math"/>
              </w:rPr>
            </m:ctrlPr>
          </m:sSubPr>
          <m:e>
            <m:r>
              <w:rPr>
                <w:rFonts w:ascii="Cambria Math" w:hAnsi="Cambria Math"/>
              </w:rPr>
              <m:t>x</m:t>
            </m:r>
          </m:e>
          <m:sub>
            <m:r>
              <m:rPr>
                <m:sty m:val="p"/>
              </m:rPr>
              <w:rPr>
                <w:rFonts w:ascii="Cambria Math" w:hAnsi="Cambria Math"/>
              </w:rPr>
              <m:t>3</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x</m:t>
                </m:r>
              </m:e>
              <m:sub>
                <m:r>
                  <m:rPr>
                    <m:sty m:val="p"/>
                  </m:rPr>
                  <w:rPr>
                    <w:rFonts w:ascii="Cambria Math" w:hAnsi="Cambria Math"/>
                  </w:rPr>
                  <m:t xml:space="preserve">4  </m:t>
                </m:r>
              </m:sub>
            </m:sSub>
          </m:e>
        </m:d>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x</m:t>
                </m:r>
              </m:e>
              <m:sub>
                <m:r>
                  <m:rPr>
                    <m:sty m:val="p"/>
                  </m:rPr>
                  <w:rPr>
                    <w:rFonts w:ascii="Cambria Math" w:hAnsi="Cambria Math"/>
                  </w:rPr>
                  <m:t>5</m:t>
                </m:r>
              </m:sub>
            </m:sSub>
          </m:e>
        </m:d>
      </m:oMath>
      <w:r w:rsidR="00F74D7F" w:rsidRPr="00EE2DE7">
        <w:rPr>
          <w:rFonts w:eastAsia="MS Mincho"/>
        </w:rPr>
        <w:t>;</w:t>
      </w:r>
      <w:r w:rsidR="00F74D7F" w:rsidRPr="00EE2DE7">
        <w:rPr>
          <w:rFonts w:eastAsia="MS Mincho"/>
        </w:rPr>
        <w:br/>
      </w:r>
      <m:oMath>
        <m:sSub>
          <m:sSubPr>
            <m:ctrlPr>
              <w:rPr>
                <w:rFonts w:ascii="Cambria Math" w:hAnsi="Cambria Math"/>
              </w:rPr>
            </m:ctrlPr>
          </m:sSubPr>
          <m:e>
            <m:r>
              <w:rPr>
                <w:rFonts w:ascii="Cambria Math" w:hAnsi="Cambria Math"/>
              </w:rPr>
              <m:t>f</m:t>
            </m:r>
          </m:e>
          <m:sub>
            <m:r>
              <m:rPr>
                <m:sty m:val="p"/>
              </m:rPr>
              <w:rPr>
                <w:rFonts w:ascii="Cambria Math" w:hAnsi="Cambria Math"/>
              </w:rPr>
              <m:t>2</m:t>
            </m:r>
          </m:sub>
        </m:sSub>
      </m:oMath>
      <w:r w:rsidR="00F74D7F" w:rsidRPr="00EE2DE7">
        <w:rPr>
          <w:rFonts w:eastAsia="MS Mincho"/>
          <w:lang w:eastAsia="en-GB"/>
        </w:rPr>
        <w:t>=</w:t>
      </w:r>
      <w:r w:rsidR="00F74D7F" w:rsidRPr="00EE2DE7">
        <w:rPr>
          <w:rFonts w:eastAsia="MS Mincho"/>
          <w:lang w:eastAsia="ja-JP"/>
        </w:rPr>
        <w:t xml:space="preserve">   1 (një) </w:t>
      </w:r>
      <w:r w:rsidR="00F74D7F" w:rsidRPr="00EE2DE7">
        <w:rPr>
          <w:rFonts w:eastAsia="MS Mincho"/>
          <w:lang w:eastAsia="en-GB"/>
        </w:rPr>
        <w:t>koefi</w:t>
      </w:r>
      <w:r w:rsidR="00F74D7F" w:rsidRPr="00EE2DE7">
        <w:rPr>
          <w:rFonts w:eastAsia="MS Mincho"/>
          <w:lang w:eastAsia="ja-JP"/>
        </w:rPr>
        <w:t>cienti i vështirësisë të Grupit II (viti i II-të);</w:t>
      </w:r>
    </w:p>
    <w:p w:rsidR="00F74D7F" w:rsidRPr="00EE2DE7" w:rsidRDefault="00CF3AE0" w:rsidP="00F74D7F">
      <w:pPr>
        <w:spacing w:line="276" w:lineRule="auto"/>
        <w:rPr>
          <w:rFonts w:eastAsia="MS Mincho"/>
          <w:lang w:eastAsia="ja-JP"/>
        </w:rPr>
      </w:pPr>
      <m:oMath>
        <m:sSub>
          <m:sSubPr>
            <m:ctrlPr>
              <w:rPr>
                <w:rFonts w:ascii="Cambria Math" w:hAnsi="Cambria Math"/>
              </w:rPr>
            </m:ctrlPr>
          </m:sSubPr>
          <m:e>
            <m:r>
              <w:rPr>
                <w:rFonts w:ascii="Cambria Math" w:hAnsi="Cambria Math"/>
              </w:rPr>
              <m:t>f</m:t>
            </m:r>
          </m:e>
          <m:sub>
            <m:r>
              <m:rPr>
                <m:sty m:val="p"/>
              </m:rPr>
              <w:rPr>
                <w:rFonts w:ascii="Cambria Math" w:hAnsi="Cambria Math"/>
              </w:rPr>
              <m:t>3</m:t>
            </m:r>
          </m:sub>
        </m:sSub>
      </m:oMath>
      <w:r w:rsidR="00C057AA" w:rsidRPr="00EE2DE7">
        <w:rPr>
          <w:rFonts w:eastAsia="MS Mincho"/>
          <w:lang w:eastAsia="en-GB"/>
        </w:rPr>
        <w:fldChar w:fldCharType="begin"/>
      </w:r>
      <w:r w:rsidR="00F74D7F" w:rsidRPr="00EE2DE7">
        <w:rPr>
          <w:rFonts w:eastAsia="MS Mincho"/>
          <w:lang w:eastAsia="en-GB"/>
        </w:rPr>
        <w:instrText xml:space="preserve"> QUOTE </w:instrText>
      </w:r>
      <m:oMath>
        <m:sSub>
          <m:sSubPr>
            <m:ctrlPr>
              <w:rPr>
                <w:rFonts w:ascii="Cambria Math" w:hAnsi="Cambria Math"/>
              </w:rPr>
            </m:ctrlPr>
          </m:sSubPr>
          <m:e>
            <m:r>
              <m:rPr>
                <m:sty m:val="p"/>
              </m:rPr>
              <w:rPr>
                <w:rFonts w:ascii="Cambria Math" w:hAnsi="Cambria Math"/>
              </w:rPr>
              <m:t>f</m:t>
            </m:r>
          </m:e>
          <m:sub>
            <m:r>
              <m:rPr>
                <m:sty m:val="p"/>
              </m:rPr>
              <w:rPr>
                <w:rFonts w:ascii="Cambria Math" w:hAnsi="Cambria Math"/>
              </w:rPr>
              <m:t>1</m:t>
            </m:r>
          </m:sub>
        </m:sSub>
      </m:oMath>
      <w:r w:rsidR="00C057AA" w:rsidRPr="00EE2DE7">
        <w:rPr>
          <w:rFonts w:eastAsia="MS Mincho"/>
          <w:lang w:eastAsia="en-GB"/>
        </w:rPr>
        <w:fldChar w:fldCharType="end"/>
      </w:r>
      <w:r w:rsidR="00F74D7F" w:rsidRPr="00EE2DE7">
        <w:rPr>
          <w:rFonts w:eastAsia="MS Mincho"/>
          <w:lang w:eastAsia="en-GB"/>
        </w:rPr>
        <w:t>=</w:t>
      </w:r>
      <w:r w:rsidR="00F74D7F" w:rsidRPr="00EE2DE7">
        <w:rPr>
          <w:rFonts w:eastAsia="MS Mincho"/>
          <w:lang w:eastAsia="ja-JP"/>
        </w:rPr>
        <w:t xml:space="preserve">   2 (dy) koeficienti i vështirësisë për temën e vitit të dytë  </w:t>
      </w:r>
      <m:oMath>
        <m:r>
          <m:rPr>
            <m:sty m:val="p"/>
          </m:rP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hAnsi="Cambria Math"/>
              </w:rPr>
              <m:t xml:space="preserve">6 </m:t>
            </m:r>
          </m:sub>
        </m:sSub>
        <m:r>
          <m:rPr>
            <m:sty m:val="p"/>
          </m:rPr>
          <w:rPr>
            <w:rFonts w:ascii="Cambria Math" w:hAnsi="Cambria Math"/>
          </w:rPr>
          <m:t>)</m:t>
        </m:r>
      </m:oMath>
      <w:r w:rsidR="00F74D7F" w:rsidRPr="00EE2DE7">
        <w:rPr>
          <w:rFonts w:eastAsia="MS Mincho"/>
          <w:lang w:eastAsia="ja-JP"/>
        </w:rPr>
        <w:t>;</w:t>
      </w:r>
    </w:p>
    <w:p w:rsidR="00F74D7F" w:rsidRPr="00EE2DE7" w:rsidRDefault="00CF3AE0" w:rsidP="00F74D7F">
      <w:pPr>
        <w:spacing w:line="276" w:lineRule="auto"/>
        <w:rPr>
          <w:rFonts w:eastAsia="MS Mincho"/>
          <w:lang w:eastAsia="ja-JP"/>
        </w:rPr>
      </w:pPr>
      <m:oMath>
        <m:sSub>
          <m:sSubPr>
            <m:ctrlPr>
              <w:rPr>
                <w:rFonts w:ascii="Cambria Math" w:hAnsi="Cambria Math"/>
              </w:rPr>
            </m:ctrlPr>
          </m:sSubPr>
          <m:e>
            <m:r>
              <w:rPr>
                <w:rFonts w:ascii="Cambria Math" w:hAnsi="Cambria Math"/>
              </w:rPr>
              <m:t>f</m:t>
            </m:r>
          </m:e>
          <m:sub>
            <m:r>
              <m:rPr>
                <m:sty m:val="p"/>
              </m:rPr>
              <w:rPr>
                <w:rFonts w:ascii="Cambria Math" w:hAnsi="Cambria Math"/>
              </w:rPr>
              <m:t>3</m:t>
            </m:r>
          </m:sub>
        </m:sSub>
      </m:oMath>
      <w:r w:rsidR="00F74D7F" w:rsidRPr="00EE2DE7">
        <w:rPr>
          <w:rFonts w:eastAsia="MS Mincho"/>
          <w:lang w:eastAsia="ja-JP"/>
        </w:rPr>
        <w:t xml:space="preserve">=   2 (dy) keoficenti i vështirësisë për provimin përfundimtar të vitit të dytë (x7). </w:t>
      </w:r>
    </w:p>
    <w:p w:rsidR="00B02831" w:rsidRDefault="00B02831" w:rsidP="00036DBB">
      <w:pPr>
        <w:spacing w:line="276" w:lineRule="auto"/>
        <w:ind w:right="26"/>
        <w:jc w:val="both"/>
        <w:rPr>
          <w:rFonts w:eastAsia="Tw Cen MT"/>
        </w:rPr>
      </w:pPr>
    </w:p>
    <w:p w:rsidR="004E231A" w:rsidRPr="00036DBB" w:rsidRDefault="004E231A" w:rsidP="00036DBB">
      <w:pPr>
        <w:spacing w:line="276" w:lineRule="auto"/>
        <w:ind w:right="26"/>
        <w:jc w:val="both"/>
        <w:rPr>
          <w:rFonts w:eastAsia="Tw Cen MT"/>
        </w:rPr>
      </w:pPr>
    </w:p>
    <w:p w:rsidR="00B02831" w:rsidRPr="00036DBB" w:rsidRDefault="004E231A" w:rsidP="00036DBB">
      <w:pPr>
        <w:spacing w:line="276" w:lineRule="auto"/>
        <w:ind w:right="26"/>
        <w:jc w:val="both"/>
        <w:rPr>
          <w:rFonts w:eastAsia="Tw Cen MT"/>
        </w:rPr>
      </w:pPr>
      <w:r w:rsidRPr="004E231A">
        <w:rPr>
          <w:rFonts w:eastAsia="Tw Cen MT"/>
          <w:noProof/>
          <w:lang w:eastAsia="en-US"/>
        </w:rPr>
        <w:drawing>
          <wp:inline distT="0" distB="0" distL="0" distR="0">
            <wp:extent cx="3032760" cy="1532605"/>
            <wp:effectExtent l="1905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l="2229" t="26262" r="4308" b="2996"/>
                    <a:stretch>
                      <a:fillRect/>
                    </a:stretch>
                  </pic:blipFill>
                  <pic:spPr bwMode="auto">
                    <a:xfrm>
                      <a:off x="0" y="0"/>
                      <a:ext cx="3032760" cy="1532605"/>
                    </a:xfrm>
                    <a:prstGeom prst="rect">
                      <a:avLst/>
                    </a:prstGeom>
                    <a:noFill/>
                    <a:ln>
                      <a:noFill/>
                    </a:ln>
                  </pic:spPr>
                </pic:pic>
              </a:graphicData>
            </a:graphic>
          </wp:inline>
        </w:drawing>
      </w:r>
    </w:p>
    <w:p w:rsidR="00B02831" w:rsidRPr="004E231A" w:rsidRDefault="004E231A" w:rsidP="00036DBB">
      <w:pPr>
        <w:spacing w:line="276" w:lineRule="auto"/>
        <w:ind w:right="26"/>
        <w:jc w:val="both"/>
        <w:rPr>
          <w:rFonts w:eastAsia="Tw Cen MT"/>
          <w:sz w:val="20"/>
        </w:rPr>
      </w:pPr>
      <w:r>
        <w:rPr>
          <w:rFonts w:eastAsia="Tw Cen MT"/>
          <w:i/>
          <w:kern w:val="24"/>
          <w:sz w:val="20"/>
          <w:szCs w:val="20"/>
        </w:rPr>
        <w:t xml:space="preserve">          Figura nr.4 </w:t>
      </w:r>
      <w:r w:rsidRPr="004E231A">
        <w:rPr>
          <w:rFonts w:eastAsia="Tw Cen MT"/>
          <w:i/>
          <w:kern w:val="24"/>
          <w:sz w:val="20"/>
          <w:szCs w:val="20"/>
        </w:rPr>
        <w:t>Mbrojtja e temave, qershor 2018</w:t>
      </w:r>
    </w:p>
    <w:p w:rsidR="004E231A" w:rsidRPr="00036DBB" w:rsidRDefault="004E231A" w:rsidP="00036DBB">
      <w:pPr>
        <w:spacing w:line="276" w:lineRule="auto"/>
        <w:ind w:right="26"/>
        <w:jc w:val="both"/>
        <w:rPr>
          <w:rFonts w:eastAsia="Tw Cen MT"/>
        </w:rPr>
      </w:pPr>
    </w:p>
    <w:p w:rsidR="00B02831" w:rsidRPr="00036DBB" w:rsidRDefault="004E231A" w:rsidP="00036DBB">
      <w:pPr>
        <w:spacing w:line="276" w:lineRule="auto"/>
        <w:ind w:right="26"/>
        <w:jc w:val="both"/>
        <w:rPr>
          <w:rFonts w:eastAsia="Tw Cen MT"/>
        </w:rPr>
      </w:pPr>
      <w:r w:rsidRPr="004E231A">
        <w:rPr>
          <w:rFonts w:eastAsia="Tw Cen MT"/>
          <w:noProof/>
          <w:lang w:eastAsia="en-US"/>
        </w:rPr>
        <w:drawing>
          <wp:inline distT="0" distB="0" distL="0" distR="0">
            <wp:extent cx="3032760" cy="2000557"/>
            <wp:effectExtent l="19050" t="0" r="0"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t="14545" r="13702"/>
                    <a:stretch>
                      <a:fillRect/>
                    </a:stretch>
                  </pic:blipFill>
                  <pic:spPr bwMode="auto">
                    <a:xfrm>
                      <a:off x="0" y="0"/>
                      <a:ext cx="3032760" cy="2000557"/>
                    </a:xfrm>
                    <a:prstGeom prst="rect">
                      <a:avLst/>
                    </a:prstGeom>
                    <a:noFill/>
                    <a:ln>
                      <a:noFill/>
                    </a:ln>
                  </pic:spPr>
                </pic:pic>
              </a:graphicData>
            </a:graphic>
          </wp:inline>
        </w:drawing>
      </w:r>
    </w:p>
    <w:p w:rsidR="004E231A" w:rsidRPr="004E231A" w:rsidRDefault="004E231A" w:rsidP="004E231A">
      <w:pPr>
        <w:spacing w:line="276" w:lineRule="auto"/>
        <w:ind w:right="26"/>
        <w:jc w:val="both"/>
        <w:rPr>
          <w:rFonts w:eastAsia="Tw Cen MT"/>
          <w:sz w:val="20"/>
        </w:rPr>
      </w:pPr>
      <w:r>
        <w:rPr>
          <w:rFonts w:eastAsia="Tw Cen MT"/>
          <w:i/>
          <w:kern w:val="24"/>
          <w:sz w:val="20"/>
          <w:szCs w:val="20"/>
        </w:rPr>
        <w:t xml:space="preserve">        Figura nr.5  </w:t>
      </w:r>
      <w:r w:rsidRPr="004E231A">
        <w:rPr>
          <w:rFonts w:eastAsia="Tw Cen MT"/>
          <w:i/>
          <w:kern w:val="24"/>
          <w:sz w:val="20"/>
          <w:szCs w:val="20"/>
        </w:rPr>
        <w:t>Mbrojtja e temave, qershor 2018</w:t>
      </w:r>
    </w:p>
    <w:p w:rsidR="00B02831" w:rsidRPr="00036DBB" w:rsidRDefault="00B02831" w:rsidP="00036DBB">
      <w:pPr>
        <w:spacing w:line="276" w:lineRule="auto"/>
        <w:ind w:right="26"/>
        <w:jc w:val="both"/>
        <w:rPr>
          <w:rFonts w:eastAsia="Tw Cen MT"/>
        </w:rPr>
      </w:pPr>
    </w:p>
    <w:p w:rsidR="00B02831" w:rsidRPr="00036DBB" w:rsidRDefault="00B02831" w:rsidP="00036DBB">
      <w:pPr>
        <w:spacing w:line="276" w:lineRule="auto"/>
        <w:ind w:right="26"/>
        <w:jc w:val="both"/>
        <w:rPr>
          <w:rFonts w:eastAsia="Tw Cen MT"/>
        </w:rPr>
      </w:pPr>
    </w:p>
    <w:p w:rsidR="00B02831" w:rsidRPr="00036DBB" w:rsidRDefault="00B02831" w:rsidP="00036DBB">
      <w:pPr>
        <w:spacing w:line="276" w:lineRule="auto"/>
        <w:ind w:right="26"/>
        <w:jc w:val="both"/>
        <w:rPr>
          <w:rFonts w:eastAsia="Tw Cen MT"/>
        </w:rPr>
      </w:pPr>
    </w:p>
    <w:p w:rsidR="004E231A" w:rsidRPr="003754E1" w:rsidRDefault="001972A7" w:rsidP="004E231A">
      <w:pPr>
        <w:spacing w:line="276" w:lineRule="auto"/>
        <w:ind w:right="26"/>
        <w:jc w:val="both"/>
        <w:rPr>
          <w:rFonts w:eastAsia="Tw Cen MT"/>
        </w:rPr>
      </w:pPr>
      <w:r w:rsidRPr="004E231A">
        <w:rPr>
          <w:rFonts w:eastAsia="Tw Cen MT"/>
          <w:noProof/>
          <w:lang w:eastAsia="en-US"/>
        </w:rPr>
        <w:lastRenderedPageBreak/>
        <w:drawing>
          <wp:inline distT="0" distB="0" distL="0" distR="0">
            <wp:extent cx="3032760" cy="1721825"/>
            <wp:effectExtent l="19050" t="0" r="0" b="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l="2820" t="13014" r="2664" b="6555"/>
                    <a:stretch>
                      <a:fillRect/>
                    </a:stretch>
                  </pic:blipFill>
                  <pic:spPr bwMode="auto">
                    <a:xfrm>
                      <a:off x="0" y="0"/>
                      <a:ext cx="3032760" cy="1721825"/>
                    </a:xfrm>
                    <a:prstGeom prst="rect">
                      <a:avLst/>
                    </a:prstGeom>
                    <a:noFill/>
                    <a:ln>
                      <a:noFill/>
                    </a:ln>
                  </pic:spPr>
                </pic:pic>
              </a:graphicData>
            </a:graphic>
          </wp:inline>
        </w:drawing>
      </w:r>
      <w:r w:rsidR="003754E1">
        <w:rPr>
          <w:rFonts w:eastAsia="Tw Cen MT"/>
        </w:rPr>
        <w:t xml:space="preserve">          </w:t>
      </w:r>
      <w:r w:rsidR="004E231A">
        <w:rPr>
          <w:rFonts w:eastAsia="Tw Cen MT"/>
          <w:i/>
          <w:kern w:val="24"/>
          <w:sz w:val="20"/>
          <w:szCs w:val="20"/>
        </w:rPr>
        <w:t xml:space="preserve">Figura nr.6  </w:t>
      </w:r>
      <w:r w:rsidR="004E231A" w:rsidRPr="004E231A">
        <w:rPr>
          <w:rFonts w:eastAsia="Tw Cen MT"/>
          <w:i/>
          <w:kern w:val="24"/>
          <w:sz w:val="20"/>
          <w:szCs w:val="20"/>
        </w:rPr>
        <w:t>Mbrojtja e temave, qershor 2018</w:t>
      </w:r>
    </w:p>
    <w:p w:rsidR="00B02831" w:rsidRPr="00036DBB" w:rsidRDefault="00B02831" w:rsidP="00036DBB">
      <w:pPr>
        <w:spacing w:line="276" w:lineRule="auto"/>
        <w:ind w:right="26"/>
        <w:jc w:val="both"/>
        <w:rPr>
          <w:rFonts w:eastAsia="Tw Cen MT"/>
        </w:rPr>
      </w:pPr>
    </w:p>
    <w:p w:rsidR="001972A7" w:rsidRPr="001972A7" w:rsidRDefault="001972A7" w:rsidP="001972A7">
      <w:pPr>
        <w:spacing w:line="276" w:lineRule="auto"/>
        <w:rPr>
          <w:b/>
          <w:color w:val="CC9966" w:themeColor="accent2"/>
          <w:sz w:val="32"/>
        </w:rPr>
      </w:pPr>
      <w:r w:rsidRPr="001972A7">
        <w:rPr>
          <w:b/>
          <w:color w:val="CC9966" w:themeColor="accent2"/>
          <w:sz w:val="32"/>
        </w:rPr>
        <w:t>1.5</w:t>
      </w:r>
      <w:r w:rsidR="00A41A6D">
        <w:rPr>
          <w:b/>
          <w:color w:val="CC9966" w:themeColor="accent2"/>
          <w:sz w:val="32"/>
        </w:rPr>
        <w:t>.</w:t>
      </w:r>
      <w:r w:rsidRPr="001972A7">
        <w:rPr>
          <w:b/>
          <w:color w:val="CC9966" w:themeColor="accent2"/>
          <w:sz w:val="32"/>
        </w:rPr>
        <w:t xml:space="preserve"> </w:t>
      </w:r>
      <w:r>
        <w:rPr>
          <w:b/>
          <w:color w:val="CC9966" w:themeColor="accent2"/>
          <w:sz w:val="32"/>
        </w:rPr>
        <w:t xml:space="preserve"> </w:t>
      </w:r>
      <w:r w:rsidRPr="001972A7">
        <w:rPr>
          <w:b/>
          <w:color w:val="CC9966" w:themeColor="accent2"/>
          <w:sz w:val="32"/>
        </w:rPr>
        <w:t>Viti i tretë</w:t>
      </w:r>
      <w:r w:rsidRPr="001972A7">
        <w:rPr>
          <w:b/>
          <w:color w:val="CC9966" w:themeColor="accent2"/>
          <w:sz w:val="32"/>
        </w:rPr>
        <w:tab/>
      </w:r>
    </w:p>
    <w:p w:rsidR="001972A7" w:rsidRDefault="001972A7" w:rsidP="001972A7">
      <w:pPr>
        <w:spacing w:line="276" w:lineRule="auto"/>
        <w:jc w:val="both"/>
        <w:rPr>
          <w:rFonts w:eastAsia="Tw Cen MT"/>
        </w:rPr>
      </w:pPr>
    </w:p>
    <w:p w:rsidR="001972A7" w:rsidRPr="00EE2DE7" w:rsidRDefault="001972A7" w:rsidP="001972A7">
      <w:pPr>
        <w:spacing w:line="276" w:lineRule="auto"/>
        <w:jc w:val="both"/>
        <w:rPr>
          <w:rFonts w:eastAsia="MS Mincho"/>
          <w:kern w:val="24"/>
          <w:szCs w:val="23"/>
        </w:rPr>
      </w:pPr>
      <w:r w:rsidRPr="00EE2DE7">
        <w:rPr>
          <w:rFonts w:eastAsia="MS Mincho"/>
          <w:kern w:val="24"/>
          <w:szCs w:val="23"/>
        </w:rPr>
        <w:t xml:space="preserve">Në vitin akademik 2017-2018, Shkolla e Magjistraturës në vitin e tretë </w:t>
      </w:r>
      <w:r w:rsidRPr="00EE2DE7">
        <w:rPr>
          <w:rFonts w:eastAsia="Calibri"/>
          <w:kern w:val="24"/>
        </w:rPr>
        <w:t>pati 16 kandidatë për magjistratë</w:t>
      </w:r>
      <w:r w:rsidRPr="00EE2DE7">
        <w:rPr>
          <w:rFonts w:eastAsia="MS Mincho"/>
          <w:kern w:val="24"/>
          <w:szCs w:val="23"/>
        </w:rPr>
        <w:t xml:space="preserve"> në Programin e Formimit Fillestar.</w:t>
      </w:r>
    </w:p>
    <w:p w:rsidR="001972A7" w:rsidRPr="00EE2DE7" w:rsidRDefault="001972A7" w:rsidP="001972A7">
      <w:pPr>
        <w:spacing w:line="276" w:lineRule="auto"/>
        <w:jc w:val="both"/>
        <w:rPr>
          <w:rFonts w:eastAsia="MS Mincho"/>
          <w:kern w:val="24"/>
          <w:szCs w:val="23"/>
        </w:rPr>
      </w:pPr>
      <w:r w:rsidRPr="00EE2DE7">
        <w:rPr>
          <w:rFonts w:eastAsia="MS Mincho"/>
          <w:kern w:val="24"/>
          <w:szCs w:val="23"/>
        </w:rPr>
        <w:t>Plani mësimor i vitit të tretë, i ndryshuar nga ligjet që rregullojnë veprimtarinë e Shkollës, konkretisht: ligji nr. 96/2016, “</w:t>
      </w:r>
      <w:r w:rsidRPr="00EE2DE7">
        <w:rPr>
          <w:rFonts w:eastAsia="MS Mincho"/>
          <w:i/>
          <w:kern w:val="24"/>
          <w:szCs w:val="23"/>
        </w:rPr>
        <w:t>Për statusin e gjyqtarëve dhe prokurorëve në Republikën e Shqipërisë</w:t>
      </w:r>
      <w:r w:rsidRPr="00EE2DE7">
        <w:rPr>
          <w:rFonts w:eastAsia="MS Mincho"/>
          <w:kern w:val="24"/>
          <w:szCs w:val="23"/>
        </w:rPr>
        <w:t>”; ligji nr. 98/2016, “</w:t>
      </w:r>
      <w:r w:rsidRPr="00EE2DE7">
        <w:rPr>
          <w:rFonts w:eastAsia="MS Mincho"/>
          <w:i/>
          <w:kern w:val="24"/>
          <w:szCs w:val="23"/>
        </w:rPr>
        <w:t>Për organizimin e pushtetit gjyqësor në Republikën e Shqipërisë</w:t>
      </w:r>
      <w:r w:rsidRPr="00EE2DE7">
        <w:rPr>
          <w:rFonts w:eastAsia="MS Mincho"/>
          <w:kern w:val="24"/>
          <w:szCs w:val="23"/>
        </w:rPr>
        <w:t>”; ligji nr. 115/2016, “</w:t>
      </w:r>
      <w:r w:rsidRPr="00EE2DE7">
        <w:rPr>
          <w:rFonts w:eastAsia="MS Mincho"/>
          <w:i/>
          <w:kern w:val="24"/>
          <w:szCs w:val="23"/>
        </w:rPr>
        <w:t>Për organet e qeverisjes së sistemit të drejtësisë</w:t>
      </w:r>
      <w:r w:rsidRPr="00EE2DE7">
        <w:rPr>
          <w:rFonts w:eastAsia="MS Mincho"/>
          <w:kern w:val="24"/>
          <w:szCs w:val="23"/>
        </w:rPr>
        <w:t>”; në Rregulloren e Brendshme të Shkollës ku u rikonceptua në mënyrën e organizimit dhe të vlerësimit.</w:t>
      </w:r>
    </w:p>
    <w:p w:rsidR="001972A7" w:rsidRDefault="001972A7" w:rsidP="001972A7">
      <w:pPr>
        <w:spacing w:line="276" w:lineRule="auto"/>
        <w:jc w:val="both"/>
        <w:rPr>
          <w:rFonts w:eastAsia="Calibri"/>
          <w:kern w:val="24"/>
          <w:szCs w:val="23"/>
        </w:rPr>
      </w:pPr>
      <w:r w:rsidRPr="00EE2DE7">
        <w:rPr>
          <w:rFonts w:eastAsia="Calibri"/>
          <w:kern w:val="24"/>
          <w:szCs w:val="23"/>
        </w:rPr>
        <w:t>Bazuar në nenin 33 të ligjit nr. 96/2016, “</w:t>
      </w:r>
      <w:r w:rsidRPr="00EE2DE7">
        <w:rPr>
          <w:rFonts w:eastAsia="MS Mincho"/>
          <w:i/>
          <w:kern w:val="24"/>
          <w:szCs w:val="23"/>
        </w:rPr>
        <w:t>Për statusin e gjyqtarëve dhe prokurorëve në Republikën e Shqipërisë</w:t>
      </w:r>
      <w:r w:rsidRPr="00EE2DE7">
        <w:rPr>
          <w:rFonts w:eastAsia="MS Mincho"/>
          <w:kern w:val="24"/>
          <w:szCs w:val="23"/>
        </w:rPr>
        <w:t xml:space="preserve">”, </w:t>
      </w:r>
      <w:r w:rsidRPr="00EE2DE7">
        <w:rPr>
          <w:rFonts w:eastAsia="Calibri"/>
          <w:kern w:val="24"/>
          <w:szCs w:val="23"/>
        </w:rPr>
        <w:t>praktika profesionale zgjati 12 muaj, duke filluar në muajin korrik 2017 dhe duke përfunduar në muajin qershor 2018.</w:t>
      </w:r>
    </w:p>
    <w:p w:rsidR="001972A7" w:rsidRPr="00A666D3" w:rsidRDefault="001972A7" w:rsidP="005C2687">
      <w:pPr>
        <w:pStyle w:val="ListParagraph"/>
        <w:numPr>
          <w:ilvl w:val="0"/>
          <w:numId w:val="18"/>
        </w:numPr>
        <w:spacing w:line="276" w:lineRule="auto"/>
        <w:jc w:val="both"/>
      </w:pPr>
      <w:r w:rsidRPr="00A666D3">
        <w:t>Me ndryshimet që pësoi legjislacioni, kandidatët për magjistratë të vitit të tretë, kryejnë praktikën profesionale pranë gjykatave dhe prokurorive të shkallës së parë, të udhëhequr nga një trup magjistratësh udhëheqës, të cilët kryejnë vlerësimin profesional dhe etik të secilit kandidat, bazuar në kriteret dhe nivelet e vlerësimit të përcaktuara në ligj.</w:t>
      </w:r>
    </w:p>
    <w:p w:rsidR="001972A7" w:rsidRPr="00A666D3" w:rsidRDefault="001972A7" w:rsidP="005C2687">
      <w:pPr>
        <w:pStyle w:val="ListParagraph"/>
        <w:numPr>
          <w:ilvl w:val="0"/>
          <w:numId w:val="18"/>
        </w:numPr>
        <w:spacing w:line="276" w:lineRule="auto"/>
        <w:jc w:val="both"/>
      </w:pPr>
      <w:r w:rsidRPr="00A666D3">
        <w:t xml:space="preserve">Në kushtet kur nuk u arrit të krijohej Këshilli i Lartë Gjyqësor dhe Këshilli i </w:t>
      </w:r>
      <w:r w:rsidRPr="00A666D3">
        <w:t xml:space="preserve">Lartë i Prokurorisë, Shkolla e Magjistraturës iu drejtua Këshillit të Lartë të Drejtësisë dhe Prokurorisë së Përgjithshme duke i vënë në dijeni për situatën e krijuar, me synim gjendjen e një zgjidhjeve të arsyeshme për të mos krijuar pengesë për kandidatët për magjistratë në realizimin e planit mësimor të parashikuar. </w:t>
      </w:r>
    </w:p>
    <w:p w:rsidR="001972A7" w:rsidRPr="00A666D3" w:rsidRDefault="001972A7" w:rsidP="005C2687">
      <w:pPr>
        <w:pStyle w:val="ListParagraph"/>
        <w:numPr>
          <w:ilvl w:val="0"/>
          <w:numId w:val="18"/>
        </w:numPr>
        <w:spacing w:line="276" w:lineRule="auto"/>
        <w:jc w:val="both"/>
      </w:pPr>
      <w:r w:rsidRPr="00A666D3">
        <w:t>Këshilli Drejtues, i mbledhur më datë 29 qershor 2017, pasi u informua mbi situatën e krijuar, nisur nga detyrimi ligjor për fillimin e praktikës gjyqësore në korrik, për tri periudha të ndryshme katërmujore, duke synuar përfitimin e përvojës profesionale të kandidatëve për magjistratë, u autorizua Drejtori i Shkollës së Magjistraturës për ndërmjetësim dhe kërkimin e një zgjidhjeje midis institucioneve: Gjykata e Rrethit Gjyqësor Tiranë; Gjykata Administrative e shkallës së parë për gjyqtarët dhe Prokuroria e Rrethit Gjyqësor Tiranë, bazuar në këta tregues:</w:t>
      </w:r>
    </w:p>
    <w:p w:rsidR="001972A7" w:rsidRPr="00EE2DE7" w:rsidRDefault="001972A7" w:rsidP="001972A7">
      <w:pPr>
        <w:spacing w:line="276" w:lineRule="auto"/>
        <w:jc w:val="both"/>
        <w:rPr>
          <w:rFonts w:eastAsia="Calibri"/>
          <w:kern w:val="24"/>
          <w:szCs w:val="23"/>
        </w:rPr>
      </w:pPr>
      <w:r w:rsidRPr="00EE2DE7">
        <w:rPr>
          <w:rFonts w:eastAsia="Calibri"/>
          <w:kern w:val="24"/>
          <w:szCs w:val="23"/>
        </w:rPr>
        <w:tab/>
        <w:t xml:space="preserve">a) disponueshmërinë e gjyqtarëve dhe prokurorëve udhëheqës; </w:t>
      </w:r>
    </w:p>
    <w:p w:rsidR="001972A7" w:rsidRPr="00EE2DE7" w:rsidRDefault="001972A7" w:rsidP="001972A7">
      <w:pPr>
        <w:spacing w:line="276" w:lineRule="auto"/>
        <w:jc w:val="both"/>
        <w:rPr>
          <w:rFonts w:eastAsia="Calibri"/>
          <w:kern w:val="24"/>
          <w:szCs w:val="23"/>
        </w:rPr>
      </w:pPr>
      <w:r w:rsidRPr="00EE2DE7">
        <w:rPr>
          <w:rFonts w:eastAsia="Calibri"/>
          <w:kern w:val="24"/>
          <w:szCs w:val="23"/>
        </w:rPr>
        <w:tab/>
        <w:t>b) infrastrukturën e gjykatës dhe të prokurorisë;</w:t>
      </w:r>
    </w:p>
    <w:p w:rsidR="001972A7" w:rsidRPr="00EE2DE7" w:rsidRDefault="001972A7" w:rsidP="001972A7">
      <w:pPr>
        <w:spacing w:line="276" w:lineRule="auto"/>
        <w:jc w:val="both"/>
        <w:rPr>
          <w:rFonts w:eastAsia="Calibri"/>
          <w:kern w:val="24"/>
          <w:szCs w:val="23"/>
        </w:rPr>
      </w:pPr>
      <w:r w:rsidRPr="00EE2DE7">
        <w:rPr>
          <w:rFonts w:eastAsia="Calibri"/>
          <w:kern w:val="24"/>
          <w:szCs w:val="23"/>
        </w:rPr>
        <w:tab/>
        <w:t xml:space="preserve">c) disponueshmërinë e hapësirës dhe mjediseve të punës për kandidatët magjistratë; </w:t>
      </w:r>
    </w:p>
    <w:p w:rsidR="001972A7" w:rsidRPr="00EE2DE7" w:rsidRDefault="001972A7" w:rsidP="001972A7">
      <w:pPr>
        <w:spacing w:line="276" w:lineRule="auto"/>
        <w:jc w:val="both"/>
        <w:rPr>
          <w:rFonts w:eastAsia="Calibri"/>
          <w:kern w:val="24"/>
          <w:szCs w:val="23"/>
        </w:rPr>
      </w:pPr>
      <w:r w:rsidRPr="00EE2DE7">
        <w:rPr>
          <w:rFonts w:eastAsia="Calibri"/>
          <w:kern w:val="24"/>
          <w:szCs w:val="23"/>
        </w:rPr>
        <w:tab/>
        <w:t xml:space="preserve">ç) mundësinë për t’u njohur me një numër të madh ligjesh dhe shumëllojshmëri çështjesh gjatë praktikës profesionale. </w:t>
      </w:r>
    </w:p>
    <w:p w:rsidR="001972A7" w:rsidRPr="00EE2DE7" w:rsidRDefault="001972A7" w:rsidP="001972A7">
      <w:pPr>
        <w:spacing w:line="276" w:lineRule="auto"/>
        <w:jc w:val="both"/>
        <w:rPr>
          <w:rFonts w:eastAsia="Calibri"/>
          <w:kern w:val="24"/>
          <w:szCs w:val="23"/>
        </w:rPr>
      </w:pPr>
      <w:r w:rsidRPr="00EE2DE7">
        <w:rPr>
          <w:rFonts w:eastAsia="Calibri"/>
          <w:kern w:val="24"/>
          <w:szCs w:val="23"/>
        </w:rPr>
        <w:t xml:space="preserve">Shkolla e Magjistraturës, në bashkëpunim me këto institucione, realizoi zhvillimin e praktikës profesionale për kandidatët për magjistratë, duke krijuar kushtet optimale pranë një magjistrati udhëheqës, duke caktuar një udhëheqës për secilin prej kandidatëve magjistratë, me qëllim që secili prej tyre: </w:t>
      </w:r>
    </w:p>
    <w:p w:rsidR="001972A7" w:rsidRPr="00EE2DE7" w:rsidRDefault="001972A7" w:rsidP="001972A7">
      <w:pPr>
        <w:spacing w:line="276" w:lineRule="auto"/>
        <w:jc w:val="both"/>
        <w:rPr>
          <w:rFonts w:eastAsia="Calibri"/>
          <w:kern w:val="24"/>
          <w:szCs w:val="23"/>
        </w:rPr>
      </w:pPr>
      <w:r w:rsidRPr="00EE2DE7">
        <w:rPr>
          <w:rFonts w:eastAsia="Calibri"/>
          <w:kern w:val="24"/>
          <w:szCs w:val="23"/>
        </w:rPr>
        <w:lastRenderedPageBreak/>
        <w:tab/>
        <w:t>a) të ketë udhëheqës të ndryshëm për secilën nga tri periudhat katërmujore të njëpasnjëshme;</w:t>
      </w:r>
    </w:p>
    <w:p w:rsidR="001972A7" w:rsidRPr="00EE2DE7" w:rsidRDefault="001972A7" w:rsidP="001972A7">
      <w:pPr>
        <w:spacing w:line="276" w:lineRule="auto"/>
        <w:jc w:val="both"/>
        <w:rPr>
          <w:rFonts w:eastAsia="Calibri"/>
          <w:kern w:val="24"/>
          <w:szCs w:val="23"/>
        </w:rPr>
      </w:pPr>
      <w:r w:rsidRPr="00EE2DE7">
        <w:rPr>
          <w:rFonts w:eastAsia="Calibri"/>
          <w:kern w:val="24"/>
          <w:szCs w:val="23"/>
        </w:rPr>
        <w:tab/>
        <w:t>b) të fitojë përvojë profesionale në fushat e së drejtës civile, penale dhe administrative;</w:t>
      </w:r>
    </w:p>
    <w:p w:rsidR="001972A7" w:rsidRPr="00EE2DE7" w:rsidRDefault="001972A7" w:rsidP="001972A7">
      <w:pPr>
        <w:spacing w:line="276" w:lineRule="auto"/>
        <w:jc w:val="both"/>
        <w:rPr>
          <w:rFonts w:eastAsia="Calibri"/>
          <w:kern w:val="24"/>
          <w:szCs w:val="23"/>
        </w:rPr>
      </w:pPr>
      <w:r w:rsidRPr="00EE2DE7">
        <w:rPr>
          <w:rFonts w:eastAsia="Calibri"/>
          <w:kern w:val="24"/>
          <w:szCs w:val="23"/>
        </w:rPr>
        <w:tab/>
        <w:t>c) të përfshijë sa më shumë që të jetë e mundur në aspektet e punës së përditshme të magjistratit udhëheqës, pavarësisht nga fakti se nuk ushtron ende funksionin e magjistratit, duke përfshirë:</w:t>
      </w:r>
    </w:p>
    <w:p w:rsidR="001972A7" w:rsidRPr="00EE2DE7" w:rsidRDefault="001972A7" w:rsidP="001972A7">
      <w:pPr>
        <w:spacing w:line="276" w:lineRule="auto"/>
        <w:jc w:val="both"/>
        <w:rPr>
          <w:rFonts w:eastAsia="Calibri"/>
          <w:kern w:val="24"/>
          <w:szCs w:val="23"/>
        </w:rPr>
      </w:pPr>
      <w:r w:rsidRPr="00EE2DE7">
        <w:rPr>
          <w:rFonts w:eastAsia="Calibri"/>
          <w:kern w:val="24"/>
          <w:szCs w:val="23"/>
        </w:rPr>
        <w:tab/>
        <w:t>i) shpjegimet dhe diskutimet për çështjet e papërfunduara;</w:t>
      </w:r>
    </w:p>
    <w:p w:rsidR="001972A7" w:rsidRPr="00EE2DE7" w:rsidRDefault="001972A7" w:rsidP="001972A7">
      <w:pPr>
        <w:spacing w:line="276" w:lineRule="auto"/>
        <w:jc w:val="both"/>
        <w:rPr>
          <w:rFonts w:eastAsia="Calibri"/>
          <w:kern w:val="24"/>
          <w:szCs w:val="23"/>
        </w:rPr>
      </w:pPr>
      <w:r w:rsidRPr="00EE2DE7">
        <w:rPr>
          <w:rFonts w:eastAsia="Calibri"/>
          <w:kern w:val="24"/>
          <w:szCs w:val="23"/>
        </w:rPr>
        <w:tab/>
        <w:t>ii) pjesëmarrjen në seancat dëgjimore ose në marrjet në pyetje;</w:t>
      </w:r>
    </w:p>
    <w:p w:rsidR="001972A7" w:rsidRPr="00EE2DE7" w:rsidRDefault="001972A7" w:rsidP="001972A7">
      <w:pPr>
        <w:spacing w:line="276" w:lineRule="auto"/>
        <w:jc w:val="both"/>
        <w:rPr>
          <w:rFonts w:eastAsia="Calibri"/>
          <w:kern w:val="24"/>
          <w:szCs w:val="23"/>
        </w:rPr>
      </w:pPr>
      <w:r w:rsidRPr="00EE2DE7">
        <w:rPr>
          <w:rFonts w:eastAsia="Calibri"/>
          <w:kern w:val="24"/>
          <w:szCs w:val="23"/>
        </w:rPr>
        <w:tab/>
        <w:t>iii) aspektet në menaxhimin e çështjeve;</w:t>
      </w:r>
    </w:p>
    <w:p w:rsidR="001972A7" w:rsidRPr="00EE2DE7" w:rsidRDefault="001972A7" w:rsidP="001972A7">
      <w:pPr>
        <w:tabs>
          <w:tab w:val="left" w:pos="720"/>
          <w:tab w:val="left" w:pos="1440"/>
          <w:tab w:val="left" w:pos="2160"/>
          <w:tab w:val="left" w:pos="2880"/>
          <w:tab w:val="left" w:pos="3600"/>
          <w:tab w:val="left" w:pos="4320"/>
          <w:tab w:val="left" w:pos="5328"/>
        </w:tabs>
        <w:spacing w:line="276" w:lineRule="auto"/>
        <w:jc w:val="both"/>
        <w:rPr>
          <w:rFonts w:eastAsia="Calibri"/>
          <w:kern w:val="24"/>
          <w:szCs w:val="23"/>
        </w:rPr>
      </w:pPr>
      <w:r w:rsidRPr="00EE2DE7">
        <w:rPr>
          <w:rFonts w:eastAsia="Calibri"/>
          <w:kern w:val="24"/>
          <w:szCs w:val="23"/>
        </w:rPr>
        <w:tab/>
        <w:t>iv) përvojën në menaxhimin e dosjeve;</w:t>
      </w:r>
      <w:r>
        <w:rPr>
          <w:rFonts w:eastAsia="Calibri"/>
          <w:kern w:val="24"/>
          <w:szCs w:val="23"/>
        </w:rPr>
        <w:tab/>
      </w:r>
    </w:p>
    <w:p w:rsidR="001972A7" w:rsidRPr="00EE2DE7" w:rsidRDefault="001972A7" w:rsidP="001972A7">
      <w:pPr>
        <w:spacing w:line="276" w:lineRule="auto"/>
        <w:jc w:val="both"/>
        <w:rPr>
          <w:rFonts w:eastAsia="Calibri"/>
          <w:kern w:val="24"/>
          <w:szCs w:val="23"/>
        </w:rPr>
      </w:pPr>
      <w:r w:rsidRPr="00EE2DE7">
        <w:rPr>
          <w:rFonts w:eastAsia="Calibri"/>
          <w:kern w:val="24"/>
          <w:szCs w:val="23"/>
        </w:rPr>
        <w:tab/>
        <w:t xml:space="preserve">v) përgatitjen dhe diskutimin e projektvendimeve; </w:t>
      </w:r>
    </w:p>
    <w:p w:rsidR="001972A7" w:rsidRPr="00EE2DE7" w:rsidRDefault="001972A7" w:rsidP="001972A7">
      <w:pPr>
        <w:spacing w:line="276" w:lineRule="auto"/>
        <w:jc w:val="both"/>
        <w:rPr>
          <w:rFonts w:eastAsia="Calibri"/>
          <w:kern w:val="24"/>
          <w:szCs w:val="23"/>
        </w:rPr>
      </w:pPr>
      <w:r w:rsidRPr="00EE2DE7">
        <w:rPr>
          <w:rFonts w:eastAsia="Calibri"/>
          <w:kern w:val="24"/>
          <w:szCs w:val="23"/>
        </w:rPr>
        <w:tab/>
        <w:t xml:space="preserve">vi) përvojën në administratën e gjykatës ose prokurorisë; </w:t>
      </w:r>
    </w:p>
    <w:p w:rsidR="001972A7" w:rsidRPr="00EE2DE7" w:rsidRDefault="001972A7" w:rsidP="001972A7">
      <w:pPr>
        <w:spacing w:line="276" w:lineRule="auto"/>
        <w:jc w:val="both"/>
        <w:rPr>
          <w:rFonts w:eastAsia="Calibri"/>
          <w:kern w:val="24"/>
          <w:szCs w:val="23"/>
        </w:rPr>
      </w:pPr>
      <w:r w:rsidRPr="00EE2DE7">
        <w:rPr>
          <w:rFonts w:eastAsia="Calibri"/>
          <w:kern w:val="24"/>
          <w:szCs w:val="23"/>
        </w:rPr>
        <w:tab/>
        <w:t>vii) aspekte për standardet e etikës dhe rregullat e sjelljes së magjistratëve.</w:t>
      </w:r>
    </w:p>
    <w:p w:rsidR="001972A7" w:rsidRPr="00A666D3" w:rsidRDefault="001972A7" w:rsidP="005C2687">
      <w:pPr>
        <w:pStyle w:val="ListParagraph"/>
        <w:numPr>
          <w:ilvl w:val="0"/>
          <w:numId w:val="18"/>
        </w:numPr>
        <w:spacing w:line="276" w:lineRule="auto"/>
        <w:jc w:val="both"/>
      </w:pPr>
      <w:r w:rsidRPr="00A666D3">
        <w:t xml:space="preserve">U </w:t>
      </w:r>
      <w:r>
        <w:t xml:space="preserve">caktua  një trupë magjistratësh </w:t>
      </w:r>
      <w:r w:rsidRPr="00A666D3">
        <w:t xml:space="preserve">udhëheqës, ku çdo magjistrat udhëheqës përmbush njëkohësisht kriteret: </w:t>
      </w:r>
    </w:p>
    <w:p w:rsidR="001972A7" w:rsidRPr="00EE2DE7" w:rsidRDefault="001972A7" w:rsidP="001972A7">
      <w:pPr>
        <w:spacing w:line="276" w:lineRule="auto"/>
        <w:jc w:val="both"/>
        <w:rPr>
          <w:rFonts w:eastAsia="Calibri"/>
          <w:kern w:val="24"/>
          <w:szCs w:val="23"/>
        </w:rPr>
      </w:pPr>
      <w:r w:rsidRPr="00EE2DE7">
        <w:rPr>
          <w:rFonts w:eastAsia="Calibri"/>
          <w:kern w:val="24"/>
          <w:szCs w:val="23"/>
        </w:rPr>
        <w:tab/>
        <w:t xml:space="preserve">a) ka të paktën pesë vjet përvojë si gjyqtar ose prokuror; </w:t>
      </w:r>
    </w:p>
    <w:p w:rsidR="001972A7" w:rsidRPr="00EE2DE7" w:rsidRDefault="001972A7" w:rsidP="001972A7">
      <w:pPr>
        <w:spacing w:line="276" w:lineRule="auto"/>
        <w:ind w:left="284"/>
        <w:jc w:val="both"/>
        <w:rPr>
          <w:rFonts w:eastAsia="Calibri"/>
          <w:kern w:val="24"/>
          <w:szCs w:val="23"/>
        </w:rPr>
      </w:pPr>
      <w:r w:rsidRPr="00EE2DE7">
        <w:rPr>
          <w:rFonts w:eastAsia="Calibri"/>
          <w:kern w:val="24"/>
          <w:szCs w:val="23"/>
        </w:rPr>
        <w:tab/>
        <w:t>b) është vlerësuar në përputhje me ligjin, “shumë mirë” në vlerësimin e fundit etik dhe profesional;</w:t>
      </w:r>
    </w:p>
    <w:p w:rsidR="001972A7" w:rsidRPr="00EE2DE7" w:rsidRDefault="001972A7" w:rsidP="001972A7">
      <w:pPr>
        <w:spacing w:line="276" w:lineRule="auto"/>
        <w:ind w:left="284"/>
        <w:jc w:val="both"/>
        <w:rPr>
          <w:rFonts w:eastAsia="Calibri"/>
          <w:kern w:val="24"/>
          <w:szCs w:val="23"/>
        </w:rPr>
      </w:pPr>
      <w:r w:rsidRPr="00EE2DE7">
        <w:rPr>
          <w:rFonts w:eastAsia="Calibri"/>
          <w:kern w:val="24"/>
          <w:szCs w:val="23"/>
        </w:rPr>
        <w:tab/>
        <w:t>c)ka respektuar afatet ligjore për hetimin apo gjykimin e çështjeve në vitin paraardhës, përpara se të caktohej si udhëheqës.</w:t>
      </w:r>
    </w:p>
    <w:p w:rsidR="001972A7" w:rsidRPr="00A666D3" w:rsidRDefault="001972A7" w:rsidP="005C2687">
      <w:pPr>
        <w:pStyle w:val="ListParagraph"/>
        <w:numPr>
          <w:ilvl w:val="0"/>
          <w:numId w:val="18"/>
        </w:numPr>
        <w:tabs>
          <w:tab w:val="left" w:pos="270"/>
          <w:tab w:val="left" w:pos="360"/>
        </w:tabs>
        <w:spacing w:line="276" w:lineRule="auto"/>
        <w:jc w:val="both"/>
      </w:pPr>
      <w:r w:rsidRPr="00A666D3">
        <w:t>Në bashkëpunim me misionin EURALIUS, Shkolla e Magjistraturës organizoi një trajnim me temë “</w:t>
      </w:r>
      <w:r w:rsidRPr="00A666D3">
        <w:rPr>
          <w:i/>
        </w:rPr>
        <w:t>Praktika profesionale e kandidatëve për magjistratë në vit të tretë të Programit të Formimit Fillestar</w:t>
      </w:r>
      <w:r w:rsidRPr="00A666D3">
        <w:t xml:space="preserve">”, për magjistratët udhëheqës të kandidatëve për magjistratë gjatë stazhit të tyre profesional. Ky ishte sesioni i parë trajnues, pas ndryshimeve </w:t>
      </w:r>
      <w:r w:rsidRPr="00A666D3">
        <w:t>ligjore, i cili ishte shumë i vlefshëm për njohjen me situatën e re ligjore të krijuar mbi detyrat e një magjistrati udhëheqës dhe vlerësimin përfundimtar të vitit të tretë të një kandidati për magjistrat.</w:t>
      </w:r>
    </w:p>
    <w:p w:rsidR="001972A7" w:rsidRPr="00A666D3" w:rsidRDefault="001972A7" w:rsidP="005C2687">
      <w:pPr>
        <w:pStyle w:val="ListParagraph"/>
        <w:numPr>
          <w:ilvl w:val="0"/>
          <w:numId w:val="18"/>
        </w:numPr>
        <w:spacing w:line="276" w:lineRule="auto"/>
        <w:jc w:val="both"/>
      </w:pPr>
      <w:r w:rsidRPr="00A666D3">
        <w:t>Magjistrati udhëheqës bëri vlerësimin etik dhe profesional të secilit kandidat magjistrat, duke u bazuar në kriteret dhe nivelet e vlerësimit, të përcaktuara në ligj.</w:t>
      </w:r>
    </w:p>
    <w:p w:rsidR="001972A7" w:rsidRPr="0034124F" w:rsidRDefault="001972A7" w:rsidP="005C2687">
      <w:pPr>
        <w:pStyle w:val="ListParagraph"/>
        <w:numPr>
          <w:ilvl w:val="0"/>
          <w:numId w:val="18"/>
        </w:numPr>
        <w:spacing w:line="276" w:lineRule="auto"/>
        <w:jc w:val="both"/>
      </w:pPr>
      <w:r w:rsidRPr="00A666D3">
        <w:t>Me propozim të Shkollës së Magjistraturës, u nxorën udhëzime për vlerësimin e cilësisë së veprimtarisë së udhëheqjes.</w:t>
      </w:r>
    </w:p>
    <w:p w:rsidR="001972A7" w:rsidRPr="00EE2DE7" w:rsidRDefault="001972A7" w:rsidP="001972A7">
      <w:pPr>
        <w:spacing w:line="276" w:lineRule="auto"/>
        <w:jc w:val="both"/>
        <w:rPr>
          <w:rFonts w:eastAsia="Calibri"/>
          <w:kern w:val="24"/>
          <w:szCs w:val="23"/>
        </w:rPr>
      </w:pPr>
      <w:r w:rsidRPr="00EE2DE7">
        <w:rPr>
          <w:rFonts w:eastAsia="Calibri"/>
          <w:kern w:val="24"/>
          <w:szCs w:val="23"/>
        </w:rPr>
        <w:t>Për këtë vit akademik 2017-2018, praktikën profesionale kandidatët për magjistratë e kryen përkatësisht:</w:t>
      </w:r>
    </w:p>
    <w:p w:rsidR="001972A7" w:rsidRPr="00EE2DE7" w:rsidRDefault="001972A7" w:rsidP="005C2687">
      <w:pPr>
        <w:numPr>
          <w:ilvl w:val="0"/>
          <w:numId w:val="17"/>
        </w:numPr>
        <w:spacing w:line="276" w:lineRule="auto"/>
        <w:jc w:val="both"/>
        <w:rPr>
          <w:rFonts w:eastAsia="Calibri"/>
          <w:kern w:val="24"/>
          <w:szCs w:val="23"/>
        </w:rPr>
      </w:pPr>
      <w:r w:rsidRPr="00EE2DE7">
        <w:rPr>
          <w:rFonts w:eastAsia="Calibri"/>
          <w:kern w:val="24"/>
          <w:szCs w:val="23"/>
        </w:rPr>
        <w:t xml:space="preserve">Kandidatët për gjyqtarë në Gjykatën e Rrethit Gjyqësor Tiranë, të ndarë në Dhomën Civile dhe Penale, në periudha të ndryshme, Gjykatën Administrative të shkallës së parë Tiranë;  </w:t>
      </w:r>
    </w:p>
    <w:p w:rsidR="00B02831" w:rsidRPr="001972A7" w:rsidRDefault="001972A7" w:rsidP="005C2687">
      <w:pPr>
        <w:numPr>
          <w:ilvl w:val="0"/>
          <w:numId w:val="17"/>
        </w:numPr>
        <w:spacing w:line="276" w:lineRule="auto"/>
        <w:jc w:val="both"/>
        <w:rPr>
          <w:rFonts w:eastAsia="Calibri"/>
          <w:kern w:val="24"/>
          <w:szCs w:val="23"/>
        </w:rPr>
      </w:pPr>
      <w:r w:rsidRPr="00EE2DE7">
        <w:rPr>
          <w:rFonts w:eastAsia="Calibri"/>
          <w:kern w:val="24"/>
          <w:szCs w:val="23"/>
        </w:rPr>
        <w:t xml:space="preserve">Kandidatët për prokurorë, në Prokurorinë e Rrethit Gjyqësor Tiranë. </w:t>
      </w:r>
    </w:p>
    <w:p w:rsidR="00B02831" w:rsidRPr="00036DBB" w:rsidRDefault="00B02831" w:rsidP="00036DBB">
      <w:pPr>
        <w:spacing w:line="276" w:lineRule="auto"/>
        <w:ind w:right="26"/>
        <w:jc w:val="both"/>
        <w:rPr>
          <w:rFonts w:eastAsia="Tw Cen MT"/>
        </w:rPr>
      </w:pPr>
    </w:p>
    <w:p w:rsidR="00B02831" w:rsidRPr="00036DBB" w:rsidRDefault="001972A7" w:rsidP="00036DBB">
      <w:pPr>
        <w:spacing w:line="276" w:lineRule="auto"/>
        <w:ind w:right="26"/>
        <w:jc w:val="both"/>
        <w:rPr>
          <w:rFonts w:eastAsia="Tw Cen MT"/>
        </w:rPr>
      </w:pPr>
      <w:r w:rsidRPr="001972A7">
        <w:rPr>
          <w:rFonts w:eastAsia="Tw Cen MT"/>
          <w:noProof/>
          <w:lang w:eastAsia="en-US"/>
        </w:rPr>
        <w:drawing>
          <wp:inline distT="0" distB="0" distL="0" distR="0">
            <wp:extent cx="3032760" cy="1557973"/>
            <wp:effectExtent l="19050" t="0" r="0" b="0"/>
            <wp:docPr id="14" name="Picture 1" descr="Description: Trajnim me Euralius per Mentoret e Stazhit Profesional te vitit te tret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Trajnim me Euralius per Mentoret e Stazhit Profesional te vitit te trete 7"/>
                    <pic:cNvPicPr>
                      <a:picLocks noChangeAspect="1" noChangeArrowheads="1"/>
                    </pic:cNvPicPr>
                  </pic:nvPicPr>
                  <pic:blipFill>
                    <a:blip r:embed="rId17" cstate="print">
                      <a:lum bright="10000" contrast="10000"/>
                      <a:extLst>
                        <a:ext uri="{28A0092B-C50C-407E-A947-70E740481C1C}">
                          <a14:useLocalDpi xmlns:a14="http://schemas.microsoft.com/office/drawing/2010/main" val="0"/>
                        </a:ext>
                      </a:extLst>
                    </a:blip>
                    <a:srcRect t="23254"/>
                    <a:stretch>
                      <a:fillRect/>
                    </a:stretch>
                  </pic:blipFill>
                  <pic:spPr bwMode="auto">
                    <a:xfrm>
                      <a:off x="0" y="0"/>
                      <a:ext cx="3032760" cy="1557973"/>
                    </a:xfrm>
                    <a:prstGeom prst="rect">
                      <a:avLst/>
                    </a:prstGeom>
                    <a:noFill/>
                    <a:ln>
                      <a:noFill/>
                    </a:ln>
                  </pic:spPr>
                </pic:pic>
              </a:graphicData>
            </a:graphic>
          </wp:inline>
        </w:drawing>
      </w:r>
    </w:p>
    <w:p w:rsidR="00B02831" w:rsidRPr="00036DBB" w:rsidRDefault="001972A7" w:rsidP="00036DBB">
      <w:pPr>
        <w:spacing w:line="276" w:lineRule="auto"/>
        <w:ind w:right="26"/>
        <w:jc w:val="both"/>
        <w:rPr>
          <w:rFonts w:eastAsia="Tw Cen MT"/>
        </w:rPr>
      </w:pPr>
      <w:r>
        <w:rPr>
          <w:rFonts w:eastAsia="MS Mincho"/>
          <w:i/>
          <w:kern w:val="24"/>
          <w:szCs w:val="20"/>
        </w:rPr>
        <w:t xml:space="preserve">  Figura nr.7 </w:t>
      </w:r>
      <w:r w:rsidRPr="001972A7">
        <w:rPr>
          <w:rFonts w:eastAsia="MS Mincho"/>
          <w:i/>
          <w:kern w:val="24"/>
          <w:sz w:val="20"/>
          <w:szCs w:val="20"/>
        </w:rPr>
        <w:t>Trajnim për mentorët, Shkolla e Magjistraturës në bashkëpunim me EURALIUS-in, 7 korrik 2017</w:t>
      </w:r>
    </w:p>
    <w:p w:rsidR="00B02831" w:rsidRPr="00036DBB" w:rsidRDefault="00B02831" w:rsidP="00036DBB">
      <w:pPr>
        <w:spacing w:line="276" w:lineRule="auto"/>
        <w:ind w:right="26"/>
        <w:jc w:val="both"/>
        <w:rPr>
          <w:rFonts w:eastAsia="Tw Cen MT"/>
        </w:rPr>
      </w:pPr>
    </w:p>
    <w:p w:rsidR="00EF53DA" w:rsidRPr="00EE2DE7" w:rsidRDefault="00EF53DA" w:rsidP="00EF53DA">
      <w:pPr>
        <w:spacing w:after="200" w:line="276" w:lineRule="auto"/>
        <w:jc w:val="both"/>
        <w:rPr>
          <w:rFonts w:eastAsia="MS Mincho"/>
          <w:b/>
          <w:kern w:val="24"/>
        </w:rPr>
      </w:pPr>
      <w:r w:rsidRPr="00EE2DE7">
        <w:rPr>
          <w:rFonts w:eastAsia="MS Mincho"/>
          <w:b/>
          <w:kern w:val="24"/>
          <w:lang w:eastAsia="en-GB"/>
        </w:rPr>
        <w:t xml:space="preserve">Vlerësimi në </w:t>
      </w:r>
      <w:r w:rsidRPr="00EE2DE7">
        <w:rPr>
          <w:rFonts w:eastAsia="MS Mincho"/>
          <w:b/>
          <w:kern w:val="24"/>
        </w:rPr>
        <w:t>vitin e tretë</w:t>
      </w:r>
      <w:r w:rsidRPr="00EE2DE7">
        <w:rPr>
          <w:rFonts w:eastAsia="MS Mincho"/>
          <w:b/>
          <w:kern w:val="24"/>
          <w:vertAlign w:val="superscript"/>
        </w:rPr>
        <w:footnoteReference w:id="2"/>
      </w:r>
    </w:p>
    <w:p w:rsidR="00EF53DA" w:rsidRPr="0034124F" w:rsidRDefault="00EF53DA" w:rsidP="005C2687">
      <w:pPr>
        <w:pStyle w:val="ListParagraph"/>
        <w:numPr>
          <w:ilvl w:val="0"/>
          <w:numId w:val="21"/>
        </w:numPr>
        <w:autoSpaceDE w:val="0"/>
        <w:autoSpaceDN w:val="0"/>
        <w:adjustRightInd w:val="0"/>
        <w:spacing w:line="276" w:lineRule="auto"/>
        <w:ind w:right="237"/>
        <w:jc w:val="both"/>
        <w:rPr>
          <w:rFonts w:eastAsia="MS Mincho"/>
        </w:rPr>
      </w:pPr>
      <w:r w:rsidRPr="0034124F">
        <w:rPr>
          <w:rFonts w:eastAsia="MS Mincho"/>
        </w:rPr>
        <w:lastRenderedPageBreak/>
        <w:t>Në vitin e tretë, vlerësimi i kandidatëve magjistratë u krye nga magjistrati udhëheqës.</w:t>
      </w:r>
    </w:p>
    <w:p w:rsidR="00EF53DA" w:rsidRPr="00EE2DE7" w:rsidRDefault="00EF53DA" w:rsidP="00EF53DA">
      <w:pPr>
        <w:autoSpaceDE w:val="0"/>
        <w:autoSpaceDN w:val="0"/>
        <w:adjustRightInd w:val="0"/>
        <w:spacing w:line="276" w:lineRule="auto"/>
        <w:ind w:right="237"/>
        <w:jc w:val="both"/>
        <w:rPr>
          <w:rFonts w:eastAsia="MS Mincho"/>
          <w:kern w:val="24"/>
        </w:rPr>
      </w:pPr>
      <w:r w:rsidRPr="00EE2DE7">
        <w:rPr>
          <w:rFonts w:eastAsia="MS Mincho"/>
          <w:kern w:val="24"/>
        </w:rPr>
        <w:t xml:space="preserve">Magjistrati udhëheqës bëri vlerësimin etik dhe profesional, si dhe të cilësisë së kandidatëve për magjistratë, me qëllim garantimin e një formimi sa më të mirë të tyre. </w:t>
      </w:r>
    </w:p>
    <w:p w:rsidR="00EF53DA" w:rsidRPr="0034124F" w:rsidRDefault="00EF53DA" w:rsidP="005C2687">
      <w:pPr>
        <w:pStyle w:val="ListParagraph"/>
        <w:numPr>
          <w:ilvl w:val="0"/>
          <w:numId w:val="21"/>
        </w:numPr>
        <w:autoSpaceDE w:val="0"/>
        <w:autoSpaceDN w:val="0"/>
        <w:adjustRightInd w:val="0"/>
        <w:spacing w:line="276" w:lineRule="auto"/>
        <w:ind w:right="237"/>
        <w:jc w:val="both"/>
        <w:rPr>
          <w:rFonts w:eastAsia="MS Mincho"/>
        </w:rPr>
      </w:pPr>
      <w:r w:rsidRPr="0034124F">
        <w:rPr>
          <w:rFonts w:eastAsia="MS Mincho"/>
        </w:rPr>
        <w:t>Kriteret e vlerësimit bëhen në bazë të kritereve të pë</w:t>
      </w:r>
      <w:r>
        <w:rPr>
          <w:rFonts w:eastAsia="MS Mincho"/>
        </w:rPr>
        <w:t>rcaktuara në nenin 71 të ligjit nr.</w:t>
      </w:r>
      <w:r w:rsidRPr="0034124F">
        <w:rPr>
          <w:rFonts w:eastAsia="MS Mincho"/>
        </w:rPr>
        <w:t>96/2016, “</w:t>
      </w:r>
      <w:r w:rsidRPr="0034124F">
        <w:rPr>
          <w:rFonts w:eastAsia="MS Mincho"/>
          <w:i/>
        </w:rPr>
        <w:t>Për statusin e gjyqtarit dhe prokurorit në Republikën e Shqipërisë</w:t>
      </w:r>
      <w:r w:rsidRPr="0034124F">
        <w:rPr>
          <w:rFonts w:eastAsia="MS Mincho"/>
        </w:rPr>
        <w:t>”:</w:t>
      </w:r>
    </w:p>
    <w:p w:rsidR="00EF53DA" w:rsidRPr="00EE2DE7" w:rsidRDefault="00EF53DA" w:rsidP="00EF53DA">
      <w:pPr>
        <w:autoSpaceDE w:val="0"/>
        <w:autoSpaceDN w:val="0"/>
        <w:adjustRightInd w:val="0"/>
        <w:spacing w:line="276" w:lineRule="auto"/>
        <w:ind w:left="567" w:right="237"/>
        <w:jc w:val="both"/>
        <w:rPr>
          <w:rFonts w:eastAsia="MS Mincho"/>
          <w:kern w:val="24"/>
        </w:rPr>
      </w:pPr>
      <w:r w:rsidRPr="00EE2DE7">
        <w:rPr>
          <w:rFonts w:eastAsia="MS Mincho"/>
          <w:kern w:val="24"/>
        </w:rPr>
        <w:t>a) aftësitë profesionale të gjyqtarit dhe prokurorit;</w:t>
      </w:r>
    </w:p>
    <w:p w:rsidR="00EF53DA" w:rsidRPr="00EE2DE7" w:rsidRDefault="00EF53DA" w:rsidP="00EF53DA">
      <w:pPr>
        <w:autoSpaceDE w:val="0"/>
        <w:autoSpaceDN w:val="0"/>
        <w:adjustRightInd w:val="0"/>
        <w:spacing w:line="276" w:lineRule="auto"/>
        <w:ind w:left="567" w:right="237"/>
        <w:jc w:val="both"/>
        <w:rPr>
          <w:rFonts w:eastAsia="MS Mincho"/>
          <w:kern w:val="24"/>
        </w:rPr>
      </w:pPr>
      <w:r w:rsidRPr="00EE2DE7">
        <w:rPr>
          <w:rFonts w:eastAsia="MS Mincho"/>
          <w:kern w:val="24"/>
        </w:rPr>
        <w:t>b) aftësitë organizative;</w:t>
      </w:r>
    </w:p>
    <w:p w:rsidR="00EF53DA" w:rsidRPr="00EE2DE7" w:rsidRDefault="00EF53DA" w:rsidP="00EF53DA">
      <w:pPr>
        <w:autoSpaceDE w:val="0"/>
        <w:autoSpaceDN w:val="0"/>
        <w:adjustRightInd w:val="0"/>
        <w:spacing w:line="276" w:lineRule="auto"/>
        <w:ind w:left="567" w:right="237"/>
        <w:jc w:val="both"/>
        <w:rPr>
          <w:rFonts w:eastAsia="MS Mincho"/>
          <w:kern w:val="24"/>
        </w:rPr>
      </w:pPr>
      <w:r w:rsidRPr="00EE2DE7">
        <w:rPr>
          <w:rFonts w:eastAsia="MS Mincho"/>
          <w:kern w:val="24"/>
        </w:rPr>
        <w:t>c) etika dhe angazhimi ndaj vlerave profesionale të gjyqtarit dhe prokurorit;</w:t>
      </w:r>
    </w:p>
    <w:p w:rsidR="00EF53DA" w:rsidRPr="007105F6" w:rsidRDefault="00EF53DA" w:rsidP="00EF53DA">
      <w:pPr>
        <w:autoSpaceDE w:val="0"/>
        <w:autoSpaceDN w:val="0"/>
        <w:adjustRightInd w:val="0"/>
        <w:spacing w:line="276" w:lineRule="auto"/>
        <w:ind w:left="567" w:right="237"/>
        <w:jc w:val="both"/>
        <w:rPr>
          <w:rFonts w:eastAsia="MS Mincho"/>
          <w:kern w:val="24"/>
        </w:rPr>
      </w:pPr>
      <w:r w:rsidRPr="00EE2DE7">
        <w:rPr>
          <w:rFonts w:eastAsia="MS Mincho"/>
          <w:kern w:val="24"/>
        </w:rPr>
        <w:t>ç) aftësitë personale dhe angazhimi profesional.</w:t>
      </w:r>
    </w:p>
    <w:p w:rsidR="00EF53DA" w:rsidRPr="0034124F" w:rsidRDefault="00EF53DA" w:rsidP="005C2687">
      <w:pPr>
        <w:pStyle w:val="ListParagraph"/>
        <w:numPr>
          <w:ilvl w:val="0"/>
          <w:numId w:val="21"/>
        </w:numPr>
        <w:spacing w:line="276" w:lineRule="auto"/>
        <w:ind w:right="283"/>
        <w:jc w:val="both"/>
        <w:rPr>
          <w:rFonts w:eastAsia="Tw Cen MT"/>
        </w:rPr>
      </w:pPr>
      <w:r w:rsidRPr="0034124F">
        <w:rPr>
          <w:rFonts w:eastAsia="Tw Cen MT"/>
        </w:rPr>
        <w:t xml:space="preserve">Vlerësimi i kandidatëve për magjistratë bëhet sipas kategorive që vijojnë: </w:t>
      </w:r>
    </w:p>
    <w:p w:rsidR="00EF53DA" w:rsidRPr="00EE2DE7" w:rsidRDefault="00EF53DA" w:rsidP="00EF53DA">
      <w:pPr>
        <w:spacing w:line="276" w:lineRule="auto"/>
        <w:ind w:left="567" w:right="283"/>
        <w:jc w:val="both"/>
        <w:rPr>
          <w:rFonts w:eastAsia="Tw Cen MT"/>
          <w:kern w:val="24"/>
        </w:rPr>
      </w:pPr>
      <w:r w:rsidRPr="00EE2DE7">
        <w:rPr>
          <w:rFonts w:eastAsia="Tw Cen MT"/>
          <w:kern w:val="24"/>
        </w:rPr>
        <w:t xml:space="preserve">a) “shkëlqyeshëm”, në rast të një performance etike dhe profesionale jashtëzakonisht të mirë; </w:t>
      </w:r>
    </w:p>
    <w:p w:rsidR="00EF53DA" w:rsidRPr="00EE2DE7" w:rsidRDefault="00EF53DA" w:rsidP="00EF53DA">
      <w:pPr>
        <w:spacing w:line="276" w:lineRule="auto"/>
        <w:ind w:left="567" w:right="283"/>
        <w:jc w:val="both"/>
        <w:rPr>
          <w:rFonts w:eastAsia="Tw Cen MT"/>
          <w:kern w:val="24"/>
        </w:rPr>
      </w:pPr>
      <w:r w:rsidRPr="00EE2DE7">
        <w:rPr>
          <w:rFonts w:eastAsia="Tw Cen MT"/>
          <w:kern w:val="24"/>
        </w:rPr>
        <w:t xml:space="preserve">b) “shumë mirë”, në rast të një performance etike dhe profesionale mbi mesataren; </w:t>
      </w:r>
    </w:p>
    <w:p w:rsidR="00EF53DA" w:rsidRPr="00EE2DE7" w:rsidRDefault="00EF53DA" w:rsidP="00EF53DA">
      <w:pPr>
        <w:spacing w:line="276" w:lineRule="auto"/>
        <w:ind w:left="567" w:right="283"/>
        <w:jc w:val="both"/>
        <w:rPr>
          <w:rFonts w:eastAsia="Tw Cen MT"/>
          <w:kern w:val="24"/>
        </w:rPr>
      </w:pPr>
      <w:r w:rsidRPr="00EE2DE7">
        <w:rPr>
          <w:rFonts w:eastAsia="Tw Cen MT"/>
          <w:kern w:val="24"/>
        </w:rPr>
        <w:t xml:space="preserve">c) “mirë”, në rast të një performance etike dhe profesionale mesatare; </w:t>
      </w:r>
    </w:p>
    <w:p w:rsidR="00EF53DA" w:rsidRPr="00EE2DE7" w:rsidRDefault="00EF53DA" w:rsidP="00EF53DA">
      <w:pPr>
        <w:spacing w:line="276" w:lineRule="auto"/>
        <w:ind w:left="567" w:right="283"/>
        <w:jc w:val="both"/>
        <w:rPr>
          <w:rFonts w:eastAsia="Tw Cen MT"/>
          <w:kern w:val="24"/>
        </w:rPr>
      </w:pPr>
      <w:r w:rsidRPr="00EE2DE7">
        <w:rPr>
          <w:rFonts w:eastAsia="Tw Cen MT"/>
          <w:kern w:val="24"/>
        </w:rPr>
        <w:t xml:space="preserve">ç) “mjaftueshëm”, në rast të një performance etike dhe profesionale nën mesataren; </w:t>
      </w:r>
    </w:p>
    <w:p w:rsidR="00EF53DA" w:rsidRPr="00EE2DE7" w:rsidRDefault="00EF53DA" w:rsidP="00EF53DA">
      <w:pPr>
        <w:spacing w:line="276" w:lineRule="auto"/>
        <w:ind w:left="567" w:right="283"/>
        <w:jc w:val="both"/>
        <w:rPr>
          <w:rFonts w:eastAsia="Tw Cen MT"/>
          <w:kern w:val="24"/>
        </w:rPr>
      </w:pPr>
      <w:r w:rsidRPr="00EE2DE7">
        <w:rPr>
          <w:rFonts w:eastAsia="Tw Cen MT"/>
          <w:kern w:val="24"/>
        </w:rPr>
        <w:t xml:space="preserve">d) “i pamjaftueshëm”, në rast të një performance etike dhe profesionale jashtëzakonisht të dobët. </w:t>
      </w:r>
    </w:p>
    <w:p w:rsidR="00EF53DA" w:rsidRPr="00D3591C" w:rsidRDefault="00EF53DA" w:rsidP="005C2687">
      <w:pPr>
        <w:pStyle w:val="ListParagraph"/>
        <w:numPr>
          <w:ilvl w:val="0"/>
          <w:numId w:val="22"/>
        </w:numPr>
        <w:spacing w:line="276" w:lineRule="auto"/>
        <w:ind w:right="283"/>
        <w:jc w:val="both"/>
      </w:pPr>
      <w:r w:rsidRPr="00D3591C">
        <w:t xml:space="preserve">Vlerësimi i përgjithshëm “shkëlqyeshëm” jepet në ato raste kur magjistrati është vlerësuar “shkëlqyeshëm” për të katërta kriteret. </w:t>
      </w:r>
    </w:p>
    <w:p w:rsidR="00EF53DA" w:rsidRPr="00D3591C" w:rsidRDefault="00EF53DA" w:rsidP="005C2687">
      <w:pPr>
        <w:pStyle w:val="ListParagraph"/>
        <w:numPr>
          <w:ilvl w:val="0"/>
          <w:numId w:val="22"/>
        </w:numPr>
        <w:spacing w:line="276" w:lineRule="auto"/>
        <w:ind w:right="283"/>
        <w:jc w:val="both"/>
      </w:pPr>
      <w:r w:rsidRPr="00D3591C">
        <w:t xml:space="preserve">Vlerësimi i përgjithshëm “shumë mirë” jepet vetëm në ato raste kur magjistrati </w:t>
      </w:r>
      <w:r w:rsidRPr="00D3591C">
        <w:t xml:space="preserve">vlerësohet “shumë mirë” për tri kritere dhe “mirë” për njërin prej tyre dhe, në çdo rast, nëse kryetari i gjykatës nuk ka dhënë për gjyqtarin vlerësimin përfundimtar “i pamjaftueshëm”. Në çdo rast, kriteret “aftësitë profesionale të gjyqtarit dhe prokurorit” dhe “etika dhe angazhimi ndaj vlerave të gjyqësorit dhe të prokurorisë” duhet të jenë vlerësuar “shumë mirë”. </w:t>
      </w:r>
    </w:p>
    <w:p w:rsidR="00EF53DA" w:rsidRPr="00D3591C" w:rsidRDefault="00EF53DA" w:rsidP="005C2687">
      <w:pPr>
        <w:pStyle w:val="ListParagraph"/>
        <w:numPr>
          <w:ilvl w:val="0"/>
          <w:numId w:val="22"/>
        </w:numPr>
        <w:spacing w:line="276" w:lineRule="auto"/>
        <w:ind w:right="283"/>
        <w:jc w:val="both"/>
      </w:pPr>
      <w:r w:rsidRPr="00D3591C">
        <w:t xml:space="preserve">Vlerësimi i përgjithshëm “mirë” jepet në rastin kur aftësitë e magjistratit vlerësohen “mirë” për dy kritere dhe “mjaftueshëm” për dy kriteret e tjera. I njëjti rregull zbatohet edhe në rastin kur ka barazi në vlerësimin e kritereve në nivelet “mjaftueshëm” dhe “i pamjaftueshëm”, me përjashtim të rastit kur parashikohet ndryshe në pikën 3, të këtij neni. Në çdo rast, kriteret “aftësitë gjyqësore ose të prokurorisë” dhe “etika dhe përkushtimi ndaj vlerave të gjyqësorit ose të prokurorisë” duhet të vlerësohen të paktën “shumë mirë”. </w:t>
      </w:r>
    </w:p>
    <w:p w:rsidR="00EF53DA" w:rsidRPr="00EF53DA" w:rsidRDefault="00EF53DA" w:rsidP="005C2687">
      <w:pPr>
        <w:pStyle w:val="ListParagraph"/>
        <w:numPr>
          <w:ilvl w:val="0"/>
          <w:numId w:val="22"/>
        </w:numPr>
        <w:spacing w:line="276" w:lineRule="auto"/>
        <w:ind w:right="283"/>
        <w:jc w:val="both"/>
      </w:pPr>
      <w:r w:rsidRPr="00D3591C">
        <w:t>Vlerësimi i përgjithshëm “i pamjaftueshëm” jepet në këto raste: a) kur magjistrati vlerësohet “i pamjaftueshëm” për të paktën në 3 kritere; b) kur magjistrati vlerësohet “i pamjaftueshëm” për kriteret “aftësitë profesionale të gjyqtarit dhe prokurorit” dhe “etika dhe angazhimi ndaj vlerave të gjyqësorit ose të prokurorisë” dhe jo më shumë se “mirë” për dy kriteret e tjera. Në çdo rast, vlerësimi “i pamjaftueshëm” nuk i jepet magjistratit nëse kryetari i gjykatës e ka vlerësuar magjistratin “shumë mirë”.</w:t>
      </w:r>
    </w:p>
    <w:p w:rsidR="00EF53DA" w:rsidRPr="0034124F" w:rsidRDefault="00EF53DA" w:rsidP="005C2687">
      <w:pPr>
        <w:pStyle w:val="ListParagraph"/>
        <w:numPr>
          <w:ilvl w:val="0"/>
          <w:numId w:val="21"/>
        </w:numPr>
        <w:spacing w:line="276" w:lineRule="auto"/>
        <w:ind w:right="283"/>
        <w:jc w:val="both"/>
        <w:rPr>
          <w:rFonts w:eastAsia="Tw Cen MT"/>
        </w:rPr>
      </w:pPr>
      <w:r w:rsidRPr="0034124F">
        <w:rPr>
          <w:rFonts w:eastAsia="Tw Cen MT"/>
        </w:rPr>
        <w:t xml:space="preserve">Vlerësimi për secilin kandidat për magjistrat bëhet nga tre magjistratë udhëheqës, përkatësisht sipas </w:t>
      </w:r>
      <w:r w:rsidRPr="0034124F">
        <w:rPr>
          <w:rFonts w:eastAsia="Tw Cen MT"/>
        </w:rPr>
        <w:lastRenderedPageBreak/>
        <w:t>periudhave katër mujore në të cilat realizohet praktika profesionale. Çdo magjistrat udhëheqës vlerëson me 100 pikë kandidatin për magjistrat, në bazë të kritereve dhe niveleve të përcaktuara në ligjin, “</w:t>
      </w:r>
      <w:r w:rsidRPr="0034124F">
        <w:rPr>
          <w:rFonts w:eastAsia="Tw Cen MT"/>
          <w:i/>
        </w:rPr>
        <w:t>Për statusin e gjyqtarëve dhe prokurorëve në Republikën e Shqipërisë</w:t>
      </w:r>
      <w:r w:rsidRPr="0034124F">
        <w:rPr>
          <w:rFonts w:eastAsia="Tw Cen MT"/>
        </w:rPr>
        <w:t>”. Në total vlerësimi i bërë nga tre magjistratët udhëheqës është 300 pikë.</w:t>
      </w:r>
    </w:p>
    <w:p w:rsidR="00EF53DA" w:rsidRPr="0034124F" w:rsidRDefault="00EF53DA" w:rsidP="005C2687">
      <w:pPr>
        <w:pStyle w:val="ListParagraph"/>
        <w:numPr>
          <w:ilvl w:val="0"/>
          <w:numId w:val="21"/>
        </w:numPr>
        <w:spacing w:line="276" w:lineRule="auto"/>
        <w:ind w:right="283"/>
        <w:jc w:val="both"/>
        <w:rPr>
          <w:rFonts w:eastAsia="Tw Cen MT"/>
        </w:rPr>
      </w:pPr>
      <w:r w:rsidRPr="0034124F">
        <w:rPr>
          <w:rFonts w:eastAsia="Tw Cen MT"/>
        </w:rPr>
        <w:t>Llogaritja e pikëve finale për çdo nivel të çdo kandidati del si rezultat i shumëzimit të shumës së tri vlerësimeve të magjistratëve udhëheqës me koeficientin e vështirësisë 2:</w:t>
      </w:r>
      <w:r w:rsidRPr="0034124F">
        <w:rPr>
          <w:rFonts w:eastAsia="Tw Cen MT"/>
        </w:rPr>
        <w:tab/>
      </w:r>
      <w:r w:rsidRPr="0034124F">
        <w:rPr>
          <w:rFonts w:eastAsia="Tw Cen MT"/>
        </w:rPr>
        <w:tab/>
      </w:r>
    </w:p>
    <w:p w:rsidR="00EF53DA" w:rsidRPr="00EE2DE7" w:rsidRDefault="00EF53DA" w:rsidP="00EF53DA">
      <w:pPr>
        <w:spacing w:line="276" w:lineRule="auto"/>
        <w:ind w:right="283"/>
        <w:jc w:val="both"/>
        <w:rPr>
          <w:rFonts w:eastAsia="Tw Cen MT"/>
          <w:kern w:val="24"/>
        </w:rPr>
      </w:pPr>
      <w:r w:rsidRPr="00EE2DE7">
        <w:rPr>
          <w:rFonts w:eastAsia="Tw Cen MT"/>
          <w:kern w:val="24"/>
        </w:rPr>
        <w:t>Niveli “</w:t>
      </w:r>
      <w:r w:rsidRPr="007105F6">
        <w:rPr>
          <w:rFonts w:eastAsia="Tw Cen MT"/>
          <w:i/>
          <w:kern w:val="24"/>
        </w:rPr>
        <w:t>Shkëlqyeshëm</w:t>
      </w:r>
      <w:r w:rsidRPr="00EE2DE7">
        <w:rPr>
          <w:rFonts w:eastAsia="Tw Cen MT"/>
          <w:kern w:val="24"/>
        </w:rPr>
        <w:t>” është 300 (treqind) pikë, i ponderuar me koeficientin 2=600 pikë;</w:t>
      </w:r>
    </w:p>
    <w:p w:rsidR="00EF53DA" w:rsidRPr="00EE2DE7" w:rsidRDefault="00EF53DA" w:rsidP="00EF53DA">
      <w:pPr>
        <w:spacing w:line="276" w:lineRule="auto"/>
        <w:ind w:right="283"/>
        <w:jc w:val="both"/>
        <w:rPr>
          <w:rFonts w:eastAsia="Tw Cen MT"/>
          <w:kern w:val="24"/>
        </w:rPr>
      </w:pPr>
      <w:r w:rsidRPr="00EE2DE7">
        <w:rPr>
          <w:rFonts w:eastAsia="Tw Cen MT"/>
          <w:kern w:val="24"/>
        </w:rPr>
        <w:t>Niveli “</w:t>
      </w:r>
      <w:r w:rsidRPr="007105F6">
        <w:rPr>
          <w:rFonts w:eastAsia="Tw Cen MT"/>
          <w:i/>
          <w:kern w:val="24"/>
        </w:rPr>
        <w:t>Shumë mirë</w:t>
      </w:r>
      <w:r w:rsidRPr="00EE2DE7">
        <w:rPr>
          <w:rFonts w:eastAsia="Tw Cen MT"/>
          <w:kern w:val="24"/>
        </w:rPr>
        <w:t xml:space="preserve">” </w:t>
      </w:r>
      <w:r w:rsidRPr="00EE2DE7">
        <w:rPr>
          <w:rFonts w:eastAsia="Tw Cen MT"/>
          <w:kern w:val="24"/>
        </w:rPr>
        <w:tab/>
        <w:t xml:space="preserve">është 270-299 (dyqind e shtatëdhjetë deri në dyqind e nëntëdhjetë e nëntë) pikë, i ponderuar me koeficientin 2=540-598 pikë; </w:t>
      </w:r>
    </w:p>
    <w:p w:rsidR="00EF53DA" w:rsidRPr="00EE2DE7" w:rsidRDefault="00EF53DA" w:rsidP="00EF53DA">
      <w:pPr>
        <w:spacing w:line="276" w:lineRule="auto"/>
        <w:ind w:right="283"/>
        <w:jc w:val="both"/>
        <w:rPr>
          <w:rFonts w:eastAsia="Tw Cen MT"/>
          <w:kern w:val="24"/>
        </w:rPr>
      </w:pPr>
      <w:r w:rsidRPr="00EE2DE7">
        <w:rPr>
          <w:rFonts w:eastAsia="Tw Cen MT"/>
          <w:kern w:val="24"/>
        </w:rPr>
        <w:t>Niveli “</w:t>
      </w:r>
      <w:r w:rsidRPr="007105F6">
        <w:rPr>
          <w:rFonts w:eastAsia="Tw Cen MT"/>
          <w:i/>
          <w:kern w:val="24"/>
        </w:rPr>
        <w:t>Mirë</w:t>
      </w:r>
      <w:r w:rsidRPr="00EE2DE7">
        <w:rPr>
          <w:rFonts w:eastAsia="Tw Cen MT"/>
          <w:kern w:val="24"/>
        </w:rPr>
        <w:t xml:space="preserve">” është 210-269 (dyqind e dhjetë deri në dy qind e gjashtëdhjetë e nëntë pikë), i ponderuar me koeficientin 2=420-538 pikë; </w:t>
      </w:r>
    </w:p>
    <w:p w:rsidR="00EF53DA" w:rsidRPr="00EE2DE7" w:rsidRDefault="00EF53DA" w:rsidP="00EF53DA">
      <w:pPr>
        <w:spacing w:line="276" w:lineRule="auto"/>
        <w:ind w:right="283"/>
        <w:jc w:val="both"/>
        <w:rPr>
          <w:rFonts w:eastAsia="Tw Cen MT"/>
          <w:kern w:val="24"/>
        </w:rPr>
      </w:pPr>
      <w:r w:rsidRPr="00EE2DE7">
        <w:rPr>
          <w:rFonts w:eastAsia="Tw Cen MT"/>
          <w:kern w:val="24"/>
        </w:rPr>
        <w:t>Niveli “</w:t>
      </w:r>
      <w:r w:rsidRPr="007105F6">
        <w:rPr>
          <w:rFonts w:eastAsia="Tw Cen MT"/>
          <w:i/>
          <w:kern w:val="24"/>
        </w:rPr>
        <w:t>Mjaftueshëm</w:t>
      </w:r>
      <w:r w:rsidRPr="00EE2DE7">
        <w:rPr>
          <w:rFonts w:eastAsia="Tw Cen MT"/>
          <w:kern w:val="24"/>
        </w:rPr>
        <w:t>” është 150-219 (njëqind e pesëdhjetë deri në dyqind e nëntëmbëdhjetë) pikë, i ponderuar me koeficientin 2 = 300-418;</w:t>
      </w:r>
    </w:p>
    <w:p w:rsidR="00EF53DA" w:rsidRDefault="00EF53DA" w:rsidP="00EF53DA">
      <w:pPr>
        <w:spacing w:line="276" w:lineRule="auto"/>
        <w:ind w:right="283"/>
        <w:jc w:val="both"/>
        <w:rPr>
          <w:rFonts w:eastAsia="Tw Cen MT"/>
          <w:kern w:val="24"/>
        </w:rPr>
      </w:pPr>
      <w:r w:rsidRPr="00EE2DE7">
        <w:rPr>
          <w:rFonts w:eastAsia="Tw Cen MT"/>
          <w:kern w:val="24"/>
        </w:rPr>
        <w:t>Niveli “</w:t>
      </w:r>
      <w:r w:rsidRPr="007105F6">
        <w:rPr>
          <w:rFonts w:eastAsia="Tw Cen MT"/>
          <w:i/>
          <w:kern w:val="24"/>
        </w:rPr>
        <w:t>I pamjaftueshëm</w:t>
      </w:r>
      <w:r w:rsidRPr="00EE2DE7">
        <w:rPr>
          <w:rFonts w:eastAsia="Tw Cen MT"/>
          <w:kern w:val="24"/>
        </w:rPr>
        <w:t>” është 0 - 149 (zero deri në një qind e dyzetë e nëntë) pikë, i ponderuar me koeficientin 2=0-148.</w:t>
      </w:r>
    </w:p>
    <w:p w:rsidR="00EF53DA" w:rsidRPr="00D3591C" w:rsidRDefault="00EF53DA" w:rsidP="00EF53DA">
      <w:pPr>
        <w:spacing w:line="276" w:lineRule="auto"/>
        <w:ind w:right="283"/>
        <w:jc w:val="both"/>
        <w:rPr>
          <w:rFonts w:eastAsia="Tw Cen MT"/>
          <w:kern w:val="24"/>
        </w:rPr>
      </w:pPr>
    </w:p>
    <w:p w:rsidR="00EF53DA" w:rsidRPr="007105F6" w:rsidRDefault="00EF53DA" w:rsidP="00EF53DA">
      <w:pPr>
        <w:spacing w:line="276" w:lineRule="auto"/>
        <w:ind w:right="283"/>
        <w:contextualSpacing/>
        <w:jc w:val="both"/>
        <w:rPr>
          <w:rFonts w:eastAsia="Tw Cen MT"/>
          <w:b/>
          <w:kern w:val="24"/>
          <w:szCs w:val="28"/>
        </w:rPr>
      </w:pPr>
      <w:r w:rsidRPr="007105F6">
        <w:rPr>
          <w:rFonts w:eastAsia="Tw Cen MT"/>
          <w:b/>
          <w:kern w:val="24"/>
          <w:szCs w:val="28"/>
        </w:rPr>
        <w:t>Vlerësimi përfundimtar i kandidatëve për magjistratë</w:t>
      </w:r>
    </w:p>
    <w:p w:rsidR="00EF53DA" w:rsidRPr="00EE2DE7" w:rsidRDefault="00EF53DA" w:rsidP="00EF53DA">
      <w:pPr>
        <w:spacing w:line="276" w:lineRule="auto"/>
        <w:ind w:right="283"/>
        <w:jc w:val="both"/>
        <w:rPr>
          <w:rFonts w:eastAsia="Tw Cen MT"/>
          <w:kern w:val="24"/>
          <w:sz w:val="16"/>
          <w:szCs w:val="16"/>
        </w:rPr>
      </w:pPr>
    </w:p>
    <w:p w:rsidR="00EF53DA" w:rsidRPr="00EE2DE7" w:rsidRDefault="00EF53DA" w:rsidP="00EF53DA">
      <w:pPr>
        <w:spacing w:line="276" w:lineRule="auto"/>
        <w:ind w:right="283"/>
        <w:jc w:val="both"/>
        <w:rPr>
          <w:rFonts w:eastAsia="Tw Cen MT"/>
          <w:kern w:val="24"/>
        </w:rPr>
      </w:pPr>
      <w:r w:rsidRPr="00EE2DE7">
        <w:rPr>
          <w:rFonts w:eastAsia="Tw Cen MT"/>
          <w:b/>
          <w:kern w:val="24"/>
        </w:rPr>
        <w:t>1.</w:t>
      </w:r>
      <w:r>
        <w:rPr>
          <w:rFonts w:eastAsia="Tw Cen MT"/>
          <w:b/>
          <w:kern w:val="24"/>
        </w:rPr>
        <w:t xml:space="preserve"> </w:t>
      </w:r>
      <w:r w:rsidRPr="00EE2DE7">
        <w:rPr>
          <w:rFonts w:eastAsia="Tw Cen MT"/>
          <w:kern w:val="24"/>
        </w:rPr>
        <w:t xml:space="preserve"> Këshilli Pedagogjik me vendimin nr. 1, datë 26.6.2018, bëri vlerësimin përfundimtar për të tri vitet, në bazë të rezultateve të provimeve të vitit të parë, të rezultateve të vitit të dytë si dhe pikëve të vitit të tretë të stazhit profesional, sipas sistemit me 5 nivele, mbi bazën e një renditje përfundimtare të tyre me pikë.</w:t>
      </w:r>
    </w:p>
    <w:p w:rsidR="00EF53DA" w:rsidRPr="00EE2DE7" w:rsidRDefault="00EF53DA" w:rsidP="00EF53DA">
      <w:pPr>
        <w:spacing w:line="276" w:lineRule="auto"/>
        <w:ind w:right="283"/>
        <w:jc w:val="both"/>
        <w:rPr>
          <w:rFonts w:eastAsia="Tw Cen MT"/>
          <w:kern w:val="24"/>
        </w:rPr>
      </w:pPr>
      <w:r w:rsidRPr="00EE2DE7">
        <w:rPr>
          <w:rFonts w:eastAsia="Tw Cen MT"/>
          <w:b/>
          <w:kern w:val="24"/>
        </w:rPr>
        <w:t>2.</w:t>
      </w:r>
      <w:r w:rsidRPr="00EE2DE7">
        <w:rPr>
          <w:rFonts w:eastAsia="Tw Cen MT"/>
          <w:kern w:val="24"/>
        </w:rPr>
        <w:t xml:space="preserve"> Vlerësimi total i të gjithë komponentëve të vitit të parë, të dytë dhe të tretë u bë me vendim të Këshillit Pedagogjik në fund të vitit akademik dhe është shumatorja e:</w:t>
      </w:r>
    </w:p>
    <w:p w:rsidR="00EF53DA" w:rsidRPr="00EE2DE7" w:rsidRDefault="00EF53DA" w:rsidP="00EF53DA">
      <w:pPr>
        <w:spacing w:line="276" w:lineRule="auto"/>
        <w:ind w:left="426" w:right="283"/>
        <w:jc w:val="both"/>
        <w:rPr>
          <w:rFonts w:eastAsia="Tw Cen MT"/>
          <w:kern w:val="24"/>
        </w:rPr>
      </w:pPr>
      <w:r w:rsidRPr="00EE2DE7">
        <w:rPr>
          <w:rFonts w:eastAsia="Tw Cen MT"/>
          <w:kern w:val="24"/>
        </w:rPr>
        <w:t>a)</w:t>
      </w:r>
      <w:r w:rsidRPr="00EE2DE7">
        <w:rPr>
          <w:rFonts w:eastAsia="Tw Cen MT"/>
          <w:kern w:val="24"/>
        </w:rPr>
        <w:tab/>
        <w:t xml:space="preserve">2250 pikëve të vitit të parë; </w:t>
      </w:r>
    </w:p>
    <w:p w:rsidR="00EF53DA" w:rsidRPr="00EE2DE7" w:rsidRDefault="00EF53DA" w:rsidP="00EF53DA">
      <w:pPr>
        <w:spacing w:line="276" w:lineRule="auto"/>
        <w:ind w:left="426" w:right="283"/>
        <w:jc w:val="both"/>
        <w:rPr>
          <w:rFonts w:eastAsia="Tw Cen MT"/>
          <w:kern w:val="24"/>
        </w:rPr>
      </w:pPr>
      <w:r w:rsidRPr="00EE2DE7">
        <w:rPr>
          <w:rFonts w:eastAsia="Tw Cen MT"/>
          <w:kern w:val="24"/>
        </w:rPr>
        <w:t>b)</w:t>
      </w:r>
      <w:r w:rsidRPr="00EE2DE7">
        <w:rPr>
          <w:rFonts w:eastAsia="Tw Cen MT"/>
          <w:kern w:val="24"/>
        </w:rPr>
        <w:tab/>
        <w:t>1250 pikëve të vitit të dytë;</w:t>
      </w:r>
    </w:p>
    <w:p w:rsidR="00EF53DA" w:rsidRPr="00EE2DE7" w:rsidRDefault="00EF53DA" w:rsidP="00EF53DA">
      <w:pPr>
        <w:spacing w:line="276" w:lineRule="auto"/>
        <w:ind w:right="283" w:firstLine="142"/>
        <w:jc w:val="both"/>
        <w:rPr>
          <w:rFonts w:eastAsia="Tw Cen MT"/>
          <w:kern w:val="24"/>
        </w:rPr>
      </w:pPr>
      <w:r w:rsidRPr="00EE2DE7">
        <w:rPr>
          <w:rFonts w:eastAsia="Tw Cen MT"/>
          <w:kern w:val="24"/>
        </w:rPr>
        <w:t xml:space="preserve">     c) 600 pikë të vlerësimit të stazhit profesional të vitit të tretë, sipas Tabelës bashkëngjitur këtij dokumenti. Rezultati përfundimtar i vitit të tretë del pas shumëzimit të vlerësimit prej 300 pikësh me koeficientin 2.</w:t>
      </w:r>
    </w:p>
    <w:p w:rsidR="00EF53DA" w:rsidRPr="00EE2DE7" w:rsidRDefault="00EF53DA" w:rsidP="00EF53DA">
      <w:pPr>
        <w:spacing w:line="276" w:lineRule="auto"/>
        <w:ind w:right="283"/>
        <w:jc w:val="both"/>
        <w:rPr>
          <w:rFonts w:eastAsia="Tw Cen MT"/>
          <w:kern w:val="24"/>
        </w:rPr>
      </w:pPr>
    </w:p>
    <w:p w:rsidR="00EF53DA" w:rsidRPr="00A811C4" w:rsidRDefault="00EF53DA" w:rsidP="00EF53DA">
      <w:pPr>
        <w:spacing w:line="276" w:lineRule="auto"/>
        <w:ind w:right="283"/>
        <w:jc w:val="both"/>
        <w:rPr>
          <w:rFonts w:eastAsia="Tw Cen MT"/>
          <w:b/>
          <w:kern w:val="24"/>
        </w:rPr>
      </w:pPr>
      <w:r w:rsidRPr="00A811C4">
        <w:rPr>
          <w:rFonts w:eastAsia="Tw Cen MT"/>
          <w:b/>
          <w:kern w:val="24"/>
        </w:rPr>
        <w:t>Vlerësimi përfundimtar i përgjithshëm është 4250 pikë.</w:t>
      </w:r>
    </w:p>
    <w:p w:rsidR="00EF53DA" w:rsidRPr="00EE2DE7" w:rsidRDefault="00EF53DA" w:rsidP="00EF53DA">
      <w:pPr>
        <w:spacing w:line="276" w:lineRule="auto"/>
        <w:rPr>
          <w:rFonts w:eastAsia="MS Mincho"/>
          <w:b/>
          <w:kern w:val="24"/>
        </w:rPr>
      </w:pPr>
    </w:p>
    <w:p w:rsidR="00EF53DA" w:rsidRPr="00EE2DE7" w:rsidRDefault="00EF53DA" w:rsidP="00EF53DA">
      <w:pPr>
        <w:spacing w:line="276" w:lineRule="auto"/>
        <w:rPr>
          <w:rFonts w:eastAsia="MS Mincho"/>
          <w:b/>
          <w:kern w:val="24"/>
        </w:rPr>
      </w:pPr>
      <w:r w:rsidRPr="00EE2DE7">
        <w:rPr>
          <w:rFonts w:eastAsia="MS Mincho"/>
          <w:b/>
          <w:kern w:val="24"/>
        </w:rPr>
        <w:t xml:space="preserve">Klasifikimi i kandidatëve për magjistratë </w:t>
      </w:r>
    </w:p>
    <w:p w:rsidR="00EF53DA" w:rsidRPr="00EE2DE7" w:rsidRDefault="00EF53DA" w:rsidP="005C2687">
      <w:pPr>
        <w:numPr>
          <w:ilvl w:val="0"/>
          <w:numId w:val="19"/>
        </w:numPr>
        <w:spacing w:line="276" w:lineRule="auto"/>
        <w:jc w:val="both"/>
        <w:rPr>
          <w:rFonts w:eastAsia="Calibri"/>
          <w:kern w:val="24"/>
        </w:rPr>
      </w:pPr>
      <w:r w:rsidRPr="00EE2DE7">
        <w:rPr>
          <w:rFonts w:eastAsia="Arial Unicode MS"/>
          <w:kern w:val="24"/>
        </w:rPr>
        <w:t xml:space="preserve">Këshilli Pedagogjik, më datë 26.06.2018, në përfundim të stazhit profesional, </w:t>
      </w:r>
      <w:r w:rsidRPr="00EE2DE7">
        <w:t>bëri vlerësimin përfundimtar të kandidatëve për magjistrat, sipas sistemit me 5 shkallë, mbi bazën e një renditje përfundimtare të tyre me pikë. Drejtori i Shkollës i paraqiti, një raport Këshillit Drejtues, së bashku me Vendimin e Këshillit Pedagogjik mbi renditjen përfundimtare të kandidatëve për magjistratë të diplomuar.</w:t>
      </w:r>
    </w:p>
    <w:p w:rsidR="00EF53DA" w:rsidRPr="00D3591C" w:rsidRDefault="00EF53DA" w:rsidP="005C2687">
      <w:pPr>
        <w:numPr>
          <w:ilvl w:val="0"/>
          <w:numId w:val="19"/>
        </w:numPr>
        <w:spacing w:line="276" w:lineRule="auto"/>
        <w:jc w:val="both"/>
      </w:pPr>
      <w:r w:rsidRPr="00EE2DE7">
        <w:t xml:space="preserve">Këshilli Drejtues, me </w:t>
      </w:r>
      <w:r w:rsidRPr="00D3591C">
        <w:t>v</w:t>
      </w:r>
      <w:r w:rsidRPr="00EE2DE7">
        <w:t xml:space="preserve">endimin </w:t>
      </w:r>
      <w:r w:rsidRPr="00D3591C">
        <w:t>n</w:t>
      </w:r>
      <w:r w:rsidRPr="00EE2DE7">
        <w:t>r. 20, datë 28.6.2018</w:t>
      </w:r>
      <w:r w:rsidRPr="00D3591C">
        <w:t>,</w:t>
      </w:r>
      <w:r w:rsidRPr="00EE2DE7">
        <w:t xml:space="preserve"> “Për miratimin e raportit të vlerësimit përfundimtar të kandidatëve për magjistratë të vit</w:t>
      </w:r>
      <w:r w:rsidRPr="00D3591C">
        <w:t>e</w:t>
      </w:r>
      <w:r w:rsidRPr="00EE2DE7">
        <w:t>t të tretë akademik 2017-2018” miratoi renditjen përfundimtare të kandidatëve magjistratë të diplomuar 2015-2018.</w:t>
      </w:r>
      <w:r w:rsidRPr="00D3591C">
        <w:t xml:space="preserve"> </w:t>
      </w:r>
    </w:p>
    <w:p w:rsidR="00EF53DA" w:rsidRPr="00EE2DE7" w:rsidRDefault="00EF53DA" w:rsidP="005C2687">
      <w:pPr>
        <w:numPr>
          <w:ilvl w:val="0"/>
          <w:numId w:val="19"/>
        </w:numPr>
        <w:spacing w:line="276" w:lineRule="auto"/>
        <w:jc w:val="both"/>
        <w:rPr>
          <w:rFonts w:eastAsia="Calibri"/>
          <w:kern w:val="24"/>
        </w:rPr>
      </w:pPr>
      <w:r w:rsidRPr="00EE2DE7">
        <w:rPr>
          <w:rFonts w:eastAsia="Calibri"/>
          <w:kern w:val="24"/>
        </w:rPr>
        <w:t>Sipas parashikimit ligjor, pika 1 e nenit 34 të ligjit nr. 96/2016</w:t>
      </w:r>
      <w:r w:rsidRPr="00EE2DE7">
        <w:rPr>
          <w:rFonts w:eastAsia="Arial Unicode MS"/>
          <w:kern w:val="24"/>
        </w:rPr>
        <w:t xml:space="preserve">, publikoi listën e kandidatëve magjistratë, të diplomuar në Formimin Fillestar për periudhën 2015-2018 në faqen zyrtare </w:t>
      </w:r>
      <w:hyperlink r:id="rId18" w:history="1">
        <w:r w:rsidRPr="00D3591C">
          <w:rPr>
            <w:rFonts w:eastAsia="Arial Unicode MS"/>
            <w:i/>
            <w:kern w:val="24"/>
          </w:rPr>
          <w:t>www.magjistratura.edu.al</w:t>
        </w:r>
      </w:hyperlink>
      <w:r w:rsidRPr="00EE2DE7">
        <w:rPr>
          <w:rFonts w:eastAsia="Arial Unicode MS"/>
          <w:kern w:val="24"/>
        </w:rPr>
        <w:t xml:space="preserve"> më datë 29.6.2018, duke bërë publike edhe renditjen përfundimtare të tyre.</w:t>
      </w:r>
    </w:p>
    <w:p w:rsidR="00EF53DA" w:rsidRPr="00EE2DE7" w:rsidRDefault="00EF53DA" w:rsidP="005C2687">
      <w:pPr>
        <w:numPr>
          <w:ilvl w:val="0"/>
          <w:numId w:val="19"/>
        </w:numPr>
        <w:spacing w:line="276" w:lineRule="auto"/>
        <w:jc w:val="both"/>
        <w:rPr>
          <w:rFonts w:eastAsia="Calibri"/>
          <w:kern w:val="24"/>
        </w:rPr>
      </w:pPr>
      <w:r w:rsidRPr="00EE2DE7">
        <w:rPr>
          <w:rFonts w:eastAsia="Arial Unicode MS"/>
          <w:kern w:val="24"/>
        </w:rPr>
        <w:lastRenderedPageBreak/>
        <w:t>Të diplomuarit u renditën në listë, bazuar në:</w:t>
      </w:r>
    </w:p>
    <w:p w:rsidR="00EF53DA" w:rsidRPr="00EE2DE7" w:rsidRDefault="00EF53DA" w:rsidP="005C2687">
      <w:pPr>
        <w:pStyle w:val="ListParagraph"/>
        <w:numPr>
          <w:ilvl w:val="0"/>
          <w:numId w:val="20"/>
        </w:numPr>
        <w:spacing w:line="276" w:lineRule="auto"/>
        <w:jc w:val="both"/>
      </w:pPr>
      <w:r w:rsidRPr="00EE2DE7">
        <w:rPr>
          <w:rFonts w:eastAsia="Tw Cen MT"/>
        </w:rPr>
        <w:t>rezultatet e provimeve të vitit të parë;</w:t>
      </w:r>
    </w:p>
    <w:p w:rsidR="00EF53DA" w:rsidRPr="00EE2DE7" w:rsidRDefault="00EF53DA" w:rsidP="005C2687">
      <w:pPr>
        <w:numPr>
          <w:ilvl w:val="0"/>
          <w:numId w:val="20"/>
        </w:numPr>
        <w:tabs>
          <w:tab w:val="left" w:pos="630"/>
        </w:tabs>
        <w:spacing w:line="276" w:lineRule="auto"/>
        <w:jc w:val="both"/>
        <w:rPr>
          <w:rFonts w:eastAsia="Tw Cen MT"/>
          <w:kern w:val="24"/>
        </w:rPr>
      </w:pPr>
      <w:r w:rsidRPr="00EE2DE7">
        <w:rPr>
          <w:rFonts w:eastAsia="Tw Cen MT"/>
          <w:kern w:val="24"/>
        </w:rPr>
        <w:t xml:space="preserve">rezultatet e vitit të dytë – të kurseve, </w:t>
      </w:r>
      <w:r w:rsidRPr="00EE2DE7">
        <w:rPr>
          <w:rFonts w:eastAsia="MS Mincho"/>
          <w:kern w:val="24"/>
          <w:lang w:eastAsia="en-GB"/>
        </w:rPr>
        <w:t>gjyqet imituese dhe debatet profesionale;</w:t>
      </w:r>
      <w:r w:rsidRPr="00EE2DE7">
        <w:rPr>
          <w:rFonts w:eastAsia="Tw Cen MT"/>
          <w:kern w:val="24"/>
        </w:rPr>
        <w:t xml:space="preserve"> vlerësim i praktikës; </w:t>
      </w:r>
      <w:r w:rsidRPr="00EE2DE7">
        <w:rPr>
          <w:rFonts w:eastAsia="MS Mincho"/>
          <w:kern w:val="24"/>
          <w:lang w:eastAsia="en-GB"/>
        </w:rPr>
        <w:t>vlerësimi i stazhit paraprofesional në institucione;</w:t>
      </w:r>
      <w:r w:rsidRPr="00EE2DE7">
        <w:rPr>
          <w:rFonts w:ascii="Calibri" w:eastAsia="Calibri" w:hAnsi="Calibri"/>
        </w:rPr>
        <w:t xml:space="preserve"> </w:t>
      </w:r>
      <w:r w:rsidRPr="00EE2DE7">
        <w:rPr>
          <w:rFonts w:eastAsia="MS Mincho"/>
          <w:kern w:val="24"/>
          <w:lang w:eastAsia="en-GB"/>
        </w:rPr>
        <w:t xml:space="preserve">vlerësimi i temës; </w:t>
      </w:r>
    </w:p>
    <w:p w:rsidR="00EF53DA" w:rsidRPr="00EE2DE7" w:rsidRDefault="00EF53DA" w:rsidP="005C2687">
      <w:pPr>
        <w:pStyle w:val="ListParagraph"/>
        <w:numPr>
          <w:ilvl w:val="0"/>
          <w:numId w:val="20"/>
        </w:numPr>
        <w:spacing w:line="276" w:lineRule="auto"/>
        <w:jc w:val="both"/>
      </w:pPr>
      <w:r w:rsidRPr="00EE2DE7">
        <w:rPr>
          <w:rFonts w:eastAsia="Tw Cen MT"/>
        </w:rPr>
        <w:t>rezultatet e vitit të tretë: të stazhit profesional.</w:t>
      </w:r>
    </w:p>
    <w:p w:rsidR="00EF53DA" w:rsidRPr="00EE2DE7" w:rsidRDefault="00EF53DA" w:rsidP="005C2687">
      <w:pPr>
        <w:numPr>
          <w:ilvl w:val="0"/>
          <w:numId w:val="19"/>
        </w:numPr>
        <w:spacing w:line="276" w:lineRule="auto"/>
        <w:jc w:val="both"/>
        <w:rPr>
          <w:rFonts w:ascii="Calibri" w:eastAsia="Calibri" w:hAnsi="Calibri"/>
          <w:kern w:val="24"/>
          <w:sz w:val="23"/>
          <w:szCs w:val="23"/>
        </w:rPr>
      </w:pPr>
      <w:r w:rsidRPr="00EE2DE7">
        <w:rPr>
          <w:rFonts w:eastAsia="Arial Unicode MS"/>
          <w:kern w:val="24"/>
        </w:rPr>
        <w:t xml:space="preserve">Të diplomuarit përfshihen përkatësisht në listën e të diplomuarve për kandidatët gjyqtarë dhe në listën e të diplomuarve për kandidatët prokurorë. Kandidatët magjistratë renditen në listën e të diplomuarve në përputhje me pikën 2 të këtij neni. </w:t>
      </w:r>
    </w:p>
    <w:p w:rsidR="00EF53DA" w:rsidRDefault="00EF53DA" w:rsidP="00EF53DA">
      <w:pPr>
        <w:spacing w:line="276" w:lineRule="auto"/>
        <w:jc w:val="both"/>
        <w:rPr>
          <w:rFonts w:eastAsia="MS Mincho"/>
          <w:b/>
          <w:kern w:val="24"/>
          <w:lang w:eastAsia="en-GB"/>
        </w:rPr>
      </w:pPr>
    </w:p>
    <w:p w:rsidR="00EF53DA" w:rsidRPr="00EF53DA" w:rsidRDefault="00EF53DA" w:rsidP="00EF53DA">
      <w:pPr>
        <w:spacing w:line="276" w:lineRule="auto"/>
        <w:jc w:val="both"/>
        <w:rPr>
          <w:rFonts w:eastAsia="MS Mincho"/>
          <w:b/>
          <w:kern w:val="24"/>
          <w:lang w:eastAsia="en-GB"/>
        </w:rPr>
      </w:pPr>
      <w:r w:rsidRPr="00EE2DE7">
        <w:rPr>
          <w:rFonts w:eastAsia="MS Mincho"/>
          <w:b/>
          <w:kern w:val="24"/>
          <w:lang w:eastAsia="en-GB"/>
        </w:rPr>
        <w:t>Skema e vlerësimit pas vitit të tretë</w:t>
      </w:r>
      <w:r w:rsidRPr="00EE2DE7">
        <w:rPr>
          <w:rFonts w:eastAsia="MS Mincho"/>
          <w:b/>
          <w:kern w:val="24"/>
          <w:lang w:eastAsia="en-GB"/>
        </w:rPr>
        <w:tab/>
      </w:r>
      <w:r w:rsidRPr="00EE2DE7">
        <w:rPr>
          <w:rFonts w:eastAsia="MS Mincho"/>
          <w:b/>
          <w:kern w:val="24"/>
          <w:lang w:eastAsia="en-GB"/>
        </w:rPr>
        <w:tab/>
      </w:r>
    </w:p>
    <w:p w:rsidR="00EF53DA" w:rsidRPr="00EE2DE7" w:rsidRDefault="00CF3AE0" w:rsidP="00EF53DA">
      <w:pPr>
        <w:spacing w:after="200" w:line="276" w:lineRule="auto"/>
        <w:jc w:val="center"/>
        <w:rPr>
          <w:rFonts w:ascii="Calibri" w:eastAsia="Calibri" w:hAnsi="Calibri"/>
          <w:lang w:eastAsia="en-GB"/>
        </w:rPr>
      </w:pPr>
      <w:r>
        <w:rPr>
          <w:rFonts w:ascii="Calibri" w:eastAsia="Calibri" w:hAnsi="Calibri"/>
        </w:rPr>
        <w:pict>
          <v:shape id="Straight Arrow Connector 7" o:spid="_x0000_s1062" type="#_x0000_t32" style="position:absolute;left:0;text-align:left;margin-left:124pt;margin-top:80.05pt;width:16.05pt;height:0;z-index:251727360;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"/>
        </w:pict>
      </w:r>
      <w:r>
        <w:rPr>
          <w:rFonts w:ascii="Calibri" w:eastAsia="Calibri" w:hAnsi="Calibri"/>
        </w:rPr>
        <w:pict>
          <v:shape id="Straight Arrow Connector 27" o:spid="_x0000_s1061" type="#_x0000_t32" style="position:absolute;left:0;text-align:left;margin-left:105pt;margin-top:44.5pt;width:14pt;height:0;z-index:251726336;visibility:visible;mso-wrap-distance-top:-19e-5mm;mso-wrap-distance-bottom:-19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"/>
        </w:pict>
      </w:r>
      <w:r>
        <w:rPr>
          <w:rFonts w:ascii="Calibri" w:eastAsia="Calibri" w:hAnsi="Calibri"/>
        </w:rPr>
        <w:pict>
          <v:shape id="Straight Arrow Connector 29" o:spid="_x0000_s1059" type="#_x0000_t32" style="position:absolute;left:0;text-align:left;margin-left:13.15pt;margin-top:3.3pt;width:21pt;height:0;z-index:251724288;visibility:visible;mso-wrap-distance-top:-19e-5mm;mso-wrap-distance-bottom:-19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jJo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"/>
        </w:pict>
      </w:r>
      <w:r>
        <w:rPr>
          <w:rFonts w:ascii="Calibri" w:eastAsia="Calibri" w:hAnsi="Calibri"/>
        </w:rPr>
        <w:pict>
          <v:shape id="Straight Arrow Connector 28" o:spid="_x0000_s1060" type="#_x0000_t32" style="position:absolute;left:0;text-align:left;margin-left:52.7pt;margin-top:3.3pt;width:14pt;height:0;z-index:251725312;visibility:visible;mso-wrap-distance-top:-19e-5mm;mso-wrap-distance-bottom:-19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"/>
        </w:pict>
      </w:r>
      <w:r w:rsidR="00EF53DA" w:rsidRPr="00EE2DE7">
        <w:rPr>
          <w:rFonts w:ascii="Cambria Math" w:eastAsia="Tw Cen MT" w:hAnsi="Cambria Math"/>
          <w:kern w:val="24"/>
          <w:lang w:eastAsia="ja-JP"/>
        </w:rPr>
        <w:br/>
      </w:r>
      <m:oMathPara>
        <m:oMath>
          <m:nary>
            <m:naryPr>
              <m:chr m:val="∑"/>
              <m:limLoc m:val="subSup"/>
              <m:supHide m:val="1"/>
              <m:ctrlPr>
                <w:rPr>
                  <w:rFonts w:ascii="Cambria Math" w:eastAsia="Tw Cen MT" w:hAnsi="Cambria Math"/>
                  <w:kern w:val="24"/>
                  <w:lang w:eastAsia="ja-JP"/>
                </w:rPr>
              </m:ctrlPr>
            </m:naryPr>
            <m:sub>
              <m:r>
                <w:rPr>
                  <w:rFonts w:ascii="Cambria Math" w:eastAsia="Tw Cen MT" w:hAnsi="Cambria Math"/>
                  <w:kern w:val="24"/>
                  <w:lang w:eastAsia="ja-JP"/>
                </w:rPr>
                <m:t>p</m:t>
              </m:r>
            </m:sub>
            <m:sup/>
            <m:e>
              <m:r>
                <m:rPr>
                  <m:sty m:val="p"/>
                </m:rPr>
                <w:rPr>
                  <w:rFonts w:ascii="Cambria Math" w:eastAsia="Tw Cen MT" w:hAnsi="Cambria Math"/>
                  <w:kern w:val="24"/>
                  <w:lang w:eastAsia="ja-JP"/>
                </w:rPr>
                <m:t>=</m:t>
              </m:r>
            </m:e>
          </m:nary>
          <m:nary>
            <m:naryPr>
              <m:chr m:val="∑"/>
              <m:limLoc m:val="undOvr"/>
              <m:supHide m:val="1"/>
              <m:ctrlPr>
                <w:rPr>
                  <w:rFonts w:ascii="Cambria Math" w:eastAsia="Tw Cen MT" w:hAnsi="Cambria Math"/>
                  <w:kern w:val="24"/>
                  <w:lang w:eastAsia="ja-JP"/>
                </w:rPr>
              </m:ctrlPr>
            </m:naryPr>
            <m:sub>
              <m:r>
                <w:rPr>
                  <w:rFonts w:ascii="Cambria Math" w:eastAsia="Tw Cen MT" w:hAnsi="Cambria Math"/>
                  <w:kern w:val="24"/>
                  <w:lang w:eastAsia="ja-JP"/>
                </w:rPr>
                <m:t>VitiI</m:t>
              </m:r>
            </m:sub>
            <m:sup/>
            <m:e>
              <m:r>
                <m:rPr>
                  <m:sty m:val="p"/>
                </m:rPr>
                <w:rPr>
                  <w:rFonts w:ascii="Cambria Math" w:eastAsia="Tw Cen MT" w:hAnsi="Cambria Math"/>
                  <w:kern w:val="24"/>
                  <w:lang w:eastAsia="ja-JP"/>
                </w:rPr>
                <m:t>{</m:t>
              </m:r>
              <m:d>
                <m:dPr>
                  <m:ctrlPr>
                    <w:rPr>
                      <w:rFonts w:ascii="Cambria Math" w:eastAsia="Tw Cen MT" w:hAnsi="Cambria Math"/>
                      <w:kern w:val="24"/>
                    </w:rPr>
                  </m:ctrlPr>
                </m:dPr>
                <m:e>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1</m:t>
                      </m:r>
                    </m:sub>
                  </m:sSub>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f</m:t>
                      </m:r>
                    </m:e>
                    <m:sub>
                      <m:r>
                        <m:rPr>
                          <m:sty m:val="p"/>
                        </m:rPr>
                        <w:rPr>
                          <w:rFonts w:ascii="Cambria Math" w:eastAsia="Tw Cen MT" w:hAnsi="Cambria Math"/>
                          <w:kern w:val="24"/>
                        </w:rPr>
                        <m:t>1</m:t>
                      </m:r>
                    </m:sub>
                  </m:sSub>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1/2</m:t>
                      </m:r>
                    </m:sub>
                  </m:sSub>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f</m:t>
                      </m:r>
                    </m:e>
                    <m:sub>
                      <m:r>
                        <m:rPr>
                          <m:sty m:val="p"/>
                        </m:rPr>
                        <w:rPr>
                          <w:rFonts w:ascii="Cambria Math" w:eastAsia="Tw Cen MT" w:hAnsi="Cambria Math"/>
                          <w:kern w:val="24"/>
                        </w:rPr>
                        <m:t xml:space="preserve">2 </m:t>
                      </m:r>
                    </m:sub>
                  </m:sSub>
                </m:e>
              </m:d>
              <m:r>
                <m:rPr>
                  <m:sty m:val="p"/>
                </m:rPr>
                <w:rPr>
                  <w:rFonts w:ascii="Cambria Math" w:eastAsia="Tw Cen MT" w:hAnsi="Cambria Math"/>
                  <w:kern w:val="24"/>
                </w:rPr>
                <m:t>}</m:t>
              </m:r>
              <m:r>
                <m:rPr>
                  <m:sty m:val="p"/>
                </m:rPr>
                <w:rPr>
                  <w:rFonts w:ascii="Cambria Math" w:eastAsia="Tw Cen MT" w:hAnsi="Cambria Math"/>
                  <w:kern w:val="24"/>
                  <w:lang w:eastAsia="ja-JP"/>
                </w:rPr>
                <m:t>+</m:t>
              </m:r>
              <m:nary>
                <m:naryPr>
                  <m:chr m:val="∑"/>
                  <m:limLoc m:val="undOvr"/>
                  <m:supHide m:val="1"/>
                  <m:ctrlPr>
                    <w:rPr>
                      <w:rFonts w:ascii="Cambria Math" w:eastAsia="Tw Cen MT" w:hAnsi="Cambria Math"/>
                      <w:kern w:val="24"/>
                      <w:lang w:eastAsia="ja-JP"/>
                    </w:rPr>
                  </m:ctrlPr>
                </m:naryPr>
                <m:sub>
                  <m:r>
                    <w:rPr>
                      <w:rFonts w:ascii="Cambria Math" w:eastAsia="Tw Cen MT" w:hAnsi="Cambria Math"/>
                      <w:kern w:val="24"/>
                      <w:lang w:eastAsia="ja-JP"/>
                    </w:rPr>
                    <m:t>VitiII</m:t>
                  </m:r>
                </m:sub>
                <m:sup/>
                <m:e>
                  <m:d>
                    <m:dPr>
                      <m:begChr m:val="{"/>
                      <m:endChr m:val="}"/>
                      <m:ctrlPr>
                        <w:rPr>
                          <w:rFonts w:ascii="Cambria Math" w:eastAsia="Tw Cen MT" w:hAnsi="Cambria Math"/>
                          <w:kern w:val="24"/>
                          <w:lang w:eastAsia="ja-JP"/>
                        </w:rPr>
                      </m:ctrlPr>
                    </m:dPr>
                    <m:e>
                      <m:d>
                        <m:dPr>
                          <m:ctrlPr>
                            <w:rPr>
                              <w:rFonts w:ascii="Cambria Math" w:eastAsia="Tw Cen MT" w:hAnsi="Cambria Math"/>
                              <w:kern w:val="24"/>
                            </w:rPr>
                          </m:ctrlPr>
                        </m:dPr>
                        <m:e>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2</m:t>
                              </m:r>
                            </m:sub>
                          </m:sSub>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f</m:t>
                              </m:r>
                            </m:e>
                            <m:sub>
                              <m:r>
                                <m:rPr>
                                  <m:sty m:val="p"/>
                                </m:rPr>
                                <w:rPr>
                                  <w:rFonts w:ascii="Cambria Math" w:eastAsia="Tw Cen MT" w:hAnsi="Cambria Math"/>
                                  <w:kern w:val="24"/>
                                </w:rPr>
                                <m:t xml:space="preserve">2 </m:t>
                              </m:r>
                            </m:sub>
                          </m:sSub>
                        </m:e>
                      </m:d>
                      <m:r>
                        <m:rPr>
                          <m:sty m:val="p"/>
                        </m:rPr>
                        <w:rPr>
                          <w:rFonts w:ascii="Cambria Math" w:eastAsia="Tw Cen MT" w:hAnsi="Cambria Math"/>
                          <w:kern w:val="24"/>
                        </w:rPr>
                        <m:t>+</m:t>
                      </m:r>
                      <m:d>
                        <m:dPr>
                          <m:ctrlPr>
                            <w:rPr>
                              <w:rFonts w:ascii="Cambria Math" w:eastAsia="Tw Cen MT" w:hAnsi="Cambria Math"/>
                              <w:kern w:val="24"/>
                            </w:rPr>
                          </m:ctrlPr>
                        </m:dPr>
                        <m:e>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3</m:t>
                              </m:r>
                            </m:sub>
                          </m:sSub>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f</m:t>
                              </m:r>
                            </m:e>
                            <m:sub>
                              <m:r>
                                <m:rPr>
                                  <m:sty m:val="p"/>
                                </m:rPr>
                                <w:rPr>
                                  <w:rFonts w:ascii="Cambria Math" w:eastAsia="Tw Cen MT" w:hAnsi="Cambria Math"/>
                                  <w:kern w:val="24"/>
                                </w:rPr>
                                <m:t>1</m:t>
                              </m:r>
                            </m:sub>
                          </m:sSub>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 xml:space="preserve">4  </m:t>
                              </m:r>
                            </m:sub>
                          </m:sSub>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f</m:t>
                              </m:r>
                            </m:e>
                            <m:sub>
                              <m:r>
                                <m:rPr>
                                  <m:sty m:val="p"/>
                                </m:rPr>
                                <w:rPr>
                                  <w:rFonts w:ascii="Cambria Math" w:eastAsia="Tw Cen MT" w:hAnsi="Cambria Math"/>
                                  <w:kern w:val="24"/>
                                </w:rPr>
                                <m:t>1</m:t>
                              </m:r>
                            </m:sub>
                          </m:sSub>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5</m:t>
                              </m:r>
                            </m:sub>
                          </m:sSub>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f</m:t>
                              </m:r>
                            </m:e>
                            <m:sub>
                              <m:r>
                                <w:rPr>
                                  <w:rFonts w:ascii="Cambria Math" w:eastAsia="Tw Cen MT" w:hAnsi="Cambria Math"/>
                                  <w:kern w:val="24"/>
                                </w:rPr>
                                <m:t>3</m:t>
                              </m:r>
                            </m:sub>
                          </m:sSub>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 xml:space="preserve">6 </m:t>
                              </m:r>
                            </m:sub>
                          </m:sSub>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f</m:t>
                              </m:r>
                            </m:e>
                            <m:sub>
                              <m:r>
                                <m:rPr>
                                  <m:sty m:val="p"/>
                                </m:rPr>
                                <w:rPr>
                                  <w:rFonts w:ascii="Cambria Math" w:eastAsia="Tw Cen MT" w:hAnsi="Cambria Math"/>
                                  <w:kern w:val="24"/>
                                </w:rPr>
                                <m:t>1</m:t>
                              </m:r>
                            </m:sub>
                          </m:sSub>
                        </m:e>
                      </m:d>
                      <m:ctrlPr>
                        <w:rPr>
                          <w:rFonts w:ascii="Cambria Math" w:eastAsia="Tw Cen MT" w:hAnsi="Cambria Math"/>
                          <w:kern w:val="24"/>
                        </w:rPr>
                      </m:ctrlPr>
                    </m:e>
                  </m:d>
                  <m:r>
                    <m:rPr>
                      <m:sty m:val="p"/>
                    </m:rPr>
                    <w:rPr>
                      <w:rFonts w:ascii="Cambria Math" w:eastAsia="Tw Cen MT" w:hAnsi="Cambria Math"/>
                      <w:kern w:val="24"/>
                    </w:rPr>
                    <m:t>+</m:t>
                  </m:r>
                </m:e>
              </m:nary>
            </m:e>
          </m:nary>
          <m:r>
            <w:rPr>
              <w:rFonts w:ascii="Cambria Math" w:eastAsia="Tw Cen MT" w:hAnsi="Cambria Math"/>
              <w:kern w:val="24"/>
              <w:lang w:eastAsia="ja-JP"/>
            </w:rPr>
            <m:t xml:space="preserve"> *f3</m:t>
          </m:r>
          <m:nary>
            <m:naryPr>
              <m:chr m:val="∑"/>
              <m:limLoc m:val="undOvr"/>
              <m:supHide m:val="1"/>
              <m:ctrlPr>
                <w:rPr>
                  <w:rFonts w:ascii="Cambria Math" w:eastAsia="Tw Cen MT" w:hAnsi="Cambria Math"/>
                  <w:b/>
                  <w:kern w:val="24"/>
                  <w:lang w:eastAsia="ja-JP"/>
                </w:rPr>
              </m:ctrlPr>
            </m:naryPr>
            <m:sub>
              <m:r>
                <m:rPr>
                  <m:sty m:val="bi"/>
                </m:rPr>
                <w:rPr>
                  <w:rFonts w:ascii="Cambria Math" w:eastAsia="Tw Cen MT" w:hAnsi="Cambria Math"/>
                  <w:kern w:val="24"/>
                  <w:lang w:eastAsia="ja-JP"/>
                </w:rPr>
                <m:t>VitiIII</m:t>
              </m:r>
            </m:sub>
            <m:sup/>
            <m:e>
              <m:sSub>
                <m:sSubPr>
                  <m:ctrlPr>
                    <w:rPr>
                      <w:rFonts w:ascii="Cambria Math" w:eastAsia="Tw Cen MT" w:hAnsi="Cambria Math"/>
                      <w:b/>
                      <w:kern w:val="24"/>
                    </w:rPr>
                  </m:ctrlPr>
                </m:sSubPr>
                <m:e>
                  <m:r>
                    <m:rPr>
                      <m:sty m:val="bi"/>
                    </m:rPr>
                    <w:rPr>
                      <w:rFonts w:ascii="Cambria Math" w:eastAsia="Tw Cen MT" w:hAnsi="Cambria Math"/>
                      <w:kern w:val="24"/>
                    </w:rPr>
                    <m:t>x</m:t>
                  </m:r>
                </m:e>
                <m:sub>
                  <m:r>
                    <m:rPr>
                      <m:sty m:val="b"/>
                    </m:rPr>
                    <w:rPr>
                      <w:rFonts w:ascii="Cambria Math" w:eastAsia="Tw Cen MT" w:hAnsi="Cambria Math"/>
                      <w:kern w:val="24"/>
                    </w:rPr>
                    <m:t xml:space="preserve">7 </m:t>
                  </m:r>
                </m:sub>
              </m:sSub>
            </m:e>
          </m:nary>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f</m:t>
              </m:r>
            </m:e>
            <m:sub>
              <m:r>
                <w:rPr>
                  <w:rFonts w:ascii="Cambria Math" w:eastAsia="Tw Cen MT" w:hAnsi="Cambria Math"/>
                  <w:kern w:val="24"/>
                </w:rPr>
                <m:t>3</m:t>
              </m:r>
            </m:sub>
          </m:sSub>
        </m:oMath>
      </m:oMathPara>
    </w:p>
    <w:p w:rsidR="00EF53DA" w:rsidRPr="00EE2DE7" w:rsidRDefault="00EF53DA" w:rsidP="00EF53DA">
      <w:pPr>
        <w:tabs>
          <w:tab w:val="left" w:pos="3734"/>
          <w:tab w:val="left" w:pos="9445"/>
        </w:tabs>
        <w:spacing w:line="276" w:lineRule="auto"/>
        <w:jc w:val="both"/>
        <w:rPr>
          <w:rFonts w:eastAsia="MS Mincho"/>
          <w:kern w:val="24"/>
          <w:lang w:eastAsia="ja-JP"/>
        </w:rPr>
      </w:pPr>
    </w:p>
    <w:p w:rsidR="00EF53DA" w:rsidRPr="00EE2DE7" w:rsidRDefault="00CF3AE0" w:rsidP="00EF53DA">
      <w:pPr>
        <w:spacing w:line="276" w:lineRule="auto"/>
        <w:jc w:val="both"/>
        <w:rPr>
          <w:rFonts w:eastAsia="MS Mincho"/>
          <w:kern w:val="24"/>
          <w:lang w:eastAsia="ja-JP"/>
        </w:rPr>
      </w:pPr>
      <m:oMath>
        <m:nary>
          <m:naryPr>
            <m:chr m:val="∑"/>
            <m:limLoc m:val="subSup"/>
            <m:supHide m:val="1"/>
            <m:ctrlPr>
              <w:rPr>
                <w:rFonts w:ascii="Cambria Math" w:eastAsia="Tw Cen MT" w:hAnsi="Cambria Math"/>
                <w:kern w:val="24"/>
                <w:lang w:eastAsia="ja-JP"/>
              </w:rPr>
            </m:ctrlPr>
          </m:naryPr>
          <m:sub>
            <m:r>
              <w:rPr>
                <w:rFonts w:ascii="Cambria Math" w:eastAsia="Tw Cen MT" w:hAnsi="Cambria Math"/>
                <w:kern w:val="24"/>
                <w:lang w:eastAsia="ja-JP"/>
              </w:rPr>
              <m:t>p</m:t>
            </m:r>
          </m:sub>
          <m:sup/>
          <m:e>
            <m:r>
              <m:rPr>
                <m:sty m:val="p"/>
              </m:rPr>
              <w:rPr>
                <w:rFonts w:ascii="Cambria Math" w:eastAsia="Tw Cen MT" w:hAnsi="Cambria Math"/>
                <w:kern w:val="24"/>
                <w:lang w:eastAsia="ja-JP"/>
              </w:rPr>
              <m:t>=</m:t>
            </m:r>
          </m:e>
        </m:nary>
        <m:r>
          <w:rPr>
            <w:rFonts w:ascii="Cambria Math" w:eastAsia="Tw Cen MT" w:hAnsi="Cambria Math"/>
            <w:kern w:val="24"/>
            <w:lang w:eastAsia="ja-JP"/>
          </w:rPr>
          <m:t xml:space="preserve"> S</m:t>
        </m:r>
      </m:oMath>
      <w:r w:rsidR="00EF53DA" w:rsidRPr="00EE2DE7">
        <w:rPr>
          <w:rFonts w:eastAsia="MS Mincho"/>
          <w:kern w:val="24"/>
          <w:lang w:eastAsia="ja-JP"/>
        </w:rPr>
        <w:t>huma e ponderuar;</w:t>
      </w:r>
    </w:p>
    <w:p w:rsidR="00EF53DA" w:rsidRPr="00EE2DE7" w:rsidRDefault="00CF3AE0" w:rsidP="00EF53DA">
      <w:pPr>
        <w:spacing w:line="276" w:lineRule="auto"/>
        <w:jc w:val="both"/>
        <w:rPr>
          <w:rFonts w:eastAsia="MS Mincho"/>
          <w:kern w:val="24"/>
          <w:lang w:eastAsia="ja-JP"/>
        </w:rPr>
      </w:pPr>
      <m:oMath>
        <m:sSub>
          <m:sSubPr>
            <m:ctrlPr>
              <w:rPr>
                <w:rFonts w:ascii="Cambria Math" w:eastAsia="Tw Cen MT" w:hAnsi="Cambria Math"/>
                <w:kern w:val="24"/>
                <w:lang w:eastAsia="ja-JP"/>
              </w:rPr>
            </m:ctrlPr>
          </m:sSubPr>
          <m:e>
            <m:r>
              <w:rPr>
                <w:rFonts w:ascii="Cambria Math" w:eastAsia="Tw Cen MT" w:hAnsi="Cambria Math"/>
                <w:kern w:val="24"/>
                <w:lang w:eastAsia="ja-JP"/>
              </w:rPr>
              <m:t xml:space="preserve"> x</m:t>
            </m:r>
          </m:e>
          <m:sub>
            <m:r>
              <m:rPr>
                <m:sty m:val="p"/>
              </m:rPr>
              <w:rPr>
                <w:rFonts w:ascii="Cambria Math" w:eastAsia="Tw Cen MT" w:hAnsi="Cambria Math"/>
                <w:kern w:val="24"/>
                <w:lang w:eastAsia="ja-JP"/>
              </w:rPr>
              <m:t>1</m:t>
            </m:r>
          </m:sub>
        </m:sSub>
        <m:r>
          <w:rPr>
            <w:rFonts w:ascii="Cambria Math" w:eastAsia="Tw Cen MT" w:hAnsi="Cambria Math"/>
            <w:kern w:val="24"/>
            <w:lang w:eastAsia="ja-JP"/>
          </w:rPr>
          <m:t xml:space="preserve"> </m:t>
        </m:r>
      </m:oMath>
      <w:r w:rsidR="00EF53DA" w:rsidRPr="00EE2DE7">
        <w:rPr>
          <w:rFonts w:eastAsia="MS Mincho"/>
          <w:kern w:val="24"/>
          <w:lang w:eastAsia="ja-JP"/>
        </w:rPr>
        <w:t>= Shuma e pikëve të lëndëve të Grupit I;</w:t>
      </w:r>
    </w:p>
    <w:p w:rsidR="00EF53DA" w:rsidRPr="00EE2DE7" w:rsidRDefault="00CF3AE0" w:rsidP="00EF53DA">
      <w:pPr>
        <w:spacing w:line="276" w:lineRule="auto"/>
        <w:jc w:val="both"/>
        <w:rPr>
          <w:rFonts w:eastAsia="MS Mincho"/>
          <w:kern w:val="24"/>
          <w:lang w:eastAsia="ja-JP"/>
        </w:rPr>
      </w:pPr>
      <m:oMath>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1/2</m:t>
            </m:r>
          </m:sub>
        </m:sSub>
      </m:oMath>
      <w:r w:rsidR="00EF53DA" w:rsidRPr="00EE2DE7">
        <w:rPr>
          <w:rFonts w:eastAsia="MS Mincho"/>
          <w:kern w:val="24"/>
          <w:lang w:eastAsia="ja-JP"/>
        </w:rPr>
        <w:t>= Shuma e pikëve të lëndëve të Grupit II të vitit të parë;</w:t>
      </w:r>
    </w:p>
    <w:p w:rsidR="00EF53DA" w:rsidRPr="00EE2DE7" w:rsidRDefault="00CF3AE0" w:rsidP="00EF53DA">
      <w:pPr>
        <w:spacing w:line="276" w:lineRule="auto"/>
        <w:jc w:val="both"/>
        <w:rPr>
          <w:rFonts w:eastAsia="MS Mincho"/>
          <w:kern w:val="24"/>
          <w:lang w:eastAsia="ja-JP"/>
        </w:rPr>
      </w:pPr>
      <m:oMath>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2</m:t>
            </m:r>
          </m:sub>
        </m:sSub>
      </m:oMath>
      <w:r w:rsidR="00EF53DA" w:rsidRPr="00EE2DE7">
        <w:rPr>
          <w:rFonts w:eastAsia="MS Mincho"/>
          <w:kern w:val="24"/>
          <w:lang w:eastAsia="ja-JP"/>
        </w:rPr>
        <w:t xml:space="preserve"> = Shuma e pikëve të kurseve të vitit të dytë;</w:t>
      </w:r>
    </w:p>
    <w:p w:rsidR="00EF53DA" w:rsidRPr="00EE2DE7" w:rsidRDefault="00CF3AE0" w:rsidP="00EF53DA">
      <w:pPr>
        <w:spacing w:line="276" w:lineRule="auto"/>
        <w:jc w:val="both"/>
        <w:rPr>
          <w:rFonts w:eastAsia="MS Mincho"/>
          <w:kern w:val="24"/>
          <w:lang w:eastAsia="en-GB"/>
        </w:rPr>
      </w:pPr>
      <m:oMath>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3</m:t>
            </m:r>
          </m:sub>
        </m:sSub>
      </m:oMath>
      <w:r w:rsidR="00EF53DA" w:rsidRPr="00EE2DE7">
        <w:rPr>
          <w:rFonts w:eastAsia="MS Mincho"/>
          <w:kern w:val="24"/>
          <w:lang w:eastAsia="en-GB"/>
        </w:rPr>
        <w:t xml:space="preserve"> = Gjyqet imituese dhe debatet profesionale;</w:t>
      </w:r>
    </w:p>
    <w:p w:rsidR="00EF53DA" w:rsidRPr="00EE2DE7" w:rsidRDefault="00CF3AE0" w:rsidP="00EF53DA">
      <w:pPr>
        <w:spacing w:line="276" w:lineRule="auto"/>
        <w:jc w:val="both"/>
        <w:rPr>
          <w:rFonts w:eastAsia="MS Mincho"/>
          <w:kern w:val="24"/>
          <w:lang w:eastAsia="en-GB"/>
        </w:rPr>
      </w:pPr>
      <m:oMath>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4</m:t>
            </m:r>
          </m:sub>
        </m:sSub>
      </m:oMath>
      <w:r w:rsidR="00EF53DA" w:rsidRPr="00EE2DE7">
        <w:rPr>
          <w:rFonts w:eastAsia="MS Mincho"/>
          <w:kern w:val="24"/>
          <w:lang w:eastAsia="en-GB"/>
        </w:rPr>
        <w:t xml:space="preserve"> = Vlerësimi i stazhit paraprofesional dosjet e përgatitura civile dhe penale;</w:t>
      </w:r>
    </w:p>
    <w:p w:rsidR="00EF53DA" w:rsidRPr="00EE2DE7" w:rsidRDefault="00CF3AE0" w:rsidP="00EF53DA">
      <w:pPr>
        <w:spacing w:line="276" w:lineRule="auto"/>
        <w:jc w:val="both"/>
        <w:rPr>
          <w:rFonts w:eastAsia="MS Mincho"/>
          <w:kern w:val="24"/>
          <w:lang w:eastAsia="en-GB"/>
        </w:rPr>
      </w:pPr>
      <m:oMath>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5</m:t>
            </m:r>
          </m:sub>
        </m:sSub>
      </m:oMath>
      <w:r w:rsidR="00EF53DA" w:rsidRPr="00EE2DE7">
        <w:rPr>
          <w:rFonts w:eastAsia="MS Mincho"/>
          <w:kern w:val="24"/>
          <w:lang w:eastAsia="en-GB"/>
        </w:rPr>
        <w:t>= Vlerësimi i stazhit paraprofesional në institucione;</w:t>
      </w:r>
    </w:p>
    <w:p w:rsidR="00EF53DA" w:rsidRPr="00EE2DE7" w:rsidRDefault="00CF3AE0" w:rsidP="00EF53DA">
      <w:pPr>
        <w:spacing w:line="276" w:lineRule="auto"/>
        <w:jc w:val="both"/>
        <w:rPr>
          <w:rFonts w:eastAsia="MS Mincho"/>
          <w:kern w:val="24"/>
          <w:lang w:eastAsia="en-GB"/>
        </w:rPr>
      </w:pPr>
      <m:oMath>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6</m:t>
            </m:r>
          </m:sub>
        </m:sSub>
      </m:oMath>
      <w:r w:rsidR="00EF53DA" w:rsidRPr="00EE2DE7">
        <w:rPr>
          <w:rFonts w:eastAsia="MS Mincho"/>
          <w:kern w:val="24"/>
          <w:lang w:eastAsia="en-GB"/>
        </w:rPr>
        <w:t xml:space="preserve"> = Vlerësimi i temës së vitit të dytë;</w:t>
      </w:r>
    </w:p>
    <w:p w:rsidR="00EF53DA" w:rsidRPr="00EE2DE7" w:rsidRDefault="00EF53DA" w:rsidP="00EF53DA">
      <w:pPr>
        <w:spacing w:line="276" w:lineRule="auto"/>
        <w:jc w:val="both"/>
        <w:rPr>
          <w:rFonts w:eastAsia="MS Mincho"/>
          <w:kern w:val="24"/>
        </w:rPr>
      </w:pPr>
      <w:r w:rsidRPr="00EE2DE7">
        <w:rPr>
          <w:rFonts w:eastAsia="MS Mincho"/>
          <w:kern w:val="24"/>
          <w:lang w:eastAsia="en-GB"/>
        </w:rPr>
        <w:t>x7</w:t>
      </w:r>
      <w:r w:rsidRPr="00EE2DE7">
        <w:rPr>
          <w:rFonts w:eastAsia="MS Mincho"/>
          <w:kern w:val="24"/>
        </w:rPr>
        <w:t xml:space="preserve"> = Vlerësimi i stazhit profesional nga tre </w:t>
      </w:r>
      <w:r w:rsidRPr="00EE2DE7">
        <w:rPr>
          <w:rFonts w:eastAsia="MS Mincho"/>
          <w:kern w:val="24"/>
          <w:lang w:eastAsia="ja-JP"/>
        </w:rPr>
        <w:t>magjistratët udhëheqës</w:t>
      </w:r>
      <w:r w:rsidRPr="00EE2DE7">
        <w:rPr>
          <w:rFonts w:eastAsia="MS Mincho"/>
          <w:kern w:val="24"/>
        </w:rPr>
        <w:t>;</w:t>
      </w:r>
    </w:p>
    <w:p w:rsidR="00EF53DA" w:rsidRPr="00EE2DE7" w:rsidRDefault="00CF3AE0" w:rsidP="00EF53DA">
      <w:pPr>
        <w:spacing w:line="276" w:lineRule="auto"/>
        <w:jc w:val="both"/>
        <w:rPr>
          <w:rFonts w:eastAsia="MS Mincho"/>
          <w:kern w:val="24"/>
          <w:lang w:eastAsia="ja-JP"/>
        </w:rPr>
      </w:pPr>
      <m:oMath>
        <m:sSub>
          <m:sSubPr>
            <m:ctrlPr>
              <w:rPr>
                <w:rFonts w:ascii="Cambria Math" w:eastAsia="Tw Cen MT" w:hAnsi="Cambria Math"/>
                <w:kern w:val="24"/>
              </w:rPr>
            </m:ctrlPr>
          </m:sSubPr>
          <m:e>
            <m:r>
              <m:rPr>
                <m:sty m:val="p"/>
              </m:rPr>
              <w:rPr>
                <w:rFonts w:ascii="Cambria Math" w:eastAsia="Tw Cen MT" w:hAnsi="Cambria Math"/>
                <w:kern w:val="24"/>
              </w:rPr>
              <m:t>f</m:t>
            </m:r>
          </m:e>
          <m:sub>
            <m:r>
              <m:rPr>
                <m:sty m:val="p"/>
              </m:rPr>
              <w:rPr>
                <w:rFonts w:ascii="Cambria Math" w:eastAsia="Tw Cen MT" w:hAnsi="Cambria Math"/>
                <w:kern w:val="24"/>
              </w:rPr>
              <m:t>1</m:t>
            </m:r>
          </m:sub>
        </m:sSub>
      </m:oMath>
      <w:r w:rsidR="00C057AA" w:rsidRPr="00D3591C">
        <w:rPr>
          <w:rFonts w:ascii="Cambria Math" w:eastAsia="Tw Cen MT" w:hAnsi="Cambria Math"/>
          <w:kern w:val="24"/>
        </w:rPr>
        <w:fldChar w:fldCharType="begin"/>
      </w:r>
      <w:r w:rsidR="00EF53DA" w:rsidRPr="00D3591C">
        <w:rPr>
          <w:rFonts w:ascii="Cambria Math" w:eastAsia="Tw Cen MT" w:hAnsi="Cambria Math"/>
          <w:kern w:val="24"/>
        </w:rPr>
        <w:instrText xml:space="preserve"> QUOTE </w:instrText>
      </w:r>
      <m:oMath>
        <m:sSub>
          <m:sSubPr>
            <m:ctrlPr>
              <w:rPr>
                <w:rFonts w:ascii="Cambria Math" w:eastAsia="Tw Cen MT" w:hAnsi="Cambria Math"/>
                <w:kern w:val="24"/>
              </w:rPr>
            </m:ctrlPr>
          </m:sSubPr>
          <m:e>
            <m:r>
              <m:rPr>
                <m:sty m:val="p"/>
              </m:rPr>
              <w:rPr>
                <w:rFonts w:ascii="Cambria Math" w:eastAsia="Tw Cen MT" w:hAnsi="Cambria Math"/>
                <w:kern w:val="24"/>
              </w:rPr>
              <m:t>f</m:t>
            </m:r>
          </m:e>
          <m:sub>
            <m:r>
              <m:rPr>
                <m:sty m:val="p"/>
              </m:rPr>
              <w:rPr>
                <w:rFonts w:ascii="Cambria Math" w:eastAsia="Tw Cen MT" w:hAnsi="Cambria Math"/>
                <w:kern w:val="24"/>
              </w:rPr>
              <m:t>1</m:t>
            </m:r>
          </m:sub>
        </m:sSub>
      </m:oMath>
      <w:r w:rsidR="00C057AA" w:rsidRPr="00D3591C">
        <w:rPr>
          <w:rFonts w:ascii="Cambria Math" w:eastAsia="Tw Cen MT" w:hAnsi="Cambria Math"/>
          <w:kern w:val="24"/>
        </w:rPr>
        <w:fldChar w:fldCharType="end"/>
      </w:r>
      <w:r w:rsidR="00EF53DA" w:rsidRPr="00D3591C">
        <w:rPr>
          <w:rFonts w:ascii="Cambria Math" w:eastAsia="Tw Cen MT" w:hAnsi="Cambria Math"/>
          <w:kern w:val="24"/>
        </w:rPr>
        <w:t>=1.5(një pikë pesë) koeficienti i vështirësisë (</w:t>
      </w:r>
      <m:oMath>
        <m:sSub>
          <m:sSubPr>
            <m:ctrlPr>
              <w:rPr>
                <w:rFonts w:ascii="Cambria Math" w:eastAsia="Tw Cen MT" w:hAnsi="Cambria Math"/>
                <w:kern w:val="24"/>
              </w:rPr>
            </m:ctrlPr>
          </m:sSubPr>
          <m:e>
            <m:r>
              <m:rPr>
                <m:sty m:val="p"/>
              </m:rPr>
              <w:rPr>
                <w:rFonts w:ascii="Cambria Math" w:eastAsia="Tw Cen MT" w:hAnsi="Cambria Math"/>
                <w:kern w:val="24"/>
              </w:rPr>
              <m:t>x</m:t>
            </m:r>
          </m:e>
          <m:sub>
            <m:r>
              <m:rPr>
                <m:sty m:val="p"/>
              </m:rPr>
              <w:rPr>
                <w:rFonts w:ascii="Cambria Math" w:eastAsia="Tw Cen MT" w:hAnsi="Cambria Math"/>
                <w:kern w:val="24"/>
              </w:rPr>
              <m:t>1</m:t>
            </m:r>
          </m:sub>
        </m:sSub>
        <m:r>
          <m:rPr>
            <m:sty m:val="p"/>
          </m:rPr>
          <w:rPr>
            <w:rFonts w:ascii="Cambria Math" w:eastAsia="Tw Cen MT" w:hAnsi="Cambria Math"/>
            <w:kern w:val="24"/>
          </w:rPr>
          <m:t xml:space="preserve">),  </m:t>
        </m:r>
      </m:oMath>
      <w:r w:rsidR="00EF53DA" w:rsidRPr="00D3591C">
        <w:rPr>
          <w:rFonts w:ascii="Cambria Math" w:eastAsia="Tw Cen MT" w:hAnsi="Cambria Math"/>
          <w:kern w:val="24"/>
        </w:rPr>
        <w:t>(</w:t>
      </w:r>
      <m:oMath>
        <m:sSub>
          <m:sSubPr>
            <m:ctrlPr>
              <w:rPr>
                <w:rFonts w:ascii="Cambria Math" w:eastAsia="Tw Cen MT" w:hAnsi="Cambria Math"/>
                <w:kern w:val="24"/>
              </w:rPr>
            </m:ctrlPr>
          </m:sSubPr>
          <m:e>
            <m:r>
              <m:rPr>
                <m:sty m:val="p"/>
              </m:rPr>
              <w:rPr>
                <w:rFonts w:ascii="Cambria Math" w:eastAsia="Tw Cen MT" w:hAnsi="Cambria Math"/>
                <w:kern w:val="24"/>
              </w:rPr>
              <m:t>x</m:t>
            </m:r>
          </m:e>
          <m:sub>
            <m:r>
              <m:rPr>
                <m:sty m:val="p"/>
              </m:rPr>
              <w:rPr>
                <w:rFonts w:ascii="Cambria Math" w:eastAsia="Tw Cen MT" w:hAnsi="Cambria Math"/>
                <w:kern w:val="24"/>
              </w:rPr>
              <m:t>3</m:t>
            </m:r>
          </m:sub>
        </m:sSub>
        <m:r>
          <m:rPr>
            <m:sty m:val="p"/>
          </m:rPr>
          <w:rPr>
            <w:rFonts w:ascii="Cambria Math" w:eastAsia="Tw Cen MT" w:hAnsi="Cambria Math"/>
            <w:kern w:val="24"/>
          </w:rPr>
          <m:t>),</m:t>
        </m:r>
        <m:d>
          <m:dPr>
            <m:ctrlPr>
              <w:rPr>
                <w:rFonts w:ascii="Cambria Math" w:eastAsia="Tw Cen MT" w:hAnsi="Cambria Math"/>
                <w:kern w:val="24"/>
              </w:rPr>
            </m:ctrlPr>
          </m:dPr>
          <m:e>
            <m:sSub>
              <m:sSubPr>
                <m:ctrlPr>
                  <w:rPr>
                    <w:rFonts w:ascii="Cambria Math" w:eastAsia="Tw Cen MT" w:hAnsi="Cambria Math"/>
                    <w:kern w:val="24"/>
                  </w:rPr>
                </m:ctrlPr>
              </m:sSubPr>
              <m:e>
                <m:r>
                  <m:rPr>
                    <m:sty m:val="p"/>
                  </m:rPr>
                  <w:rPr>
                    <w:rFonts w:ascii="Cambria Math" w:eastAsia="Tw Cen MT" w:hAnsi="Cambria Math"/>
                    <w:kern w:val="24"/>
                  </w:rPr>
                  <m:t>x</m:t>
                </m:r>
              </m:e>
              <m:sub>
                <m:r>
                  <m:rPr>
                    <m:sty m:val="p"/>
                  </m:rPr>
                  <w:rPr>
                    <w:rFonts w:ascii="Cambria Math" w:eastAsia="Tw Cen MT" w:hAnsi="Cambria Math"/>
                    <w:kern w:val="24"/>
                  </w:rPr>
                  <m:t xml:space="preserve">4  </m:t>
                </m:r>
              </m:sub>
            </m:sSub>
          </m:e>
        </m:d>
        <m:r>
          <m:rPr>
            <m:sty m:val="p"/>
          </m:rPr>
          <w:rPr>
            <w:rFonts w:ascii="Cambria Math" w:eastAsia="Tw Cen MT" w:hAnsi="Cambria Math"/>
            <w:kern w:val="24"/>
          </w:rPr>
          <m:t>,</m:t>
        </m:r>
        <m:d>
          <m:dPr>
            <m:ctrlPr>
              <w:rPr>
                <w:rFonts w:ascii="Cambria Math" w:eastAsia="Tw Cen MT" w:hAnsi="Cambria Math"/>
                <w:kern w:val="24"/>
              </w:rPr>
            </m:ctrlPr>
          </m:dPr>
          <m:e>
            <m:sSub>
              <m:sSubPr>
                <m:ctrlPr>
                  <w:rPr>
                    <w:rFonts w:ascii="Cambria Math" w:eastAsia="Tw Cen MT" w:hAnsi="Cambria Math"/>
                    <w:kern w:val="24"/>
                  </w:rPr>
                </m:ctrlPr>
              </m:sSubPr>
              <m:e>
                <m:r>
                  <m:rPr>
                    <m:sty m:val="p"/>
                  </m:rPr>
                  <w:rPr>
                    <w:rFonts w:ascii="Cambria Math" w:eastAsia="Tw Cen MT" w:hAnsi="Cambria Math"/>
                    <w:kern w:val="24"/>
                  </w:rPr>
                  <m:t>x</m:t>
                </m:r>
              </m:e>
              <m:sub>
                <m:r>
                  <m:rPr>
                    <m:sty m:val="p"/>
                  </m:rPr>
                  <w:rPr>
                    <w:rFonts w:ascii="Cambria Math" w:eastAsia="Tw Cen MT" w:hAnsi="Cambria Math"/>
                    <w:kern w:val="24"/>
                  </w:rPr>
                  <m:t>5</m:t>
                </m:r>
              </m:sub>
            </m:sSub>
          </m:e>
        </m:d>
      </m:oMath>
      <w:r w:rsidR="00EF53DA" w:rsidRPr="00D3591C">
        <w:rPr>
          <w:rFonts w:ascii="Cambria Math" w:eastAsia="Tw Cen MT" w:hAnsi="Cambria Math"/>
          <w:kern w:val="24"/>
        </w:rPr>
        <w:t>;</w:t>
      </w:r>
      <w:r w:rsidR="00EF53DA" w:rsidRPr="00EE2DE7">
        <w:rPr>
          <w:rFonts w:eastAsia="MS Mincho"/>
          <w:kern w:val="24"/>
        </w:rPr>
        <w:br/>
      </w:r>
      <m:oMath>
        <m:sSub>
          <m:sSubPr>
            <m:ctrlPr>
              <w:rPr>
                <w:rFonts w:ascii="Cambria Math" w:eastAsia="Tw Cen MT" w:hAnsi="Cambria Math"/>
                <w:kern w:val="24"/>
              </w:rPr>
            </m:ctrlPr>
          </m:sSubPr>
          <m:e>
            <m:r>
              <w:rPr>
                <w:rFonts w:ascii="Cambria Math" w:eastAsia="Tw Cen MT" w:hAnsi="Cambria Math"/>
                <w:kern w:val="24"/>
              </w:rPr>
              <m:t>f</m:t>
            </m:r>
          </m:e>
          <m:sub>
            <m:r>
              <m:rPr>
                <m:sty m:val="p"/>
              </m:rPr>
              <w:rPr>
                <w:rFonts w:ascii="Cambria Math" w:eastAsia="Tw Cen MT" w:hAnsi="Cambria Math"/>
                <w:kern w:val="24"/>
              </w:rPr>
              <m:t>2</m:t>
            </m:r>
          </m:sub>
        </m:sSub>
      </m:oMath>
      <w:r w:rsidR="00EF53DA" w:rsidRPr="00EE2DE7">
        <w:rPr>
          <w:rFonts w:eastAsia="MS Mincho"/>
          <w:kern w:val="24"/>
          <w:lang w:eastAsia="en-GB"/>
        </w:rPr>
        <w:t>=</w:t>
      </w:r>
      <w:r w:rsidR="00EF53DA" w:rsidRPr="00EE2DE7">
        <w:rPr>
          <w:rFonts w:eastAsia="MS Mincho"/>
          <w:kern w:val="24"/>
          <w:lang w:eastAsia="ja-JP"/>
        </w:rPr>
        <w:t xml:space="preserve"> 1 (një) </w:t>
      </w:r>
      <w:r w:rsidR="00EF53DA" w:rsidRPr="00EE2DE7">
        <w:rPr>
          <w:rFonts w:eastAsia="MS Mincho"/>
          <w:kern w:val="24"/>
          <w:lang w:eastAsia="en-GB"/>
        </w:rPr>
        <w:t>koefi</w:t>
      </w:r>
      <w:r w:rsidR="00EF53DA" w:rsidRPr="00EE2DE7">
        <w:rPr>
          <w:rFonts w:eastAsia="MS Mincho"/>
          <w:kern w:val="24"/>
          <w:lang w:eastAsia="ja-JP"/>
        </w:rPr>
        <w:t>cienti i vështirësisë së Grupit II (viti I &amp; viti II);</w:t>
      </w:r>
    </w:p>
    <w:p w:rsidR="00EF53DA" w:rsidRPr="00EE2DE7" w:rsidRDefault="00CF3AE0" w:rsidP="00EF53DA">
      <w:pPr>
        <w:spacing w:line="276" w:lineRule="auto"/>
        <w:jc w:val="both"/>
        <w:rPr>
          <w:rFonts w:eastAsia="MS Mincho"/>
          <w:kern w:val="24"/>
          <w:lang w:eastAsia="ja-JP"/>
        </w:rPr>
      </w:pPr>
      <m:oMath>
        <m:sSub>
          <m:sSubPr>
            <m:ctrlPr>
              <w:rPr>
                <w:rFonts w:ascii="Cambria Math" w:eastAsia="Tw Cen MT" w:hAnsi="Cambria Math"/>
                <w:kern w:val="24"/>
              </w:rPr>
            </m:ctrlPr>
          </m:sSubPr>
          <m:e>
            <m:r>
              <w:rPr>
                <w:rFonts w:ascii="Cambria Math" w:eastAsia="Tw Cen MT" w:hAnsi="Cambria Math"/>
                <w:kern w:val="24"/>
              </w:rPr>
              <m:t>f</m:t>
            </m:r>
          </m:e>
          <m:sub>
            <m:r>
              <m:rPr>
                <m:sty m:val="p"/>
              </m:rPr>
              <w:rPr>
                <w:rFonts w:ascii="Cambria Math" w:eastAsia="Tw Cen MT" w:hAnsi="Cambria Math"/>
                <w:kern w:val="24"/>
              </w:rPr>
              <m:t>3</m:t>
            </m:r>
          </m:sub>
        </m:sSub>
      </m:oMath>
      <w:r w:rsidR="00EF53DA" w:rsidRPr="00EE2DE7">
        <w:rPr>
          <w:rFonts w:eastAsia="MS Mincho"/>
          <w:kern w:val="24"/>
          <w:lang w:eastAsia="en-GB"/>
        </w:rPr>
        <w:t xml:space="preserve"> </w:t>
      </w:r>
      <w:r w:rsidR="00C057AA" w:rsidRPr="00EE2DE7">
        <w:rPr>
          <w:rFonts w:eastAsia="MS Mincho"/>
          <w:kern w:val="24"/>
          <w:lang w:eastAsia="en-GB"/>
        </w:rPr>
        <w:fldChar w:fldCharType="begin"/>
      </w:r>
      <w:r w:rsidR="00EF53DA" w:rsidRPr="00EE2DE7">
        <w:rPr>
          <w:rFonts w:eastAsia="MS Mincho"/>
          <w:kern w:val="24"/>
          <w:lang w:eastAsia="en-GB"/>
        </w:rPr>
        <w:instrText xml:space="preserve"> QUOTE </w:instrText>
      </w:r>
      <m:oMath>
        <m:sSub>
          <m:sSubPr>
            <m:ctrlPr>
              <w:rPr>
                <w:rFonts w:ascii="Cambria Math" w:eastAsia="Tw Cen MT" w:hAnsi="Cambria Math"/>
                <w:kern w:val="24"/>
              </w:rPr>
            </m:ctrlPr>
          </m:sSubPr>
          <m:e>
            <m:r>
              <m:rPr>
                <m:sty m:val="p"/>
              </m:rPr>
              <w:rPr>
                <w:rFonts w:ascii="Cambria Math" w:eastAsia="Tw Cen MT" w:hAnsi="Cambria Math"/>
                <w:kern w:val="24"/>
              </w:rPr>
              <m:t>f</m:t>
            </m:r>
          </m:e>
          <m:sub>
            <m:r>
              <m:rPr>
                <m:sty m:val="p"/>
              </m:rPr>
              <w:rPr>
                <w:rFonts w:ascii="Cambria Math" w:eastAsia="Tw Cen MT" w:hAnsi="Cambria Math"/>
                <w:kern w:val="24"/>
              </w:rPr>
              <m:t>1</m:t>
            </m:r>
          </m:sub>
        </m:sSub>
      </m:oMath>
      <w:r w:rsidR="00C057AA" w:rsidRPr="00EE2DE7">
        <w:rPr>
          <w:rFonts w:eastAsia="MS Mincho"/>
          <w:kern w:val="24"/>
          <w:lang w:eastAsia="en-GB"/>
        </w:rPr>
        <w:fldChar w:fldCharType="end"/>
      </w:r>
      <w:r w:rsidR="00EF53DA" w:rsidRPr="00EE2DE7">
        <w:rPr>
          <w:rFonts w:eastAsia="MS Mincho"/>
          <w:kern w:val="24"/>
          <w:lang w:eastAsia="en-GB"/>
        </w:rPr>
        <w:t>=</w:t>
      </w:r>
      <w:r w:rsidR="00EF53DA" w:rsidRPr="00EE2DE7">
        <w:rPr>
          <w:rFonts w:eastAsia="MS Mincho"/>
          <w:kern w:val="24"/>
          <w:lang w:eastAsia="ja-JP"/>
        </w:rPr>
        <w:t xml:space="preserve"> 2 (dy) koeficienti i vështirësisë për temën e vitit të dytë </w:t>
      </w:r>
      <m:oMath>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 xml:space="preserve">6 </m:t>
            </m:r>
          </m:sub>
        </m:sSub>
        <m:r>
          <m:rPr>
            <m:sty m:val="p"/>
          </m:rPr>
          <w:rPr>
            <w:rFonts w:ascii="Cambria Math" w:eastAsia="Tw Cen MT" w:hAnsi="Cambria Math"/>
            <w:kern w:val="24"/>
          </w:rPr>
          <m:t>)</m:t>
        </m:r>
      </m:oMath>
      <w:r w:rsidR="00EF53DA" w:rsidRPr="00EE2DE7">
        <w:rPr>
          <w:rFonts w:eastAsia="MS Mincho"/>
          <w:kern w:val="24"/>
          <w:lang w:eastAsia="ja-JP"/>
        </w:rPr>
        <w:t>;</w:t>
      </w:r>
    </w:p>
    <w:p w:rsidR="00EF53DA" w:rsidRPr="00EE2DE7" w:rsidRDefault="00CF3AE0" w:rsidP="00EF53DA">
      <w:pPr>
        <w:spacing w:line="276" w:lineRule="auto"/>
        <w:jc w:val="both"/>
        <w:rPr>
          <w:rFonts w:eastAsia="MS Mincho"/>
          <w:kern w:val="24"/>
          <w:lang w:eastAsia="ja-JP"/>
        </w:rPr>
      </w:pPr>
      <m:oMath>
        <m:sSub>
          <m:sSubPr>
            <m:ctrlPr>
              <w:rPr>
                <w:rFonts w:ascii="Cambria Math" w:eastAsia="Tw Cen MT" w:hAnsi="Cambria Math"/>
                <w:kern w:val="24"/>
              </w:rPr>
            </m:ctrlPr>
          </m:sSubPr>
          <m:e>
            <m:r>
              <w:rPr>
                <w:rFonts w:ascii="Cambria Math" w:eastAsia="Tw Cen MT" w:hAnsi="Cambria Math"/>
                <w:kern w:val="24"/>
              </w:rPr>
              <m:t>f</m:t>
            </m:r>
          </m:e>
          <m:sub>
            <m:r>
              <m:rPr>
                <m:sty m:val="p"/>
              </m:rPr>
              <w:rPr>
                <w:rFonts w:ascii="Cambria Math" w:eastAsia="Tw Cen MT" w:hAnsi="Cambria Math"/>
                <w:kern w:val="24"/>
              </w:rPr>
              <m:t>3</m:t>
            </m:r>
          </m:sub>
        </m:sSub>
      </m:oMath>
      <w:r w:rsidR="00C057AA" w:rsidRPr="00EE2DE7">
        <w:rPr>
          <w:rFonts w:eastAsia="MS Mincho"/>
          <w:kern w:val="24"/>
          <w:lang w:eastAsia="en-GB"/>
        </w:rPr>
        <w:fldChar w:fldCharType="begin"/>
      </w:r>
      <w:r w:rsidR="00EF53DA" w:rsidRPr="00EE2DE7">
        <w:rPr>
          <w:rFonts w:eastAsia="MS Mincho"/>
          <w:kern w:val="24"/>
          <w:lang w:eastAsia="en-GB"/>
        </w:rPr>
        <w:instrText xml:space="preserve"> QUOTE </w:instrText>
      </w:r>
      <m:oMath>
        <m:sSub>
          <m:sSubPr>
            <m:ctrlPr>
              <w:rPr>
                <w:rFonts w:ascii="Cambria Math" w:eastAsia="Tw Cen MT" w:hAnsi="Cambria Math"/>
                <w:kern w:val="24"/>
              </w:rPr>
            </m:ctrlPr>
          </m:sSubPr>
          <m:e>
            <m:r>
              <m:rPr>
                <m:sty m:val="p"/>
              </m:rPr>
              <w:rPr>
                <w:rFonts w:ascii="Cambria Math" w:eastAsia="Tw Cen MT" w:hAnsi="Cambria Math"/>
                <w:kern w:val="24"/>
              </w:rPr>
              <m:t>f</m:t>
            </m:r>
          </m:e>
          <m:sub>
            <m:r>
              <m:rPr>
                <m:sty m:val="p"/>
              </m:rPr>
              <w:rPr>
                <w:rFonts w:ascii="Cambria Math" w:eastAsia="Tw Cen MT" w:hAnsi="Cambria Math"/>
                <w:kern w:val="24"/>
              </w:rPr>
              <m:t>1</m:t>
            </m:r>
          </m:sub>
        </m:sSub>
      </m:oMath>
      <w:r w:rsidR="00C057AA" w:rsidRPr="00EE2DE7">
        <w:rPr>
          <w:rFonts w:eastAsia="MS Mincho"/>
          <w:kern w:val="24"/>
          <w:lang w:eastAsia="en-GB"/>
        </w:rPr>
        <w:fldChar w:fldCharType="end"/>
      </w:r>
      <w:r w:rsidR="00EF53DA" w:rsidRPr="00EE2DE7">
        <w:rPr>
          <w:rFonts w:eastAsia="MS Mincho"/>
          <w:kern w:val="24"/>
          <w:lang w:eastAsia="en-GB"/>
        </w:rPr>
        <w:t>=</w:t>
      </w:r>
      <w:r w:rsidR="00EF53DA" w:rsidRPr="00EE2DE7">
        <w:rPr>
          <w:rFonts w:eastAsia="MS Mincho"/>
          <w:kern w:val="24"/>
          <w:lang w:eastAsia="ja-JP"/>
        </w:rPr>
        <w:t xml:space="preserve"> 2 (dy) koeficienti i vështirësisë për vlerësimin e stazhit profesional nga tre magjistratët udhëheqës (x</w:t>
      </w:r>
      <w:r w:rsidR="00EF53DA" w:rsidRPr="00EE2DE7">
        <w:rPr>
          <w:rFonts w:eastAsia="MS Mincho"/>
          <w:kern w:val="24"/>
          <w:sz w:val="18"/>
          <w:szCs w:val="18"/>
          <w:lang w:eastAsia="ja-JP"/>
        </w:rPr>
        <w:t>7</w:t>
      </w:r>
      <w:r w:rsidR="00EF53DA" w:rsidRPr="00EE2DE7">
        <w:rPr>
          <w:rFonts w:eastAsia="MS Mincho"/>
          <w:kern w:val="24"/>
          <w:lang w:eastAsia="ja-JP"/>
        </w:rPr>
        <w:t>).</w:t>
      </w:r>
    </w:p>
    <w:p w:rsidR="00EF53DA" w:rsidRDefault="00EF53DA" w:rsidP="00EF53DA">
      <w:pPr>
        <w:tabs>
          <w:tab w:val="left" w:pos="1200"/>
        </w:tabs>
        <w:spacing w:line="276" w:lineRule="auto"/>
        <w:jc w:val="both"/>
        <w:rPr>
          <w:rFonts w:eastAsia="MS Mincho"/>
          <w:kern w:val="24"/>
          <w:lang w:eastAsia="ja-JP"/>
        </w:rPr>
      </w:pPr>
      <w:r w:rsidRPr="00EE2DE7">
        <w:rPr>
          <w:rFonts w:eastAsia="MS Mincho"/>
          <w:kern w:val="24"/>
          <w:lang w:eastAsia="ja-JP"/>
        </w:rPr>
        <w:tab/>
      </w:r>
    </w:p>
    <w:p w:rsidR="00B02831" w:rsidRPr="00036DBB" w:rsidRDefault="00B02831" w:rsidP="00036DBB">
      <w:pPr>
        <w:spacing w:line="276" w:lineRule="auto"/>
        <w:ind w:right="26"/>
        <w:jc w:val="both"/>
        <w:rPr>
          <w:rFonts w:eastAsia="Tw Cen MT"/>
        </w:rPr>
      </w:pPr>
    </w:p>
    <w:p w:rsidR="00B02831" w:rsidRPr="00036DBB" w:rsidRDefault="00B02831" w:rsidP="00036DBB">
      <w:pPr>
        <w:spacing w:line="276" w:lineRule="auto"/>
        <w:ind w:right="26"/>
        <w:jc w:val="both"/>
        <w:rPr>
          <w:rFonts w:eastAsia="Tw Cen MT"/>
        </w:rPr>
      </w:pPr>
    </w:p>
    <w:p w:rsidR="00B02831" w:rsidRPr="00036DBB" w:rsidRDefault="00B02831" w:rsidP="00036DBB">
      <w:pPr>
        <w:spacing w:line="276" w:lineRule="auto"/>
        <w:ind w:right="26"/>
        <w:jc w:val="both"/>
        <w:rPr>
          <w:rFonts w:eastAsia="Tw Cen MT"/>
        </w:rPr>
      </w:pPr>
    </w:p>
    <w:p w:rsidR="00B02831" w:rsidRPr="00036DBB" w:rsidRDefault="00B02831" w:rsidP="00036DBB">
      <w:pPr>
        <w:spacing w:line="276" w:lineRule="auto"/>
        <w:ind w:right="26"/>
        <w:jc w:val="both"/>
        <w:rPr>
          <w:rFonts w:eastAsia="Tw Cen MT"/>
        </w:rPr>
      </w:pPr>
    </w:p>
    <w:p w:rsidR="00B02831" w:rsidRPr="00036DBB" w:rsidRDefault="00B02831" w:rsidP="00036DBB">
      <w:pPr>
        <w:spacing w:line="276" w:lineRule="auto"/>
        <w:ind w:right="26"/>
        <w:jc w:val="both"/>
        <w:rPr>
          <w:rFonts w:eastAsia="Tw Cen MT"/>
        </w:rPr>
      </w:pPr>
    </w:p>
    <w:p w:rsidR="00B02831" w:rsidRPr="00036DBB" w:rsidRDefault="00B02831" w:rsidP="00036DBB">
      <w:pPr>
        <w:spacing w:line="276" w:lineRule="auto"/>
        <w:ind w:right="26"/>
        <w:jc w:val="both"/>
        <w:rPr>
          <w:rFonts w:eastAsia="Tw Cen MT"/>
        </w:rPr>
      </w:pPr>
    </w:p>
    <w:p w:rsidR="00B02831" w:rsidRPr="00036DBB" w:rsidRDefault="00B02831" w:rsidP="00036DBB">
      <w:pPr>
        <w:spacing w:line="276" w:lineRule="auto"/>
        <w:ind w:right="26"/>
        <w:jc w:val="both"/>
        <w:rPr>
          <w:rFonts w:eastAsia="Tw Cen MT"/>
        </w:rPr>
      </w:pPr>
    </w:p>
    <w:p w:rsidR="00B02831" w:rsidRPr="00036DBB" w:rsidRDefault="00B02831" w:rsidP="00036DBB">
      <w:pPr>
        <w:spacing w:line="276" w:lineRule="auto"/>
        <w:ind w:right="26"/>
        <w:jc w:val="both"/>
        <w:rPr>
          <w:rFonts w:eastAsia="Tw Cen MT"/>
        </w:rPr>
      </w:pPr>
    </w:p>
    <w:p w:rsidR="00B02831" w:rsidRDefault="00B02831" w:rsidP="005F5AE4">
      <w:pPr>
        <w:pStyle w:val="My"/>
        <w:spacing w:line="276" w:lineRule="auto"/>
        <w:ind w:firstLine="360"/>
        <w:jc w:val="both"/>
        <w:rPr>
          <w:rFonts w:ascii="Times New Roman" w:hAnsi="Times New Roman" w:cs="Times New Roman"/>
          <w:lang w:val="en-US"/>
        </w:rPr>
      </w:pPr>
    </w:p>
    <w:p w:rsidR="00B02831" w:rsidRDefault="00B02831" w:rsidP="005F5AE4">
      <w:pPr>
        <w:pStyle w:val="My"/>
        <w:spacing w:line="276" w:lineRule="auto"/>
        <w:ind w:firstLine="360"/>
        <w:jc w:val="both"/>
        <w:rPr>
          <w:rFonts w:ascii="Times New Roman" w:hAnsi="Times New Roman" w:cs="Times New Roman"/>
          <w:lang w:val="en-US"/>
        </w:rPr>
      </w:pPr>
    </w:p>
    <w:p w:rsidR="00B02831" w:rsidRDefault="00B02831" w:rsidP="005F5AE4">
      <w:pPr>
        <w:pStyle w:val="My"/>
        <w:spacing w:line="276" w:lineRule="auto"/>
        <w:ind w:firstLine="360"/>
        <w:jc w:val="both"/>
        <w:rPr>
          <w:rFonts w:ascii="Times New Roman" w:hAnsi="Times New Roman" w:cs="Times New Roman"/>
          <w:lang w:val="en-US"/>
        </w:rPr>
      </w:pPr>
    </w:p>
    <w:p w:rsidR="00B02831" w:rsidRDefault="00B02831" w:rsidP="005F5AE4">
      <w:pPr>
        <w:pStyle w:val="My"/>
        <w:spacing w:line="276" w:lineRule="auto"/>
        <w:ind w:firstLine="360"/>
        <w:jc w:val="both"/>
        <w:rPr>
          <w:rFonts w:ascii="Times New Roman" w:hAnsi="Times New Roman" w:cs="Times New Roman"/>
          <w:lang w:val="en-US"/>
        </w:rPr>
      </w:pPr>
    </w:p>
    <w:p w:rsidR="00B02831" w:rsidRDefault="00B02831" w:rsidP="005F5AE4">
      <w:pPr>
        <w:pStyle w:val="My"/>
        <w:spacing w:line="276" w:lineRule="auto"/>
        <w:ind w:firstLine="360"/>
        <w:jc w:val="both"/>
        <w:rPr>
          <w:rFonts w:ascii="Times New Roman" w:hAnsi="Times New Roman" w:cs="Times New Roman"/>
          <w:lang w:val="en-US"/>
        </w:rPr>
      </w:pPr>
    </w:p>
    <w:p w:rsidR="00B02831" w:rsidRDefault="00B02831" w:rsidP="005F5AE4">
      <w:pPr>
        <w:pStyle w:val="My"/>
        <w:spacing w:line="276" w:lineRule="auto"/>
        <w:ind w:firstLine="360"/>
        <w:jc w:val="both"/>
        <w:rPr>
          <w:rFonts w:ascii="Times New Roman" w:hAnsi="Times New Roman" w:cs="Times New Roman"/>
          <w:lang w:val="en-US"/>
        </w:rPr>
      </w:pPr>
    </w:p>
    <w:p w:rsidR="00B02831" w:rsidRDefault="00B02831" w:rsidP="005F5AE4">
      <w:pPr>
        <w:pStyle w:val="My"/>
        <w:spacing w:line="276" w:lineRule="auto"/>
        <w:ind w:firstLine="360"/>
        <w:jc w:val="both"/>
        <w:rPr>
          <w:rFonts w:ascii="Times New Roman" w:hAnsi="Times New Roman" w:cs="Times New Roman"/>
          <w:lang w:val="en-US"/>
        </w:rPr>
      </w:pPr>
    </w:p>
    <w:p w:rsidR="00B02831" w:rsidRDefault="00B02831" w:rsidP="005F5AE4">
      <w:pPr>
        <w:pStyle w:val="My"/>
        <w:spacing w:line="276" w:lineRule="auto"/>
        <w:ind w:firstLine="360"/>
        <w:jc w:val="both"/>
        <w:rPr>
          <w:rFonts w:ascii="Times New Roman" w:hAnsi="Times New Roman" w:cs="Times New Roman"/>
          <w:lang w:val="en-US"/>
        </w:rPr>
      </w:pPr>
    </w:p>
    <w:p w:rsidR="00B02831" w:rsidRDefault="00B02831" w:rsidP="005F5AE4">
      <w:pPr>
        <w:pStyle w:val="My"/>
        <w:spacing w:line="276" w:lineRule="auto"/>
        <w:ind w:firstLine="360"/>
        <w:jc w:val="both"/>
        <w:rPr>
          <w:rFonts w:ascii="Times New Roman" w:hAnsi="Times New Roman" w:cs="Times New Roman"/>
          <w:lang w:val="en-US"/>
        </w:rPr>
      </w:pPr>
    </w:p>
    <w:p w:rsidR="00B02831" w:rsidRDefault="00B02831" w:rsidP="005F5AE4">
      <w:pPr>
        <w:pStyle w:val="My"/>
        <w:spacing w:line="276" w:lineRule="auto"/>
        <w:ind w:firstLine="360"/>
        <w:jc w:val="both"/>
        <w:rPr>
          <w:rFonts w:ascii="Times New Roman" w:hAnsi="Times New Roman" w:cs="Times New Roman"/>
          <w:lang w:val="en-US"/>
        </w:rPr>
      </w:pPr>
    </w:p>
    <w:p w:rsidR="00B02831" w:rsidRDefault="00B02831" w:rsidP="005F5AE4">
      <w:pPr>
        <w:pStyle w:val="My"/>
        <w:spacing w:line="276" w:lineRule="auto"/>
        <w:ind w:firstLine="360"/>
        <w:jc w:val="both"/>
        <w:rPr>
          <w:rFonts w:ascii="Times New Roman" w:hAnsi="Times New Roman" w:cs="Times New Roman"/>
          <w:lang w:val="en-US"/>
        </w:rPr>
      </w:pPr>
    </w:p>
    <w:p w:rsidR="00A87BD2" w:rsidRPr="006621AA" w:rsidRDefault="00A87BD2" w:rsidP="005F5AE4">
      <w:pPr>
        <w:pStyle w:val="My"/>
        <w:spacing w:line="276" w:lineRule="auto"/>
        <w:ind w:firstLine="360"/>
        <w:jc w:val="both"/>
        <w:rPr>
          <w:rFonts w:ascii="Times New Roman" w:hAnsi="Times New Roman" w:cs="Times New Roman"/>
          <w:color w:val="CC9966" w:themeColor="accent2"/>
          <w:lang w:val="en-US"/>
        </w:rPr>
      </w:pPr>
    </w:p>
    <w:p w:rsidR="007C61A8" w:rsidRPr="00EF53DA" w:rsidRDefault="007C61A8" w:rsidP="00EF53DA">
      <w:pPr>
        <w:spacing w:line="276" w:lineRule="auto"/>
        <w:rPr>
          <w:b/>
          <w:color w:val="CC9966" w:themeColor="accent2"/>
          <w:sz w:val="32"/>
        </w:rPr>
      </w:pPr>
    </w:p>
    <w:p w:rsidR="00A87BD2" w:rsidRPr="006621AA" w:rsidRDefault="00A87BD2" w:rsidP="00EF53DA">
      <w:pPr>
        <w:pStyle w:val="My"/>
        <w:spacing w:line="276" w:lineRule="auto"/>
        <w:ind w:firstLine="360"/>
        <w:jc w:val="both"/>
        <w:sectPr w:rsidR="00A87BD2" w:rsidRPr="006621AA" w:rsidSect="00A87BD2">
          <w:type w:val="continuous"/>
          <w:pgSz w:w="12240" w:h="15840" w:code="1"/>
          <w:pgMar w:top="630" w:right="990" w:bottom="1620" w:left="990" w:header="360" w:footer="371" w:gutter="0"/>
          <w:cols w:num="2" w:space="708"/>
          <w:docGrid w:linePitch="360"/>
        </w:sectPr>
      </w:pPr>
      <w:r w:rsidRPr="006621AA">
        <w:rPr>
          <w:rStyle w:val="sowc"/>
          <w:rFonts w:ascii="Times New Roman" w:hAnsi="Times New Roman" w:cs="Times New Roman"/>
          <w:lang w:val="en-US"/>
        </w:rPr>
        <w:t xml:space="preserve"> </w:t>
      </w:r>
    </w:p>
    <w:p w:rsidR="00D348B0" w:rsidRDefault="00D348B0" w:rsidP="005F5AE4">
      <w:pPr>
        <w:pStyle w:val="My"/>
        <w:spacing w:line="276" w:lineRule="auto"/>
        <w:ind w:firstLine="360"/>
        <w:jc w:val="both"/>
        <w:rPr>
          <w:rFonts w:ascii="Times New Roman" w:hAnsi="Times New Roman" w:cs="Times New Roman"/>
          <w:color w:val="CC9966" w:themeColor="accent2"/>
          <w:lang w:val="en-US"/>
        </w:rPr>
      </w:pPr>
    </w:p>
    <w:p w:rsidR="00EF53DA" w:rsidRDefault="00EF53DA" w:rsidP="005F5AE4">
      <w:pPr>
        <w:pStyle w:val="My"/>
        <w:spacing w:line="276" w:lineRule="auto"/>
        <w:ind w:firstLine="360"/>
        <w:jc w:val="both"/>
        <w:rPr>
          <w:rFonts w:ascii="Times New Roman" w:hAnsi="Times New Roman" w:cs="Times New Roman"/>
          <w:color w:val="CC9966" w:themeColor="accent2"/>
          <w:lang w:val="en-US"/>
        </w:rPr>
      </w:pPr>
    </w:p>
    <w:p w:rsidR="00EF53DA" w:rsidRPr="006621AA" w:rsidRDefault="00EF53DA" w:rsidP="005F5AE4">
      <w:pPr>
        <w:pStyle w:val="My"/>
        <w:spacing w:line="276" w:lineRule="auto"/>
        <w:ind w:firstLine="360"/>
        <w:jc w:val="both"/>
        <w:rPr>
          <w:rFonts w:ascii="Times New Roman" w:hAnsi="Times New Roman" w:cs="Times New Roman"/>
          <w:color w:val="CC9966" w:themeColor="accent2"/>
          <w:lang w:val="en-US"/>
        </w:rPr>
      </w:pPr>
    </w:p>
    <w:p w:rsidR="00BE34C5" w:rsidRPr="006621AA" w:rsidRDefault="00CF3AE0" w:rsidP="00B70876">
      <w:pPr>
        <w:tabs>
          <w:tab w:val="left" w:pos="10260"/>
        </w:tabs>
      </w:pPr>
      <w:r>
        <w:rPr>
          <w:noProof/>
          <w:lang w:eastAsia="en-US"/>
        </w:rPr>
        <w:lastRenderedPageBreak/>
        <w:pict>
          <v:rect id="Rectangle 199" o:spid="_x0000_s1031" style="position:absolute;margin-left:-25.75pt;margin-top:-24.65pt;width:601.9pt;height:43.2pt;z-index:2516935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" fillcolor="#4f81bd" stroked="f" strokeweight="2pt">
            <v:textbox>
              <w:txbxContent>
                <w:p w:rsidR="005372E3" w:rsidRPr="004B6956" w:rsidRDefault="005372E3" w:rsidP="004B6956">
                  <w:pPr>
                    <w:rPr>
                      <w:szCs w:val="56"/>
                    </w:rPr>
                  </w:pPr>
                  <w:r>
                    <w:rPr>
                      <w:b/>
                      <w:color w:val="FFFFFF" w:themeColor="background1"/>
                      <w:sz w:val="56"/>
                      <w:szCs w:val="56"/>
                    </w:rPr>
                    <w:t xml:space="preserve">2. </w:t>
                  </w:r>
                  <w:r w:rsidRPr="004B6956">
                    <w:rPr>
                      <w:b/>
                      <w:color w:val="FFFFFF" w:themeColor="background1"/>
                      <w:sz w:val="56"/>
                      <w:szCs w:val="56"/>
                    </w:rPr>
                    <w:t>PROGRAMI I FORMIMIT VAZHDUES</w:t>
                  </w:r>
                </w:p>
              </w:txbxContent>
            </v:textbox>
          </v:rect>
        </w:pict>
      </w:r>
    </w:p>
    <w:p w:rsidR="00F0441F" w:rsidRDefault="00F0441F" w:rsidP="00B70876">
      <w:pPr>
        <w:tabs>
          <w:tab w:val="left" w:pos="10260"/>
        </w:tabs>
      </w:pPr>
    </w:p>
    <w:p w:rsidR="00A41A6D" w:rsidRDefault="00A41A6D" w:rsidP="00B70876">
      <w:pPr>
        <w:tabs>
          <w:tab w:val="left" w:pos="10260"/>
        </w:tabs>
      </w:pPr>
    </w:p>
    <w:p w:rsidR="00A41A6D" w:rsidRPr="00A41A6D" w:rsidRDefault="00A41A6D" w:rsidP="00A41A6D">
      <w:pPr>
        <w:spacing w:line="276" w:lineRule="auto"/>
        <w:rPr>
          <w:b/>
          <w:color w:val="CC9966" w:themeColor="accent2"/>
          <w:sz w:val="32"/>
        </w:rPr>
      </w:pPr>
      <w:r w:rsidRPr="00A41A6D">
        <w:rPr>
          <w:b/>
          <w:color w:val="CC9966" w:themeColor="accent2"/>
          <w:sz w:val="32"/>
        </w:rPr>
        <w:t>2.1</w:t>
      </w:r>
      <w:r>
        <w:rPr>
          <w:b/>
          <w:color w:val="CC9966" w:themeColor="accent2"/>
          <w:sz w:val="32"/>
        </w:rPr>
        <w:t xml:space="preserve">. </w:t>
      </w:r>
      <w:r w:rsidRPr="00A41A6D">
        <w:rPr>
          <w:b/>
          <w:color w:val="CC9966" w:themeColor="accent2"/>
          <w:sz w:val="32"/>
        </w:rPr>
        <w:t xml:space="preserve"> Realizimi i Programit të Formimit Vazhdues për vitin akademik 2017-2018 </w:t>
      </w:r>
    </w:p>
    <w:p w:rsidR="009D4032" w:rsidRDefault="009D4032" w:rsidP="00A41A6D">
      <w:pPr>
        <w:pStyle w:val="My"/>
        <w:spacing w:line="276" w:lineRule="auto"/>
        <w:ind w:firstLine="360"/>
        <w:jc w:val="both"/>
        <w:rPr>
          <w:rFonts w:ascii="Times New Roman" w:hAnsi="Times New Roman" w:cs="Times New Roman"/>
          <w:lang w:val="en-US"/>
        </w:rPr>
      </w:pPr>
    </w:p>
    <w:p w:rsidR="009D4032" w:rsidRPr="00EE2DE7" w:rsidRDefault="009D4032" w:rsidP="009D4032">
      <w:pPr>
        <w:spacing w:line="276" w:lineRule="auto"/>
        <w:jc w:val="both"/>
        <w:outlineLvl w:val="0"/>
        <w:rPr>
          <w:rFonts w:eastAsia="Calibri"/>
          <w:b/>
          <w:i/>
          <w:color w:val="355D7E"/>
          <w:kern w:val="24"/>
        </w:rPr>
      </w:pPr>
      <w:r w:rsidRPr="00EE2DE7">
        <w:rPr>
          <w:rFonts w:eastAsia="Calibri"/>
          <w:b/>
          <w:color w:val="355D7E"/>
          <w:kern w:val="24"/>
        </w:rPr>
        <w:t>Baza ligjore:</w:t>
      </w:r>
    </w:p>
    <w:p w:rsidR="009D4032" w:rsidRPr="00EE2DE7" w:rsidRDefault="009D4032" w:rsidP="009D4032">
      <w:pPr>
        <w:autoSpaceDE w:val="0"/>
        <w:autoSpaceDN w:val="0"/>
        <w:adjustRightInd w:val="0"/>
        <w:spacing w:line="276" w:lineRule="auto"/>
        <w:ind w:firstLine="720"/>
        <w:jc w:val="both"/>
        <w:rPr>
          <w:rFonts w:eastAsia="Times New Roman"/>
          <w:lang w:eastAsia="en-GB"/>
        </w:rPr>
      </w:pPr>
      <w:r w:rsidRPr="00EE2DE7">
        <w:rPr>
          <w:rFonts w:eastAsia="Times New Roman"/>
          <w:lang w:eastAsia="en-GB"/>
        </w:rPr>
        <w:t>Baza ligjore në fuqi lidhur me Programin e Formimit Vazhdues [PFV] është:</w:t>
      </w:r>
    </w:p>
    <w:p w:rsidR="009D4032" w:rsidRPr="00EE2DE7" w:rsidRDefault="009D4032" w:rsidP="009D4032">
      <w:pPr>
        <w:autoSpaceDE w:val="0"/>
        <w:autoSpaceDN w:val="0"/>
        <w:adjustRightInd w:val="0"/>
        <w:spacing w:line="276" w:lineRule="auto"/>
        <w:ind w:firstLine="720"/>
        <w:jc w:val="both"/>
        <w:rPr>
          <w:rFonts w:eastAsia="Times New Roman"/>
          <w:lang w:eastAsia="en-GB"/>
        </w:rPr>
      </w:pPr>
      <w:r w:rsidRPr="00EE2DE7">
        <w:rPr>
          <w:rFonts w:eastAsia="Times New Roman"/>
          <w:lang w:eastAsia="en-GB"/>
        </w:rPr>
        <w:t>1. Ligji nr. 115/2016, “</w:t>
      </w:r>
      <w:r w:rsidRPr="00EE2DE7">
        <w:rPr>
          <w:rFonts w:eastAsia="Times New Roman"/>
          <w:i/>
          <w:lang w:eastAsia="en-GB"/>
        </w:rPr>
        <w:t>Për organet e qeverisjes së sistemit të drejtësisë</w:t>
      </w:r>
      <w:r w:rsidRPr="00EE2DE7">
        <w:rPr>
          <w:rFonts w:eastAsia="Times New Roman"/>
          <w:lang w:eastAsia="en-GB"/>
        </w:rPr>
        <w:t xml:space="preserve">”; </w:t>
      </w:r>
    </w:p>
    <w:p w:rsidR="009D4032" w:rsidRPr="00EE2DE7" w:rsidRDefault="009D4032" w:rsidP="009D4032">
      <w:pPr>
        <w:autoSpaceDE w:val="0"/>
        <w:autoSpaceDN w:val="0"/>
        <w:adjustRightInd w:val="0"/>
        <w:spacing w:line="276" w:lineRule="auto"/>
        <w:ind w:firstLine="720"/>
        <w:jc w:val="both"/>
        <w:rPr>
          <w:rFonts w:eastAsia="Times New Roman"/>
          <w:lang w:eastAsia="en-GB"/>
        </w:rPr>
      </w:pPr>
      <w:r w:rsidRPr="00EE2DE7">
        <w:rPr>
          <w:rFonts w:eastAsia="Times New Roman"/>
          <w:lang w:eastAsia="en-GB"/>
        </w:rPr>
        <w:t>2. Ligji nr. 96/2016, “</w:t>
      </w:r>
      <w:r w:rsidRPr="00EE2DE7">
        <w:rPr>
          <w:rFonts w:eastAsia="Times New Roman"/>
          <w:i/>
          <w:lang w:eastAsia="en-GB"/>
        </w:rPr>
        <w:t>Për statusin e gjyqtarëve dhe prokurorëve në Republikën e Shqipërisë</w:t>
      </w:r>
      <w:r w:rsidRPr="00EE2DE7">
        <w:rPr>
          <w:rFonts w:eastAsia="Times New Roman"/>
          <w:lang w:eastAsia="en-GB"/>
        </w:rPr>
        <w:t xml:space="preserve">”; </w:t>
      </w:r>
    </w:p>
    <w:p w:rsidR="009D4032" w:rsidRPr="00EE2DE7" w:rsidRDefault="009D4032" w:rsidP="009D4032">
      <w:pPr>
        <w:autoSpaceDE w:val="0"/>
        <w:autoSpaceDN w:val="0"/>
        <w:adjustRightInd w:val="0"/>
        <w:spacing w:line="276" w:lineRule="auto"/>
        <w:ind w:firstLine="720"/>
        <w:jc w:val="both"/>
        <w:rPr>
          <w:rFonts w:eastAsia="Times New Roman"/>
          <w:lang w:eastAsia="en-GB"/>
        </w:rPr>
      </w:pPr>
      <w:r>
        <w:rPr>
          <w:rFonts w:eastAsia="Times New Roman"/>
          <w:lang w:eastAsia="en-GB"/>
        </w:rPr>
        <w:t xml:space="preserve">3. </w:t>
      </w:r>
      <w:r w:rsidRPr="00EE2DE7">
        <w:rPr>
          <w:rFonts w:eastAsia="Times New Roman"/>
          <w:lang w:eastAsia="en-GB"/>
        </w:rPr>
        <w:t>Ligji nr. 97/2016, “</w:t>
      </w:r>
      <w:r w:rsidRPr="00EE2DE7">
        <w:rPr>
          <w:rFonts w:eastAsia="Times New Roman"/>
          <w:i/>
          <w:lang w:eastAsia="en-GB"/>
        </w:rPr>
        <w:t>Për organizimin dhe funksionimin e prokurorisë në Republikën e Shqipërisë</w:t>
      </w:r>
      <w:r w:rsidRPr="00EE2DE7">
        <w:rPr>
          <w:rFonts w:eastAsia="Times New Roman"/>
          <w:lang w:eastAsia="en-GB"/>
        </w:rPr>
        <w:t xml:space="preserve">”; </w:t>
      </w:r>
    </w:p>
    <w:p w:rsidR="009D4032" w:rsidRPr="00EE2DE7" w:rsidRDefault="009D4032" w:rsidP="009D4032">
      <w:pPr>
        <w:autoSpaceDE w:val="0"/>
        <w:autoSpaceDN w:val="0"/>
        <w:adjustRightInd w:val="0"/>
        <w:spacing w:line="276" w:lineRule="auto"/>
        <w:ind w:firstLine="720"/>
        <w:jc w:val="both"/>
        <w:rPr>
          <w:rFonts w:eastAsia="Times New Roman"/>
          <w:lang w:eastAsia="en-GB"/>
        </w:rPr>
      </w:pPr>
      <w:r w:rsidRPr="00EE2DE7">
        <w:rPr>
          <w:rFonts w:eastAsia="Times New Roman"/>
          <w:lang w:eastAsia="en-GB"/>
        </w:rPr>
        <w:t>4. Ligji nr. 98/2016, “</w:t>
      </w:r>
      <w:r w:rsidRPr="00EE2DE7">
        <w:rPr>
          <w:rFonts w:eastAsia="Times New Roman"/>
          <w:i/>
          <w:lang w:eastAsia="en-GB"/>
        </w:rPr>
        <w:t>Për organizimin e pushtetit gjyqësor në Republikën e Shqipërisë</w:t>
      </w:r>
      <w:r w:rsidRPr="00EE2DE7">
        <w:rPr>
          <w:rFonts w:eastAsia="Times New Roman"/>
          <w:lang w:eastAsia="en-GB"/>
        </w:rPr>
        <w:t xml:space="preserve">”. </w:t>
      </w:r>
    </w:p>
    <w:p w:rsidR="009D4032" w:rsidRPr="00EE2DE7" w:rsidRDefault="009D4032" w:rsidP="009D4032">
      <w:pPr>
        <w:spacing w:line="276" w:lineRule="auto"/>
        <w:ind w:firstLine="720"/>
        <w:jc w:val="both"/>
        <w:rPr>
          <w:rFonts w:eastAsia="Times New Roman"/>
          <w:kern w:val="24"/>
          <w:lang w:eastAsia="en-GB"/>
        </w:rPr>
      </w:pPr>
      <w:r w:rsidRPr="00EE2DE7">
        <w:rPr>
          <w:rFonts w:eastAsia="Times New Roman"/>
          <w:kern w:val="24"/>
          <w:lang w:eastAsia="en-GB"/>
        </w:rPr>
        <w:t xml:space="preserve">Hyrja në fuqi e këtyre ligjeve është shoqëruar me ndryshime të konsiderueshme përsa i takon Formimit Vazhdues të gjyqtarëve dhe prokurorëve në detyrë, por jo vetëm. </w:t>
      </w:r>
    </w:p>
    <w:p w:rsidR="009D4032" w:rsidRPr="00EE2DE7" w:rsidRDefault="009D4032" w:rsidP="009D4032">
      <w:pPr>
        <w:spacing w:line="276" w:lineRule="auto"/>
        <w:ind w:firstLine="720"/>
        <w:jc w:val="both"/>
        <w:rPr>
          <w:rFonts w:eastAsia="Times New Roman"/>
          <w:kern w:val="24"/>
          <w:lang w:eastAsia="en-GB"/>
        </w:rPr>
      </w:pPr>
      <w:r w:rsidRPr="00EE2DE7">
        <w:rPr>
          <w:rFonts w:eastAsia="Times New Roman"/>
          <w:kern w:val="24"/>
          <w:lang w:eastAsia="en-GB"/>
        </w:rPr>
        <w:t xml:space="preserve">Me ndryshimet e reja ligjore, subjekte të Formimit Vazhdues në Shkollën e Magjistraturës janë jo vetëm gjyqtarët e prokurorët në detyrë pranë gjykatave dhe prokurorive të rretheve gjyqësore dhe gjykatave dhe prokurorive të apelit, por edhe: gjyqtarët e Gjykatës së Lartë dhe prokurorët e Prokurorisë së Përgjithshme dhe të SPAK-ut;  avokatët e shtetit në detyrë;  këshilltarët dhe ndihmësit ligjorë në detyrë në gjykata dhe prokurori; kancelarët në detyrë në gjykata dhe prokurori si edhe gjyqtarët dhe prokurorët që nuk kalojnë procesin e </w:t>
      </w:r>
      <w:r>
        <w:rPr>
          <w:rFonts w:eastAsia="Times New Roman"/>
          <w:i/>
          <w:kern w:val="24"/>
          <w:lang w:eastAsia="en-GB"/>
        </w:rPr>
        <w:t>ve</w:t>
      </w:r>
      <w:r w:rsidRPr="00EE2DE7">
        <w:rPr>
          <w:rFonts w:eastAsia="Times New Roman"/>
          <w:i/>
          <w:kern w:val="24"/>
          <w:lang w:eastAsia="en-GB"/>
        </w:rPr>
        <w:t>tingut</w:t>
      </w:r>
      <w:r w:rsidRPr="00EE2DE7">
        <w:rPr>
          <w:rFonts w:eastAsia="Times New Roman"/>
          <w:kern w:val="24"/>
          <w:lang w:eastAsia="en-GB"/>
        </w:rPr>
        <w:t xml:space="preserve">. </w:t>
      </w:r>
    </w:p>
    <w:p w:rsidR="009D4032" w:rsidRPr="00EE2DE7" w:rsidRDefault="009D4032" w:rsidP="009D4032">
      <w:pPr>
        <w:spacing w:line="276" w:lineRule="auto"/>
        <w:ind w:firstLine="720"/>
        <w:jc w:val="both"/>
        <w:rPr>
          <w:rFonts w:eastAsia="Times New Roman"/>
          <w:kern w:val="24"/>
          <w:lang w:eastAsia="en-GB"/>
        </w:rPr>
      </w:pPr>
      <w:r w:rsidRPr="00EE2DE7">
        <w:rPr>
          <w:rFonts w:eastAsia="Times New Roman"/>
          <w:kern w:val="24"/>
          <w:lang w:eastAsia="en-GB"/>
        </w:rPr>
        <w:t>Ndryshimet në legjislacion, kanë ndikuar edhe te rregullat lidhur me Formimin Vazhdues, që përbën një prej veprimtarive më t</w:t>
      </w:r>
      <w:r w:rsidRPr="00EE2DE7">
        <w:rPr>
          <w:rFonts w:eastAsia="Calibri"/>
          <w:kern w:val="24"/>
        </w:rPr>
        <w:t>ë mëdha</w:t>
      </w:r>
      <w:r w:rsidRPr="00EE2DE7">
        <w:rPr>
          <w:rFonts w:eastAsia="Times New Roman"/>
          <w:kern w:val="24"/>
          <w:lang w:eastAsia="en-GB"/>
        </w:rPr>
        <w:t xml:space="preserve"> dhe më të rëndësishme të Shkollës së Magjistraturës. </w:t>
      </w:r>
    </w:p>
    <w:p w:rsidR="009D4032" w:rsidRPr="00EE2DE7" w:rsidRDefault="009D4032" w:rsidP="009D4032">
      <w:pPr>
        <w:spacing w:line="276" w:lineRule="auto"/>
        <w:ind w:firstLine="720"/>
        <w:jc w:val="both"/>
        <w:rPr>
          <w:rFonts w:eastAsia="Times New Roman"/>
          <w:kern w:val="24"/>
          <w:lang w:eastAsia="en-GB"/>
        </w:rPr>
      </w:pPr>
      <w:r w:rsidRPr="00EE2DE7">
        <w:rPr>
          <w:rFonts w:eastAsia="Times New Roman"/>
          <w:kern w:val="24"/>
          <w:lang w:eastAsia="en-GB"/>
        </w:rPr>
        <w:t>Në nenin 253 të ligjit nr. 115/2016, “</w:t>
      </w:r>
      <w:r w:rsidRPr="00EE2DE7">
        <w:rPr>
          <w:rFonts w:eastAsia="Times New Roman"/>
          <w:i/>
          <w:kern w:val="24"/>
          <w:lang w:eastAsia="en-GB"/>
        </w:rPr>
        <w:t>Për organet e qeverisjes së sistemit të drejtësisë</w:t>
      </w:r>
      <w:r w:rsidRPr="00EE2DE7">
        <w:rPr>
          <w:rFonts w:eastAsia="Times New Roman"/>
          <w:kern w:val="24"/>
          <w:lang w:eastAsia="en-GB"/>
        </w:rPr>
        <w:t>” është parashikuar një përfshirje më e drejtp</w:t>
      </w:r>
      <w:r w:rsidRPr="00EE2DE7">
        <w:rPr>
          <w:rFonts w:eastAsia="Calibri"/>
          <w:kern w:val="24"/>
        </w:rPr>
        <w:t>ërdrejtë</w:t>
      </w:r>
      <w:r w:rsidRPr="00EE2DE7">
        <w:rPr>
          <w:rFonts w:eastAsia="Times New Roman"/>
          <w:kern w:val="24"/>
          <w:lang w:eastAsia="en-GB"/>
        </w:rPr>
        <w:t xml:space="preserve"> e Këshillit Pedagogjik në disa aspekte të Formimit Vazhdues. Këshilli Pedagogjik:</w:t>
      </w:r>
    </w:p>
    <w:p w:rsidR="009D4032" w:rsidRPr="00EE2DE7" w:rsidRDefault="009D4032" w:rsidP="009D4032">
      <w:pPr>
        <w:spacing w:line="276" w:lineRule="auto"/>
        <w:ind w:firstLine="720"/>
        <w:jc w:val="both"/>
        <w:rPr>
          <w:rFonts w:eastAsia="Times New Roman"/>
          <w:kern w:val="24"/>
          <w:lang w:eastAsia="en-GB"/>
        </w:rPr>
      </w:pPr>
      <w:r w:rsidRPr="00EE2DE7">
        <w:rPr>
          <w:rFonts w:eastAsia="Times New Roman"/>
          <w:kern w:val="24"/>
          <w:lang w:eastAsia="en-GB"/>
        </w:rPr>
        <w:t xml:space="preserve">a) merr pjesë në përgatitjen e Programit Tematik të Formimit Vazhdues; </w:t>
      </w:r>
    </w:p>
    <w:p w:rsidR="009D4032" w:rsidRPr="00EE2DE7" w:rsidRDefault="009D4032" w:rsidP="009D4032">
      <w:pPr>
        <w:spacing w:line="276" w:lineRule="auto"/>
        <w:ind w:firstLine="720"/>
        <w:jc w:val="both"/>
        <w:rPr>
          <w:rFonts w:eastAsia="Times New Roman"/>
          <w:kern w:val="24"/>
          <w:lang w:eastAsia="en-GB"/>
        </w:rPr>
      </w:pPr>
      <w:r w:rsidRPr="00EE2DE7">
        <w:rPr>
          <w:rFonts w:eastAsia="Times New Roman"/>
          <w:kern w:val="24"/>
          <w:lang w:eastAsia="en-GB"/>
        </w:rPr>
        <w:t xml:space="preserve">b) jep mendim për hartimin e listës së trajnerëve të jashtëm dhe të brendshëm të Shkollës, duke analizuar çdo propozim që Drejtori i përcjell Këshillit Drejtues; </w:t>
      </w:r>
    </w:p>
    <w:p w:rsidR="009D4032" w:rsidRPr="00EE2DE7" w:rsidRDefault="009D4032" w:rsidP="009D4032">
      <w:pPr>
        <w:spacing w:line="276" w:lineRule="auto"/>
        <w:ind w:firstLine="720"/>
        <w:jc w:val="both"/>
        <w:rPr>
          <w:rFonts w:eastAsia="Calibri"/>
          <w:i/>
          <w:kern w:val="24"/>
        </w:rPr>
      </w:pPr>
      <w:r w:rsidRPr="00EE2DE7">
        <w:rPr>
          <w:rFonts w:eastAsia="Times New Roman"/>
          <w:kern w:val="24"/>
          <w:lang w:eastAsia="en-GB"/>
        </w:rPr>
        <w:t>c) analizon raportet e vlerësimit të punës së trajnerëve dhe i përcjell Këshillit Drejtues mendimin për vijimësinë e ushtrimit të detyrës prej tyre etj.</w:t>
      </w:r>
    </w:p>
    <w:p w:rsidR="009D4032" w:rsidRPr="00EE2DE7" w:rsidRDefault="009D4032" w:rsidP="009D4032">
      <w:pPr>
        <w:autoSpaceDE w:val="0"/>
        <w:autoSpaceDN w:val="0"/>
        <w:adjustRightInd w:val="0"/>
        <w:spacing w:line="276" w:lineRule="auto"/>
        <w:ind w:firstLine="720"/>
        <w:jc w:val="both"/>
        <w:rPr>
          <w:rFonts w:eastAsia="Times New Roman"/>
          <w:kern w:val="24"/>
          <w:lang w:eastAsia="en-GB"/>
        </w:rPr>
      </w:pPr>
      <w:r w:rsidRPr="00EE2DE7">
        <w:rPr>
          <w:rFonts w:eastAsia="Times New Roman"/>
          <w:kern w:val="24"/>
          <w:lang w:eastAsia="en-GB"/>
        </w:rPr>
        <w:t>Në vëmendje të këtij raporti, sjellim nenin 272 të ligjit nr. 115/2016, ku ndër të tjera nënvizohet se: “</w:t>
      </w:r>
      <w:r w:rsidRPr="00EE2DE7">
        <w:rPr>
          <w:rFonts w:eastAsia="Times New Roman"/>
          <w:i/>
          <w:kern w:val="24"/>
          <w:lang w:eastAsia="en-GB"/>
        </w:rPr>
        <w:t>Shkolla e Magjistraturës, në bashkëpunim me Këshillin e Lartë Gjyqësor, me Këshillin e Lartë të Prokurorisë dhe sipas rastit, me Avokaturën e Shtetit harton dhe organizon Programin e Formimit Vazhdues. Programi i Formimit Vazhdues miratohet nga Këshilli Drejtues i Shkollës. Pas miratimit të Programit të Formimit Vazhdues nga Këshilli Drejtues i Shkollës, Këshilli i Lartë Gjyqësor dhe Këshilli i Lartë i Prokurorisë, miratojnë pjesëmarrjen e gjyqtarëve dhe prokurorëve në Trajnimin Vazhdues, sipas programit të përcaktuar të Formimit Vazhdues dhe ia dërgojnë Shkollës së Magjistraturës në fillim të vitit akademik</w:t>
      </w:r>
      <w:r w:rsidRPr="00EE2DE7">
        <w:rPr>
          <w:rFonts w:eastAsia="Times New Roman"/>
          <w:kern w:val="24"/>
          <w:lang w:eastAsia="en-GB"/>
        </w:rPr>
        <w:t xml:space="preserve">”. </w:t>
      </w:r>
    </w:p>
    <w:p w:rsidR="009D4032" w:rsidRPr="00EE2DE7" w:rsidRDefault="009D4032" w:rsidP="009D4032">
      <w:pPr>
        <w:autoSpaceDE w:val="0"/>
        <w:autoSpaceDN w:val="0"/>
        <w:adjustRightInd w:val="0"/>
        <w:spacing w:line="276" w:lineRule="auto"/>
        <w:ind w:firstLine="720"/>
        <w:jc w:val="both"/>
        <w:rPr>
          <w:rFonts w:eastAsia="Times New Roman"/>
          <w:kern w:val="24"/>
          <w:lang w:eastAsia="en-GB"/>
        </w:rPr>
      </w:pPr>
      <w:r w:rsidRPr="00EE2DE7">
        <w:rPr>
          <w:rFonts w:eastAsia="Times New Roman"/>
          <w:kern w:val="24"/>
          <w:lang w:eastAsia="en-GB"/>
        </w:rPr>
        <w:t>Gjithashtu, sjellim në vëmendje pikën 6 të nenit 5 të ligjit nr. 96/2016, “</w:t>
      </w:r>
      <w:r w:rsidRPr="00EE2DE7">
        <w:rPr>
          <w:rFonts w:eastAsia="Times New Roman"/>
          <w:i/>
          <w:kern w:val="24"/>
          <w:lang w:eastAsia="en-GB"/>
        </w:rPr>
        <w:t xml:space="preserve">Këshillat bashkëpunojnë me Shkollën e Magjistraturës për analizën e nevojave për trajnim, zhvillimin e </w:t>
      </w:r>
      <w:r>
        <w:rPr>
          <w:rFonts w:eastAsia="Times New Roman"/>
          <w:i/>
          <w:kern w:val="24"/>
          <w:lang w:eastAsia="en-GB"/>
        </w:rPr>
        <w:t>ku</w:t>
      </w:r>
      <w:r w:rsidRPr="0069377A">
        <w:rPr>
          <w:rFonts w:eastAsia="Times New Roman"/>
          <w:i/>
          <w:color w:val="FF0000"/>
          <w:kern w:val="24"/>
          <w:lang w:eastAsia="en-GB"/>
        </w:rPr>
        <w:t>r</w:t>
      </w:r>
      <w:r w:rsidRPr="00EE2DE7">
        <w:rPr>
          <w:rFonts w:eastAsia="Times New Roman"/>
          <w:i/>
          <w:kern w:val="24"/>
          <w:lang w:eastAsia="en-GB"/>
        </w:rPr>
        <w:t xml:space="preserve">ikulave dhe programeve </w:t>
      </w:r>
      <w:r w:rsidRPr="00EE2DE7">
        <w:rPr>
          <w:rFonts w:eastAsia="Times New Roman"/>
          <w:i/>
          <w:kern w:val="24"/>
          <w:lang w:eastAsia="en-GB"/>
        </w:rPr>
        <w:lastRenderedPageBreak/>
        <w:t>trajnuese. Këshillat miratojnë rregulla më të hollësishme për përshtatshmërinë dhe përmbajtjen e programeve të Formimit Vazhdues, shërbimet lehtësuese të lejuara, si dhe për procedurën e pajisjes me leje për ndjekjen e këtyre trajnimeve</w:t>
      </w:r>
      <w:r w:rsidRPr="00EE2DE7">
        <w:rPr>
          <w:rFonts w:eastAsia="Times New Roman"/>
          <w:kern w:val="24"/>
          <w:lang w:eastAsia="en-GB"/>
        </w:rPr>
        <w:t>”. Përmbajtja e këtyre dispozitave ligjore kërkon zbatim rigoroz, jo vetëm në procesin makro të vlerësimit trevjeçar, por edhe në vlerësimin e nevojave të përvitshme.</w:t>
      </w:r>
    </w:p>
    <w:p w:rsidR="009D4032" w:rsidRPr="00EE2DE7" w:rsidRDefault="009D4032" w:rsidP="009D4032">
      <w:pPr>
        <w:autoSpaceDE w:val="0"/>
        <w:autoSpaceDN w:val="0"/>
        <w:adjustRightInd w:val="0"/>
        <w:spacing w:line="276" w:lineRule="auto"/>
        <w:ind w:firstLine="720"/>
        <w:jc w:val="both"/>
        <w:rPr>
          <w:rFonts w:eastAsia="Times New Roman"/>
          <w:kern w:val="24"/>
          <w:lang w:eastAsia="en-GB"/>
        </w:rPr>
      </w:pPr>
      <w:r w:rsidRPr="00EE2DE7">
        <w:rPr>
          <w:rFonts w:eastAsia="Calibri"/>
          <w:kern w:val="24"/>
        </w:rPr>
        <w:t>Duhet të theksojmë se me ndryshimet e reja në legjislacion, nuk kemi më të njëjtat rregullime lidhur me numrin e ditëve që gjyqtari dhe prokurori mund/duhet të trajnohet në Shkollën e Magjistraturës brenda një viti akademik ose periudhës pesëvjeçare. Sipas nenit 5, pika 3, të ligjit nr. 96/2016, ku bëhet fjalë për klauzolën ligjore lidhur me Formimin Vazhdues me një kohëzgjatje prej “</w:t>
      </w:r>
      <w:r w:rsidRPr="00EE2DE7">
        <w:rPr>
          <w:rFonts w:eastAsia="Calibri"/>
          <w:i/>
          <w:kern w:val="24"/>
        </w:rPr>
        <w:t>jo më pak se pesë ditë të plota në vit dhe jo më pak se 30 ditë të plota gjatë pesë viteve</w:t>
      </w:r>
      <w:r w:rsidRPr="00EE2DE7">
        <w:rPr>
          <w:rFonts w:eastAsia="Calibri"/>
          <w:kern w:val="24"/>
        </w:rPr>
        <w:t>” dhe “</w:t>
      </w:r>
      <w:r w:rsidRPr="00EE2DE7">
        <w:rPr>
          <w:rFonts w:eastAsia="Calibri"/>
          <w:i/>
          <w:kern w:val="24"/>
        </w:rPr>
        <w:t>jo më shumë se 40 ditë në vit dhe 200 ditë gjatë pesë viteve</w:t>
      </w:r>
      <w:r w:rsidRPr="00EE2DE7">
        <w:rPr>
          <w:rFonts w:eastAsia="Calibri"/>
          <w:kern w:val="24"/>
        </w:rPr>
        <w:t>”, vetë legjislatori, siç vihet re, e ka parashikuar pjesëmarrjen e gjyqtarëve dhe prokurorëve në Formimin Vazhdues si një të drejtë-detyrë. Kjo ka bërë, që herë pas here, të rikujtojmë gjyqtarët e prokurorët lidhur me përmbajtjen e kësaj dispozite dhe nga ana tjetër të koordinojmë më mirë me KLD-n</w:t>
      </w:r>
      <w:r w:rsidRPr="00EE2DE7">
        <w:rPr>
          <w:rFonts w:eastAsia="Times New Roman"/>
          <w:kern w:val="24"/>
          <w:lang w:eastAsia="en-GB"/>
        </w:rPr>
        <w:t xml:space="preserve">ë </w:t>
      </w:r>
      <w:r w:rsidRPr="00EE2DE7">
        <w:rPr>
          <w:rFonts w:eastAsia="Calibri"/>
          <w:kern w:val="24"/>
        </w:rPr>
        <w:t>dhe PP-n</w:t>
      </w:r>
      <w:r w:rsidRPr="00EE2DE7">
        <w:rPr>
          <w:rFonts w:eastAsia="Times New Roman"/>
          <w:kern w:val="24"/>
          <w:lang w:eastAsia="en-GB"/>
        </w:rPr>
        <w:t>ë,</w:t>
      </w:r>
      <w:r w:rsidRPr="00EE2DE7">
        <w:rPr>
          <w:rFonts w:eastAsia="Calibri"/>
          <w:kern w:val="24"/>
        </w:rPr>
        <w:t xml:space="preserve"> sepse organet e reja: Këshilli i Lartë Gjyqësor dhe Këshilli i Lartë i Prokurorisë nuk janë konstituuar ende. Ndërkohë që, sfida jonë e vazhdueshme, ka qenë ofrimi i një Programi të Formimit Vazhdues sa më cilësor në të gjithë komponentët e tij, si: tematika, ekspertiza, metodologjia, materialet didaktike etj. </w:t>
      </w:r>
    </w:p>
    <w:p w:rsidR="009D4032" w:rsidRPr="00EE2DE7" w:rsidRDefault="009D4032" w:rsidP="009D4032">
      <w:pPr>
        <w:spacing w:line="276" w:lineRule="auto"/>
        <w:ind w:firstLine="720"/>
        <w:jc w:val="both"/>
        <w:rPr>
          <w:rFonts w:eastAsia="Calibri"/>
          <w:kern w:val="24"/>
        </w:rPr>
      </w:pPr>
      <w:r w:rsidRPr="00EE2DE7">
        <w:rPr>
          <w:rFonts w:eastAsia="Calibri"/>
          <w:kern w:val="24"/>
        </w:rPr>
        <w:t xml:space="preserve">Shkolla e Magjistraturës, ka mbajtur në konsideratë sistemin e ri të vlerësimit të gjyqtarëve/prokurorëve në detyrë, sipas kërkesave që vijnë nga ligji për vlerësimin e magjistratëve. Kjo ka ndikuar në larminë tematike dhe cilësinë e sesioneve trajnuese, si dhe në frekuentimin korrekt të tyre. </w:t>
      </w:r>
    </w:p>
    <w:p w:rsidR="009D4032" w:rsidRPr="00EE2DE7" w:rsidRDefault="009D4032" w:rsidP="009D4032">
      <w:pPr>
        <w:spacing w:line="276" w:lineRule="auto"/>
        <w:jc w:val="both"/>
        <w:outlineLvl w:val="0"/>
        <w:rPr>
          <w:rFonts w:eastAsia="Calibri"/>
          <w:b/>
          <w:kern w:val="24"/>
        </w:rPr>
      </w:pPr>
    </w:p>
    <w:p w:rsidR="009D4032" w:rsidRDefault="009D4032" w:rsidP="009D4032">
      <w:pPr>
        <w:spacing w:line="276" w:lineRule="auto"/>
        <w:jc w:val="both"/>
        <w:outlineLvl w:val="0"/>
        <w:rPr>
          <w:rFonts w:eastAsia="Calibri"/>
          <w:b/>
          <w:color w:val="1F497D"/>
          <w:kern w:val="24"/>
        </w:rPr>
      </w:pPr>
      <w:r w:rsidRPr="00EE2DE7">
        <w:rPr>
          <w:rFonts w:eastAsia="Calibri"/>
          <w:b/>
          <w:color w:val="1F497D"/>
          <w:kern w:val="24"/>
        </w:rPr>
        <w:t>Programi dhe kalendari trevjeçar</w:t>
      </w:r>
    </w:p>
    <w:p w:rsidR="009D4032" w:rsidRPr="00EE2DE7" w:rsidRDefault="009D4032" w:rsidP="009D4032">
      <w:pPr>
        <w:spacing w:line="276" w:lineRule="auto"/>
        <w:jc w:val="both"/>
        <w:outlineLvl w:val="0"/>
        <w:rPr>
          <w:rFonts w:eastAsia="Calibri"/>
          <w:b/>
          <w:color w:val="1F497D"/>
          <w:kern w:val="24"/>
        </w:rPr>
      </w:pPr>
    </w:p>
    <w:p w:rsidR="009D4032" w:rsidRPr="00EE2DE7" w:rsidRDefault="009D4032" w:rsidP="009D4032">
      <w:pPr>
        <w:spacing w:line="276" w:lineRule="auto"/>
        <w:ind w:firstLine="720"/>
        <w:jc w:val="both"/>
        <w:rPr>
          <w:rFonts w:eastAsia="Calibri"/>
          <w:kern w:val="24"/>
        </w:rPr>
      </w:pPr>
      <w:r w:rsidRPr="00EE2DE7">
        <w:rPr>
          <w:rFonts w:eastAsia="Calibri"/>
          <w:kern w:val="24"/>
        </w:rPr>
        <w:t>Shkolla e Magjistratu</w:t>
      </w:r>
      <w:r>
        <w:rPr>
          <w:rFonts w:eastAsia="Calibri"/>
          <w:kern w:val="24"/>
        </w:rPr>
        <w:t>rës, sikurse është bërë e qartë</w:t>
      </w:r>
      <w:r w:rsidRPr="00EE2DE7">
        <w:rPr>
          <w:rFonts w:eastAsia="Calibri"/>
          <w:kern w:val="24"/>
        </w:rPr>
        <w:t xml:space="preserve"> edhe në raportet e mëparshme drejtuar KLD-s</w:t>
      </w:r>
      <w:r w:rsidRPr="00EE2DE7">
        <w:rPr>
          <w:rFonts w:eastAsia="Times New Roman"/>
          <w:kern w:val="24"/>
          <w:lang w:eastAsia="en-GB"/>
        </w:rPr>
        <w:t>ë</w:t>
      </w:r>
      <w:r w:rsidRPr="00EE2DE7">
        <w:rPr>
          <w:rFonts w:eastAsia="Calibri"/>
          <w:kern w:val="24"/>
        </w:rPr>
        <w:t>, ka ndërtuar një mekanizëm të vlerësimit të nevojave, i cili ka shtrirje “makro” dhe “mikro” dhe konkludon me miratimin e programit tematik trevjeçar lidhur me Formimin Vazhdues në formatin e një kalendari të përvitshëm dhe të përdit</w:t>
      </w:r>
      <w:r w:rsidRPr="00EE2DE7">
        <w:rPr>
          <w:rFonts w:eastAsia="Times New Roman"/>
          <w:kern w:val="24"/>
          <w:lang w:eastAsia="en-GB"/>
        </w:rPr>
        <w:t>ë</w:t>
      </w:r>
      <w:r w:rsidRPr="00EE2DE7">
        <w:rPr>
          <w:rFonts w:eastAsia="Calibri"/>
          <w:kern w:val="24"/>
        </w:rPr>
        <w:t xml:space="preserve">suar vit pas viti me tema të reja. Shkolla operon përmes programeve dhe kalendarëve njëvjeçarë. Ajo ka më shumë se një dekadë që ka ndryshuar në thelb vlerësimin e nevojave, duke kaluar nga nevojat e diktuara nga jashtë në ato të diktuara kryesisht nga gjyqtarët dhe prokurorët në detyrë. </w:t>
      </w:r>
    </w:p>
    <w:p w:rsidR="009D4032" w:rsidRPr="00EE2DE7" w:rsidRDefault="009D4032" w:rsidP="009D4032">
      <w:pPr>
        <w:spacing w:line="276" w:lineRule="auto"/>
        <w:ind w:firstLine="720"/>
        <w:jc w:val="both"/>
        <w:rPr>
          <w:rFonts w:eastAsia="Calibri"/>
          <w:kern w:val="24"/>
        </w:rPr>
      </w:pPr>
      <w:r w:rsidRPr="00EE2DE7">
        <w:rPr>
          <w:rFonts w:eastAsia="Calibri"/>
          <w:kern w:val="24"/>
        </w:rPr>
        <w:t>Ky raport, përfshin aktivitetet e PFV-s</w:t>
      </w:r>
      <w:r w:rsidRPr="00EE2DE7">
        <w:rPr>
          <w:rFonts w:eastAsia="Times New Roman"/>
          <w:kern w:val="24"/>
          <w:lang w:eastAsia="en-GB"/>
        </w:rPr>
        <w:t>ë</w:t>
      </w:r>
      <w:r w:rsidRPr="00EE2DE7">
        <w:rPr>
          <w:rFonts w:eastAsia="Calibri"/>
          <w:kern w:val="24"/>
        </w:rPr>
        <w:t xml:space="preserve"> për vitin akademik 2017-2018. Çdo vit, programi detajohet në një kalendar aktivitetesh dhe ndodh që në kalendar, të gjejmë edhe një pasurim të vetë programit, çka mundëson që Shkolla, t’u përgjigjet nevojave në çështje të caktuara në mënyrë dinamike dhe të vazhdueshme. Neni 272, pika 4 i ligjit nr. 115/2016 parashikon se: “</w:t>
      </w:r>
      <w:r w:rsidRPr="00EE2DE7">
        <w:rPr>
          <w:rFonts w:eastAsia="Calibri"/>
          <w:i/>
          <w:kern w:val="24"/>
        </w:rPr>
        <w:t>Shkolla e Magjistraturës, për raste të veçanta dhe përjashtimore, për të mos penguar procesin e trajnimit, nisur nga nevojat e gjyqtarëve dhe prokurorëve për trajnim, të ndryshimeve të legjislacionit dhe problemeve të praktikës, me kërkesë të tyre, ose me iniciativën e vet, mund të përditësojë programin tematik dhe listat e pjesëmarrësve në Trajnimin Vazhdues. Shkolla e Magjistraturës, në këtë rast, vë në dijeni Këshillin e Lartë Gjyqësor dhe Këshillin e Lartë të Prokurorisë për miratimin e listave</w:t>
      </w:r>
      <w:r w:rsidRPr="00EE2DE7">
        <w:rPr>
          <w:rFonts w:eastAsia="Calibri"/>
          <w:kern w:val="24"/>
        </w:rPr>
        <w:t>”.</w:t>
      </w:r>
    </w:p>
    <w:p w:rsidR="009D4032" w:rsidRDefault="009D4032" w:rsidP="009D4032">
      <w:pPr>
        <w:spacing w:line="276" w:lineRule="auto"/>
        <w:ind w:firstLine="720"/>
        <w:jc w:val="both"/>
        <w:rPr>
          <w:rFonts w:eastAsia="Calibri"/>
          <w:kern w:val="24"/>
        </w:rPr>
      </w:pPr>
      <w:r w:rsidRPr="00EE2DE7">
        <w:rPr>
          <w:rFonts w:eastAsia="Calibri"/>
          <w:kern w:val="24"/>
        </w:rPr>
        <w:t>Çdo prurje e re tematike dhe ekspertize në Formimin Vazhdues, ndjek rigorozisht të njëjtën procedurë miratimi sipas parashikimeve ligjore dhe akteve rregulluese të Shkollës së Magjistraturës.</w:t>
      </w:r>
    </w:p>
    <w:p w:rsidR="009D4032" w:rsidRDefault="009D4032" w:rsidP="009D4032">
      <w:pPr>
        <w:spacing w:line="276" w:lineRule="auto"/>
        <w:ind w:firstLine="720"/>
        <w:jc w:val="both"/>
        <w:rPr>
          <w:rFonts w:eastAsia="Calibri"/>
          <w:kern w:val="24"/>
        </w:rPr>
      </w:pPr>
    </w:p>
    <w:p w:rsidR="009D4032" w:rsidRPr="00987E36" w:rsidRDefault="009D4032" w:rsidP="009D4032">
      <w:pPr>
        <w:spacing w:line="276" w:lineRule="auto"/>
        <w:ind w:firstLine="720"/>
        <w:jc w:val="both"/>
        <w:rPr>
          <w:rFonts w:eastAsia="Calibri"/>
          <w:kern w:val="24"/>
        </w:rPr>
      </w:pPr>
    </w:p>
    <w:p w:rsidR="009D4032" w:rsidRDefault="009D4032" w:rsidP="009D4032">
      <w:pPr>
        <w:spacing w:line="276" w:lineRule="auto"/>
        <w:jc w:val="both"/>
        <w:outlineLvl w:val="0"/>
        <w:rPr>
          <w:rFonts w:eastAsia="Calibri"/>
          <w:b/>
          <w:color w:val="1F497D"/>
          <w:kern w:val="24"/>
        </w:rPr>
      </w:pPr>
      <w:r w:rsidRPr="00EE2DE7">
        <w:rPr>
          <w:rFonts w:eastAsia="Calibri"/>
          <w:b/>
          <w:color w:val="1F497D"/>
          <w:kern w:val="24"/>
        </w:rPr>
        <w:t xml:space="preserve">Standardet e Programit të Formimit Vazhdues në sfidën e një metodologjie bashkëkohore </w:t>
      </w:r>
    </w:p>
    <w:p w:rsidR="009D4032" w:rsidRPr="00EE2DE7" w:rsidRDefault="009D4032" w:rsidP="009D4032">
      <w:pPr>
        <w:spacing w:line="276" w:lineRule="auto"/>
        <w:jc w:val="both"/>
        <w:outlineLvl w:val="0"/>
        <w:rPr>
          <w:rFonts w:eastAsia="Calibri"/>
          <w:b/>
          <w:color w:val="1F497D"/>
          <w:kern w:val="24"/>
        </w:rPr>
      </w:pPr>
    </w:p>
    <w:p w:rsidR="009D4032" w:rsidRPr="00EE2DE7" w:rsidRDefault="009D4032" w:rsidP="009D4032">
      <w:pPr>
        <w:spacing w:line="276" w:lineRule="auto"/>
        <w:ind w:firstLine="720"/>
        <w:jc w:val="both"/>
        <w:rPr>
          <w:rFonts w:eastAsia="Calibri"/>
          <w:kern w:val="24"/>
        </w:rPr>
      </w:pPr>
      <w:r w:rsidRPr="00EE2DE7">
        <w:rPr>
          <w:rFonts w:eastAsia="Calibri"/>
          <w:kern w:val="24"/>
        </w:rPr>
        <w:t xml:space="preserve">Standardet e të gjithë komponentëve të Formimit Vazhdues janë në përmirësim të vazhdueshëm. Ka përmirësime cilësore të drejtimeve të ndryshme, të cilat janë prioritare për </w:t>
      </w:r>
      <w:bookmarkStart w:id="1" w:name="n"/>
      <w:bookmarkEnd w:id="1"/>
      <w:r w:rsidRPr="00EE2DE7">
        <w:rPr>
          <w:rFonts w:eastAsia="Calibri"/>
          <w:kern w:val="24"/>
        </w:rPr>
        <w:t xml:space="preserve">realizimin e kërkesave të një formimi të nivelit të lartë profesional, si edhe të garantimit të cilësisë edhe në disa drejtime të tjera, si në ato të karakterit logjistik dhe infrastrukturor. </w:t>
      </w:r>
    </w:p>
    <w:p w:rsidR="009D4032" w:rsidRPr="00EE2DE7" w:rsidRDefault="009D4032" w:rsidP="009D4032">
      <w:pPr>
        <w:spacing w:line="276" w:lineRule="auto"/>
        <w:ind w:firstLine="720"/>
        <w:jc w:val="both"/>
        <w:rPr>
          <w:rFonts w:eastAsia="Calibri"/>
          <w:kern w:val="24"/>
        </w:rPr>
      </w:pPr>
      <w:r w:rsidRPr="00EE2DE7">
        <w:rPr>
          <w:rFonts w:eastAsia="Calibri"/>
          <w:kern w:val="24"/>
        </w:rPr>
        <w:t>Po sjellim në vëmendje, në mënyrë të përsëritur, aspektet e konsoliduara dhe ato të reja lidhur me metodologjinë e ndjekur nga SHM-ja për hartimin e programit tematik. Kjo edhe me qëllim që të konsiderohen dhe të sugjerohen, sipas rastit, përmirësime eventuale. Kështu:</w:t>
      </w:r>
    </w:p>
    <w:p w:rsidR="009D4032" w:rsidRPr="00EE2DE7" w:rsidRDefault="009D4032" w:rsidP="005C2687">
      <w:pPr>
        <w:numPr>
          <w:ilvl w:val="0"/>
          <w:numId w:val="23"/>
        </w:numPr>
        <w:spacing w:line="276" w:lineRule="auto"/>
        <w:jc w:val="both"/>
        <w:rPr>
          <w:rFonts w:eastAsia="Calibri"/>
          <w:kern w:val="24"/>
        </w:rPr>
      </w:pPr>
      <w:r w:rsidRPr="00EE2DE7">
        <w:rPr>
          <w:rFonts w:eastAsia="Calibri"/>
          <w:kern w:val="24"/>
        </w:rPr>
        <w:t>Programi dhe kalendari janë hartuar me kujdes, duke u bazuar në kërkesat e drejtpërdrejta të gjyqtarëve dhe prokurorëve në detyrë, por jo vetëm. Për këtë është respektuar një metodologji bashkëkohore dhe e kryqëzuar informacioni duke shfrytëzuar:</w:t>
      </w:r>
    </w:p>
    <w:p w:rsidR="009D4032" w:rsidRPr="00EE2DE7" w:rsidRDefault="009D4032" w:rsidP="005C2687">
      <w:pPr>
        <w:numPr>
          <w:ilvl w:val="0"/>
          <w:numId w:val="28"/>
        </w:numPr>
        <w:spacing w:line="276" w:lineRule="auto"/>
        <w:jc w:val="both"/>
        <w:rPr>
          <w:rFonts w:eastAsia="Calibri"/>
          <w:kern w:val="24"/>
        </w:rPr>
      </w:pPr>
      <w:r w:rsidRPr="00EE2DE7">
        <w:rPr>
          <w:rFonts w:eastAsia="Calibri"/>
          <w:kern w:val="24"/>
        </w:rPr>
        <w:t xml:space="preserve">realizimin e takimeve rajonale me gjyqtarë e prokurorë dhe me drejtuesit e gjykatave e prokurorive në rreth dhe në apel; </w:t>
      </w:r>
    </w:p>
    <w:p w:rsidR="009D4032" w:rsidRPr="00EE2DE7" w:rsidRDefault="009D4032" w:rsidP="005C2687">
      <w:pPr>
        <w:numPr>
          <w:ilvl w:val="0"/>
          <w:numId w:val="28"/>
        </w:numPr>
        <w:spacing w:line="276" w:lineRule="auto"/>
        <w:jc w:val="both"/>
        <w:rPr>
          <w:rFonts w:eastAsia="Calibri"/>
          <w:kern w:val="24"/>
        </w:rPr>
      </w:pPr>
      <w:r w:rsidRPr="00EE2DE7">
        <w:rPr>
          <w:rFonts w:eastAsia="Calibri"/>
          <w:kern w:val="24"/>
        </w:rPr>
        <w:t xml:space="preserve">përgatitjes, mbledhjes dhe analizës së pyetësorëve për të tërhequr interesimin e çdo drejtuesi të gjykatave dhe prokurorive në nivel rrethi e apeli për çështjet e hasura në praktikë e që kanë interes për trajnim; </w:t>
      </w:r>
    </w:p>
    <w:p w:rsidR="009D4032" w:rsidRPr="00EE2DE7" w:rsidRDefault="009D4032" w:rsidP="005C2687">
      <w:pPr>
        <w:numPr>
          <w:ilvl w:val="0"/>
          <w:numId w:val="28"/>
        </w:numPr>
        <w:spacing w:line="276" w:lineRule="auto"/>
        <w:jc w:val="both"/>
        <w:rPr>
          <w:rFonts w:eastAsia="Calibri"/>
          <w:kern w:val="24"/>
        </w:rPr>
      </w:pPr>
      <w:r w:rsidRPr="00EE2DE7">
        <w:rPr>
          <w:rFonts w:eastAsia="Calibri"/>
          <w:kern w:val="24"/>
        </w:rPr>
        <w:t>analizës së rubrikës mbi sugjerime për trajnime të ardhshme që gjendet në çdo pyetësor, të shpërndarë gjatë sesioneve trajnuese;</w:t>
      </w:r>
    </w:p>
    <w:p w:rsidR="009D4032" w:rsidRPr="00EE2DE7" w:rsidRDefault="009D4032" w:rsidP="005C2687">
      <w:pPr>
        <w:numPr>
          <w:ilvl w:val="0"/>
          <w:numId w:val="28"/>
        </w:numPr>
        <w:spacing w:line="276" w:lineRule="auto"/>
        <w:jc w:val="both"/>
        <w:rPr>
          <w:rFonts w:eastAsia="Calibri"/>
          <w:kern w:val="24"/>
        </w:rPr>
      </w:pPr>
      <w:r w:rsidRPr="00EE2DE7">
        <w:rPr>
          <w:rFonts w:eastAsia="Calibri"/>
          <w:kern w:val="24"/>
        </w:rPr>
        <w:t xml:space="preserve">interesat e evidentuara gjatë realizimit të diskutimeve të drejtpërdrejta gjatë sesioneve trajnuese ose aktiviteteve specifike të natyrës së </w:t>
      </w:r>
      <w:r w:rsidRPr="00EE2DE7">
        <w:rPr>
          <w:rFonts w:eastAsia="Calibri"/>
          <w:i/>
          <w:kern w:val="24"/>
        </w:rPr>
        <w:t>brainstorming</w:t>
      </w:r>
      <w:r w:rsidRPr="00EE2DE7">
        <w:rPr>
          <w:rFonts w:eastAsia="Calibri"/>
          <w:kern w:val="24"/>
        </w:rPr>
        <w:t xml:space="preserve"> të përcjella nga ekspertët ose/dhe lehtësuesit;</w:t>
      </w:r>
    </w:p>
    <w:p w:rsidR="009D4032" w:rsidRPr="00EE2DE7" w:rsidRDefault="009D4032" w:rsidP="005C2687">
      <w:pPr>
        <w:numPr>
          <w:ilvl w:val="0"/>
          <w:numId w:val="28"/>
        </w:numPr>
        <w:spacing w:line="276" w:lineRule="auto"/>
        <w:jc w:val="both"/>
        <w:rPr>
          <w:rFonts w:eastAsia="Calibri"/>
          <w:kern w:val="24"/>
        </w:rPr>
      </w:pPr>
      <w:r w:rsidRPr="00EE2DE7">
        <w:rPr>
          <w:rFonts w:eastAsia="Calibri"/>
          <w:kern w:val="24"/>
        </w:rPr>
        <w:t xml:space="preserve">marrjes së mendimit të të gjitha institucioneve të tjera të interesuara për reformën në drejtësi, ose veprimtaria e të cilave është e lidhur me sistemin e drejtësisë; </w:t>
      </w:r>
    </w:p>
    <w:p w:rsidR="009D4032" w:rsidRPr="00EE2DE7" w:rsidRDefault="009D4032" w:rsidP="005C2687">
      <w:pPr>
        <w:numPr>
          <w:ilvl w:val="0"/>
          <w:numId w:val="28"/>
        </w:numPr>
        <w:spacing w:line="276" w:lineRule="auto"/>
        <w:jc w:val="both"/>
        <w:rPr>
          <w:rFonts w:eastAsia="Calibri"/>
          <w:kern w:val="24"/>
        </w:rPr>
      </w:pPr>
      <w:r w:rsidRPr="00EE2DE7">
        <w:rPr>
          <w:rFonts w:eastAsia="Calibri"/>
          <w:kern w:val="24"/>
        </w:rPr>
        <w:t xml:space="preserve">konsultave me partnerët ndërkombëtarë dhe miqtë e Shkollës; </w:t>
      </w:r>
    </w:p>
    <w:p w:rsidR="009D4032" w:rsidRPr="00EE2DE7" w:rsidRDefault="009D4032" w:rsidP="005C2687">
      <w:pPr>
        <w:numPr>
          <w:ilvl w:val="0"/>
          <w:numId w:val="28"/>
        </w:numPr>
        <w:spacing w:line="276" w:lineRule="auto"/>
        <w:jc w:val="both"/>
        <w:rPr>
          <w:rFonts w:eastAsia="Calibri"/>
          <w:kern w:val="24"/>
        </w:rPr>
      </w:pPr>
      <w:r w:rsidRPr="00EE2DE7">
        <w:rPr>
          <w:rFonts w:eastAsia="Calibri"/>
          <w:kern w:val="24"/>
        </w:rPr>
        <w:t>verifikimit të prioriteteve të qeverisë lidhur me legjislacionin e ri që ndikon në veprimtarinë e drejtësisë dhe në kuadrin e përqasjes me legjislacionin e BE-së, dokumentet strategjike, reformën ligjore dhe institucionale, si dhe angazhimeve të marra nga Shqipëria, në kuadër të procesit të Integrimit Europian;</w:t>
      </w:r>
    </w:p>
    <w:p w:rsidR="009D4032" w:rsidRPr="00EE2DE7" w:rsidRDefault="009D4032" w:rsidP="005C2687">
      <w:pPr>
        <w:numPr>
          <w:ilvl w:val="0"/>
          <w:numId w:val="28"/>
        </w:numPr>
        <w:spacing w:line="276" w:lineRule="auto"/>
        <w:jc w:val="both"/>
        <w:rPr>
          <w:rFonts w:eastAsia="Calibri"/>
          <w:kern w:val="24"/>
        </w:rPr>
      </w:pPr>
      <w:r w:rsidRPr="00EE2DE7">
        <w:rPr>
          <w:rFonts w:eastAsia="Calibri"/>
          <w:kern w:val="24"/>
        </w:rPr>
        <w:t>konsultimit me jurisprudencën e GJEDNJ-s</w:t>
      </w:r>
      <w:r w:rsidRPr="00EE2DE7">
        <w:rPr>
          <w:rFonts w:eastAsia="Times New Roman"/>
          <w:kern w:val="24"/>
          <w:lang w:eastAsia="en-GB"/>
        </w:rPr>
        <w:t>ë</w:t>
      </w:r>
      <w:r w:rsidRPr="00EE2DE7">
        <w:rPr>
          <w:rFonts w:eastAsia="Calibri"/>
          <w:kern w:val="24"/>
        </w:rPr>
        <w:t xml:space="preserve"> dhe të GJED-s</w:t>
      </w:r>
      <w:r w:rsidRPr="00EE2DE7">
        <w:rPr>
          <w:rFonts w:eastAsia="Times New Roman"/>
          <w:kern w:val="24"/>
          <w:lang w:eastAsia="en-GB"/>
        </w:rPr>
        <w:t>ë</w:t>
      </w:r>
      <w:r w:rsidRPr="00EE2DE7">
        <w:rPr>
          <w:rFonts w:eastAsia="Calibri"/>
          <w:kern w:val="24"/>
        </w:rPr>
        <w:t>;</w:t>
      </w:r>
    </w:p>
    <w:p w:rsidR="009D4032" w:rsidRPr="00EE2DE7" w:rsidRDefault="009D4032" w:rsidP="005C2687">
      <w:pPr>
        <w:numPr>
          <w:ilvl w:val="0"/>
          <w:numId w:val="28"/>
        </w:numPr>
        <w:spacing w:line="276" w:lineRule="auto"/>
        <w:jc w:val="both"/>
        <w:rPr>
          <w:rFonts w:eastAsia="Calibri"/>
          <w:kern w:val="24"/>
        </w:rPr>
      </w:pPr>
      <w:r w:rsidRPr="00EE2DE7">
        <w:rPr>
          <w:rFonts w:eastAsia="Calibri"/>
          <w:kern w:val="24"/>
        </w:rPr>
        <w:t>njohjes me detyrimet që burojnë nga instrumente ndërkombëtare të ratifikuara etj.</w:t>
      </w:r>
    </w:p>
    <w:p w:rsidR="009D4032" w:rsidRPr="00EE2DE7" w:rsidRDefault="009D4032" w:rsidP="005C2687">
      <w:pPr>
        <w:numPr>
          <w:ilvl w:val="0"/>
          <w:numId w:val="24"/>
        </w:numPr>
        <w:spacing w:line="276" w:lineRule="auto"/>
        <w:jc w:val="both"/>
        <w:rPr>
          <w:rFonts w:eastAsia="Calibri"/>
          <w:kern w:val="24"/>
        </w:rPr>
      </w:pPr>
      <w:r w:rsidRPr="00EE2DE7">
        <w:rPr>
          <w:rFonts w:eastAsia="Calibri"/>
          <w:kern w:val="24"/>
        </w:rPr>
        <w:t xml:space="preserve">Programi dhe kalendari pasqyron risitë dhe efektet e reformës ligjore dhe të reformës në drejtësi në përgjithësi, të cilat kanë efekt mbi veprimtarinë e gjyqtarëve dhe të prokurorëve. </w:t>
      </w:r>
    </w:p>
    <w:p w:rsidR="009D4032" w:rsidRPr="00EE2DE7" w:rsidRDefault="009D4032" w:rsidP="005C2687">
      <w:pPr>
        <w:numPr>
          <w:ilvl w:val="0"/>
          <w:numId w:val="24"/>
        </w:numPr>
        <w:spacing w:line="276" w:lineRule="auto"/>
        <w:jc w:val="both"/>
        <w:rPr>
          <w:rFonts w:eastAsia="Calibri"/>
          <w:kern w:val="24"/>
        </w:rPr>
      </w:pPr>
      <w:r w:rsidRPr="00EE2DE7">
        <w:rPr>
          <w:rFonts w:eastAsia="Calibri"/>
          <w:i/>
          <w:kern w:val="24"/>
        </w:rPr>
        <w:t>Temat e përsëritura</w:t>
      </w:r>
      <w:r w:rsidRPr="00EE2DE7">
        <w:rPr>
          <w:rFonts w:eastAsia="Calibri"/>
          <w:kern w:val="24"/>
        </w:rPr>
        <w:t>: duam ta nënvizojmë këtë çështje, sepse herë pas here në KLD është mbajtur një qëndrim jo miratues ndaj temave të cilat duket se përsëriten. Për këtë, vlen të sqarojmë se: përsëritja e temave të caktuara nuk ka të bëjë me vetëvendosje të stafit të SHM-s</w:t>
      </w:r>
      <w:r w:rsidRPr="00EE2DE7">
        <w:rPr>
          <w:rFonts w:eastAsia="Times New Roman"/>
          <w:kern w:val="24"/>
          <w:lang w:eastAsia="en-GB"/>
        </w:rPr>
        <w:t>ë</w:t>
      </w:r>
      <w:r w:rsidRPr="00EE2DE7">
        <w:rPr>
          <w:rFonts w:eastAsia="Calibri"/>
          <w:kern w:val="24"/>
        </w:rPr>
        <w:t>, por me vlerësimin e nevojave:</w:t>
      </w:r>
    </w:p>
    <w:p w:rsidR="009D4032" w:rsidRPr="00EE2DE7" w:rsidRDefault="009D4032" w:rsidP="005C2687">
      <w:pPr>
        <w:numPr>
          <w:ilvl w:val="0"/>
          <w:numId w:val="29"/>
        </w:numPr>
        <w:spacing w:line="276" w:lineRule="auto"/>
        <w:contextualSpacing/>
        <w:jc w:val="both"/>
        <w:rPr>
          <w:rFonts w:eastAsia="Calibri"/>
          <w:kern w:val="24"/>
        </w:rPr>
      </w:pPr>
      <w:r w:rsidRPr="00EE2DE7">
        <w:rPr>
          <w:rFonts w:eastAsia="Calibri"/>
          <w:kern w:val="24"/>
        </w:rPr>
        <w:t>Së pari, janë vet</w:t>
      </w:r>
      <w:r w:rsidRPr="00EE2DE7">
        <w:rPr>
          <w:rFonts w:eastAsia="Times New Roman"/>
          <w:kern w:val="24"/>
          <w:lang w:eastAsia="en-GB"/>
        </w:rPr>
        <w:t>ë</w:t>
      </w:r>
      <w:r w:rsidRPr="00EE2DE7">
        <w:rPr>
          <w:rFonts w:eastAsia="Calibri"/>
          <w:kern w:val="24"/>
        </w:rPr>
        <w:t xml:space="preserve"> përfituesit e shërbimit që i kërkojnë këto tema (vlen të theksojmë se pjesëmarrësit janë të ndryshëm në çdo temë të përsëritur);</w:t>
      </w:r>
    </w:p>
    <w:p w:rsidR="009D4032" w:rsidRPr="00EE2DE7" w:rsidRDefault="009D4032" w:rsidP="005C2687">
      <w:pPr>
        <w:numPr>
          <w:ilvl w:val="0"/>
          <w:numId w:val="29"/>
        </w:numPr>
        <w:spacing w:line="276" w:lineRule="auto"/>
        <w:contextualSpacing/>
        <w:jc w:val="both"/>
        <w:rPr>
          <w:rFonts w:eastAsia="Calibri"/>
          <w:kern w:val="24"/>
        </w:rPr>
      </w:pPr>
      <w:r w:rsidRPr="00EE2DE7">
        <w:rPr>
          <w:rFonts w:eastAsia="Calibri"/>
          <w:kern w:val="24"/>
        </w:rPr>
        <w:lastRenderedPageBreak/>
        <w:t>Së dyti, ekspertët instruktohen lidhur me zhvillimet e mëparshme të këtyre temave dhe varësisht auditorit, ndërtojnë një zhvillim të një niveli më të lartë dhe të p</w:t>
      </w:r>
      <w:r w:rsidRPr="00EE2DE7">
        <w:rPr>
          <w:rFonts w:eastAsia="Times New Roman"/>
          <w:kern w:val="24"/>
          <w:lang w:eastAsia="en-GB"/>
        </w:rPr>
        <w:t>ërditësuar</w:t>
      </w:r>
      <w:r w:rsidRPr="00EE2DE7">
        <w:rPr>
          <w:rFonts w:eastAsia="Calibri"/>
          <w:kern w:val="24"/>
        </w:rPr>
        <w:t xml:space="preserve"> me problemet e reja të praktikës.</w:t>
      </w:r>
    </w:p>
    <w:p w:rsidR="009D4032" w:rsidRPr="00EE2DE7" w:rsidRDefault="009D4032" w:rsidP="005C2687">
      <w:pPr>
        <w:numPr>
          <w:ilvl w:val="0"/>
          <w:numId w:val="29"/>
        </w:numPr>
        <w:spacing w:line="276" w:lineRule="auto"/>
        <w:contextualSpacing/>
        <w:jc w:val="both"/>
        <w:rPr>
          <w:rFonts w:eastAsia="Calibri"/>
          <w:kern w:val="24"/>
        </w:rPr>
      </w:pPr>
      <w:r w:rsidRPr="00EE2DE7">
        <w:rPr>
          <w:rFonts w:eastAsia="Calibri"/>
          <w:kern w:val="24"/>
        </w:rPr>
        <w:t>Së treti, ekspertëve ju vihet në dispozicion lista e pjesëmarrësve në aktivitetet e mëparshme dhe të aktivitetit që do të realizohet, kjo me qëllim që të shmanget çdo përsëritje ose anasjelltas.</w:t>
      </w:r>
    </w:p>
    <w:p w:rsidR="009D4032" w:rsidRPr="00EE2DE7" w:rsidRDefault="009D4032" w:rsidP="005C2687">
      <w:pPr>
        <w:numPr>
          <w:ilvl w:val="0"/>
          <w:numId w:val="29"/>
        </w:numPr>
        <w:spacing w:line="276" w:lineRule="auto"/>
        <w:contextualSpacing/>
        <w:jc w:val="both"/>
        <w:rPr>
          <w:rFonts w:eastAsia="Calibri"/>
          <w:kern w:val="24"/>
        </w:rPr>
      </w:pPr>
      <w:r w:rsidRPr="00EE2DE7">
        <w:rPr>
          <w:rFonts w:eastAsia="Calibri"/>
          <w:kern w:val="24"/>
        </w:rPr>
        <w:t xml:space="preserve">Së katërti, në kalendarin e aktiviteteve trajnuese të Shkollës së Magjistraturës, gjenden disa tema solide, të kërkuara në mënyrë të përsëritur, por të trajtuara në brendi në mënyrë, ose novatore, ose në një standard të ri edhe më të lartë e më të thelluar, ose me një grup të ri pjesëmarrësish. </w:t>
      </w:r>
    </w:p>
    <w:p w:rsidR="009D4032" w:rsidRPr="00EE2DE7" w:rsidRDefault="009D4032" w:rsidP="005C2687">
      <w:pPr>
        <w:numPr>
          <w:ilvl w:val="0"/>
          <w:numId w:val="29"/>
        </w:numPr>
        <w:spacing w:line="276" w:lineRule="auto"/>
        <w:contextualSpacing/>
        <w:jc w:val="both"/>
        <w:rPr>
          <w:rFonts w:eastAsia="Calibri"/>
          <w:kern w:val="24"/>
        </w:rPr>
      </w:pPr>
      <w:r w:rsidRPr="00EE2DE7">
        <w:rPr>
          <w:rFonts w:eastAsia="Calibri"/>
          <w:kern w:val="24"/>
        </w:rPr>
        <w:t>Së fundmi, vlen të theksojmë se duke dashur të mësojmë nga shkollat e vendeve të tjera, kemi konstatuar se kjo nuk është veçori e Programit të Trajnimit Vazhdues të Shkollës së Magjistraturës të Republikës së Shqipërisë, por e të gjitha shkollave dhe lidhet me nevoja dhe çështje të së drejtës, në të përditshmen e veprimtarisë së gjykatës dhe prokurorisë.</w:t>
      </w:r>
    </w:p>
    <w:p w:rsidR="009D4032" w:rsidRPr="00EE2DE7" w:rsidRDefault="009D4032" w:rsidP="005C2687">
      <w:pPr>
        <w:numPr>
          <w:ilvl w:val="0"/>
          <w:numId w:val="25"/>
        </w:numPr>
        <w:spacing w:line="276" w:lineRule="auto"/>
        <w:jc w:val="both"/>
        <w:rPr>
          <w:rFonts w:eastAsia="Calibri"/>
          <w:kern w:val="24"/>
        </w:rPr>
      </w:pPr>
      <w:r w:rsidRPr="00EE2DE7">
        <w:rPr>
          <w:rFonts w:eastAsia="Calibri"/>
          <w:kern w:val="24"/>
        </w:rPr>
        <w:t>Programi trajnues, ndërsa ka konsideruar si prioritet nevojat e evidentuara nga gjyqtarët dhe prokurorët, ka vlerësuar edhe çështje të rëndësishme që dalin nga konstatimet e partnerëve ndërkombëtar</w:t>
      </w:r>
      <w:r w:rsidRPr="00EE2DE7">
        <w:rPr>
          <w:rFonts w:eastAsia="Times New Roman"/>
          <w:kern w:val="24"/>
          <w:lang w:eastAsia="en-GB"/>
        </w:rPr>
        <w:t>ë</w:t>
      </w:r>
      <w:r w:rsidRPr="00EE2DE7">
        <w:rPr>
          <w:rFonts w:eastAsia="Calibri"/>
          <w:kern w:val="24"/>
        </w:rPr>
        <w:t xml:space="preserve"> apo të përvojave të marra nga shkollat e përparuara të magjistraturës në rajon e në botë, p.sh., e tillë ishte ndihmesa e Shkoll</w:t>
      </w:r>
      <w:r w:rsidRPr="00EE2DE7">
        <w:rPr>
          <w:rFonts w:eastAsia="Times New Roman"/>
          <w:kern w:val="24"/>
          <w:lang w:eastAsia="en-GB"/>
        </w:rPr>
        <w:t>ës së Magjistraturës</w:t>
      </w:r>
      <w:r w:rsidRPr="00EE2DE7">
        <w:rPr>
          <w:rFonts w:eastAsia="Calibri"/>
          <w:kern w:val="24"/>
        </w:rPr>
        <w:t xml:space="preserve"> së Holandës si dhe trajnimet e mbështetura prej KHH</w:t>
      </w:r>
      <w:r>
        <w:rPr>
          <w:rFonts w:eastAsia="Calibri"/>
          <w:kern w:val="24"/>
        </w:rPr>
        <w:t xml:space="preserve"> </w:t>
      </w:r>
      <w:r w:rsidRPr="00EE2DE7">
        <w:rPr>
          <w:rFonts w:eastAsia="Calibri"/>
          <w:kern w:val="24"/>
        </w:rPr>
        <w:t>[Komitetit të Helsinkit të Holandës], PAMECA, EURALIUS etj.</w:t>
      </w:r>
    </w:p>
    <w:p w:rsidR="009D4032" w:rsidRPr="00EE2DE7" w:rsidRDefault="009D4032" w:rsidP="005C2687">
      <w:pPr>
        <w:numPr>
          <w:ilvl w:val="0"/>
          <w:numId w:val="25"/>
        </w:numPr>
        <w:spacing w:line="276" w:lineRule="auto"/>
        <w:jc w:val="both"/>
        <w:rPr>
          <w:rFonts w:eastAsia="Calibri"/>
          <w:kern w:val="24"/>
        </w:rPr>
      </w:pPr>
      <w:r w:rsidRPr="00EE2DE7">
        <w:rPr>
          <w:rFonts w:eastAsia="Calibri"/>
          <w:kern w:val="24"/>
        </w:rPr>
        <w:t>Programi i Formimit Vazhdues është kujdesur që në të, të gjejnë pasqyrim gjithë zhvillimet që diktohen nga jurisprudenca e GJEDNJ-s</w:t>
      </w:r>
      <w:r w:rsidRPr="00EE2DE7">
        <w:rPr>
          <w:rFonts w:eastAsia="Times New Roman"/>
          <w:kern w:val="24"/>
          <w:lang w:eastAsia="en-GB"/>
        </w:rPr>
        <w:t>ë</w:t>
      </w:r>
      <w:r w:rsidRPr="00EE2DE7">
        <w:rPr>
          <w:rFonts w:eastAsia="Calibri"/>
          <w:kern w:val="24"/>
        </w:rPr>
        <w:t xml:space="preserve"> dhe GJED-s</w:t>
      </w:r>
      <w:r w:rsidRPr="00EE2DE7">
        <w:rPr>
          <w:rFonts w:eastAsia="Times New Roman"/>
          <w:kern w:val="24"/>
          <w:lang w:eastAsia="en-GB"/>
        </w:rPr>
        <w:t>ë</w:t>
      </w:r>
      <w:r w:rsidRPr="00EE2DE7">
        <w:rPr>
          <w:rFonts w:eastAsia="Calibri"/>
          <w:kern w:val="24"/>
        </w:rPr>
        <w:t xml:space="preserve"> me rëndësi të veçantë për gjyqtarët e prokurorët, si dhe standardet ndërkombëtare, të cilat bëhen pjesë e legjislacionit shqiptar. Në këtë drejtim, një rol të veçantë ka luajtur konsultimi me ekspertë ndërkombëtarë, veçanërisht të Këshillit të Europës, standardet e CEPEJ-t, platforma HELP, HUDOC etj.</w:t>
      </w:r>
    </w:p>
    <w:p w:rsidR="009D4032" w:rsidRPr="00EE2DE7" w:rsidRDefault="009D4032" w:rsidP="005C2687">
      <w:pPr>
        <w:numPr>
          <w:ilvl w:val="0"/>
          <w:numId w:val="26"/>
        </w:numPr>
        <w:spacing w:line="276" w:lineRule="auto"/>
        <w:jc w:val="both"/>
        <w:rPr>
          <w:rFonts w:eastAsia="Calibri"/>
          <w:kern w:val="24"/>
        </w:rPr>
      </w:pPr>
      <w:r w:rsidRPr="00EE2DE7">
        <w:rPr>
          <w:rFonts w:eastAsia="Calibri"/>
          <w:kern w:val="24"/>
        </w:rPr>
        <w:t>Për të elaboruar më tej standardet ndërkombëtare, përfshirë këtu të GJEDNJ-s</w:t>
      </w:r>
      <w:r w:rsidRPr="00EE2DE7">
        <w:rPr>
          <w:rFonts w:eastAsia="Times New Roman"/>
          <w:kern w:val="24"/>
          <w:lang w:eastAsia="en-GB"/>
        </w:rPr>
        <w:t>ë</w:t>
      </w:r>
      <w:r w:rsidRPr="00EE2DE7">
        <w:rPr>
          <w:rFonts w:eastAsia="Calibri"/>
          <w:kern w:val="24"/>
        </w:rPr>
        <w:t xml:space="preserve"> dhe GJED-s</w:t>
      </w:r>
      <w:r w:rsidRPr="00EE2DE7">
        <w:rPr>
          <w:rFonts w:eastAsia="Times New Roman"/>
          <w:kern w:val="24"/>
          <w:lang w:eastAsia="en-GB"/>
        </w:rPr>
        <w:t>ë</w:t>
      </w:r>
      <w:r w:rsidRPr="00EE2DE7">
        <w:rPr>
          <w:rFonts w:eastAsia="Calibri"/>
          <w:kern w:val="24"/>
        </w:rPr>
        <w:t>, janë realizuar takime të ndryshme me përfaqësues të partnerëve ndërkombëtarë, si Fondacioni SLYNN, organizata ISLP, Shkolla Holandeze etj. Veç kësaj, ekspertët ndërkombëtarë në të gjitha trajtesat e tyre, i janë referuar standardeve ndërkombëtare dhe jurisprudencës së GJEDNJ/GJED-s</w:t>
      </w:r>
      <w:r w:rsidRPr="00EE2DE7">
        <w:rPr>
          <w:rFonts w:eastAsia="Times New Roman"/>
          <w:kern w:val="24"/>
          <w:lang w:eastAsia="en-GB"/>
        </w:rPr>
        <w:t>ë</w:t>
      </w:r>
      <w:r w:rsidRPr="00EE2DE7">
        <w:rPr>
          <w:rFonts w:eastAsia="Calibri"/>
          <w:kern w:val="24"/>
          <w:vertAlign w:val="superscript"/>
        </w:rPr>
        <w:footnoteReference w:id="3"/>
      </w:r>
      <w:r w:rsidRPr="00EE2DE7">
        <w:rPr>
          <w:rFonts w:eastAsia="Calibri"/>
          <w:kern w:val="24"/>
        </w:rPr>
        <w:t>.</w:t>
      </w:r>
    </w:p>
    <w:p w:rsidR="009D4032" w:rsidRPr="00EE2DE7" w:rsidRDefault="009D4032" w:rsidP="005C2687">
      <w:pPr>
        <w:numPr>
          <w:ilvl w:val="0"/>
          <w:numId w:val="26"/>
        </w:numPr>
        <w:spacing w:line="276" w:lineRule="auto"/>
        <w:jc w:val="both"/>
        <w:rPr>
          <w:rFonts w:eastAsia="Calibri"/>
          <w:kern w:val="24"/>
        </w:rPr>
      </w:pPr>
      <w:r w:rsidRPr="00EE2DE7">
        <w:rPr>
          <w:rFonts w:eastAsia="Calibri"/>
          <w:kern w:val="24"/>
        </w:rPr>
        <w:t>Lidhur me pasqyrimin e jurisprudencës së GJEDNJ-s</w:t>
      </w:r>
      <w:r w:rsidRPr="00EE2DE7">
        <w:rPr>
          <w:rFonts w:eastAsia="Times New Roman"/>
          <w:kern w:val="24"/>
          <w:lang w:eastAsia="en-GB"/>
        </w:rPr>
        <w:t>ë</w:t>
      </w:r>
      <w:r w:rsidRPr="00EE2DE7">
        <w:rPr>
          <w:rFonts w:eastAsia="Calibri"/>
          <w:kern w:val="24"/>
        </w:rPr>
        <w:t xml:space="preserve"> dhe GJED-s</w:t>
      </w:r>
      <w:r w:rsidRPr="00EE2DE7">
        <w:rPr>
          <w:rFonts w:eastAsia="Times New Roman"/>
          <w:kern w:val="24"/>
          <w:lang w:eastAsia="en-GB"/>
        </w:rPr>
        <w:t>ë</w:t>
      </w:r>
      <w:r w:rsidRPr="00EE2DE7">
        <w:rPr>
          <w:rFonts w:eastAsia="Calibri"/>
          <w:kern w:val="24"/>
        </w:rPr>
        <w:t>, në marrëveshjen e bashkëpunimit me ekspertët/lehtësuesit, një nga detyrimet e tyre ka qenë që ata:</w:t>
      </w:r>
    </w:p>
    <w:p w:rsidR="009D4032" w:rsidRPr="00EE2DE7" w:rsidRDefault="009D4032" w:rsidP="005C2687">
      <w:pPr>
        <w:numPr>
          <w:ilvl w:val="1"/>
          <w:numId w:val="26"/>
        </w:numPr>
        <w:spacing w:line="276" w:lineRule="auto"/>
        <w:jc w:val="both"/>
        <w:rPr>
          <w:rFonts w:eastAsia="Calibri"/>
          <w:kern w:val="24"/>
        </w:rPr>
      </w:pPr>
      <w:r w:rsidRPr="00EE2DE7">
        <w:rPr>
          <w:rFonts w:eastAsia="Calibri"/>
          <w:kern w:val="24"/>
        </w:rPr>
        <w:t xml:space="preserve">të punojnë në grup për çdo seminar dhe në bashkëpunim me njëri-tjetrin dhe me asistencën e Shkollës së Magjistraturës të hartojnë programin/agjendën e trajnimit, të cilin do ta depozitojnë pranë Shkollës </w:t>
      </w:r>
      <w:r w:rsidRPr="00EE2DE7">
        <w:rPr>
          <w:rFonts w:eastAsia="Calibri"/>
          <w:b/>
          <w:i/>
          <w:kern w:val="24"/>
        </w:rPr>
        <w:t>jo më vonë se 30 ditë përpara trajnimit. Ky afat i lejon SHM-s</w:t>
      </w:r>
      <w:r w:rsidRPr="00EE2DE7">
        <w:rPr>
          <w:rFonts w:eastAsia="Times New Roman"/>
          <w:kern w:val="24"/>
          <w:lang w:eastAsia="en-GB"/>
        </w:rPr>
        <w:t>ë</w:t>
      </w:r>
      <w:r w:rsidRPr="00EE2DE7">
        <w:rPr>
          <w:rFonts w:eastAsia="Calibri"/>
          <w:b/>
          <w:i/>
          <w:kern w:val="24"/>
        </w:rPr>
        <w:t xml:space="preserve"> të mbajë në kontroll procesin lidhur me standardet ndërkombëtare dhe fokusin në problematikën e nevojave</w:t>
      </w:r>
      <w:r w:rsidRPr="00EE2DE7">
        <w:rPr>
          <w:rFonts w:eastAsia="Calibri"/>
          <w:kern w:val="24"/>
        </w:rPr>
        <w:t xml:space="preserve">; </w:t>
      </w:r>
    </w:p>
    <w:p w:rsidR="009D4032" w:rsidRPr="00EE2DE7" w:rsidRDefault="009D4032" w:rsidP="005C2687">
      <w:pPr>
        <w:numPr>
          <w:ilvl w:val="1"/>
          <w:numId w:val="26"/>
        </w:numPr>
        <w:spacing w:line="276" w:lineRule="auto"/>
        <w:jc w:val="both"/>
        <w:rPr>
          <w:rFonts w:eastAsia="Calibri"/>
          <w:kern w:val="24"/>
        </w:rPr>
      </w:pPr>
      <w:r w:rsidRPr="00EE2DE7">
        <w:rPr>
          <w:rFonts w:eastAsia="Calibri"/>
          <w:kern w:val="24"/>
        </w:rPr>
        <w:t xml:space="preserve">të depozitojnë pranë Shkollës së Magjistraturës temën e përgatitur në kopje fizike edhe elektronike, një listë me rubrikë pyetjesh për auditorin, një listë sintetike bibliografie (të asaj ku janë mbështetur dhe të asaj që sugjerohet për studime të mëtejshme), një listë kazusesh dhe vendimesh unifikuese të Gjykatës së Lartë, sipas rastit të Gjykatës Kushtetuese </w:t>
      </w:r>
      <w:r w:rsidRPr="00EE2DE7">
        <w:rPr>
          <w:rFonts w:eastAsia="Calibri"/>
          <w:b/>
          <w:kern w:val="24"/>
        </w:rPr>
        <w:t xml:space="preserve">dhe vendime të gjykatave ndërkombëtare të rëndësishme për çështje si të </w:t>
      </w:r>
      <w:r w:rsidRPr="00EE2DE7">
        <w:rPr>
          <w:rFonts w:eastAsia="Calibri"/>
          <w:b/>
          <w:kern w:val="24"/>
        </w:rPr>
        <w:lastRenderedPageBreak/>
        <w:t>GJEDNJ-s</w:t>
      </w:r>
      <w:r w:rsidRPr="00EE2DE7">
        <w:rPr>
          <w:rFonts w:eastAsia="Times New Roman"/>
          <w:b/>
          <w:kern w:val="24"/>
          <w:lang w:eastAsia="en-GB"/>
        </w:rPr>
        <w:t>ë</w:t>
      </w:r>
      <w:r w:rsidRPr="00EE2DE7">
        <w:rPr>
          <w:rFonts w:eastAsia="Calibri"/>
          <w:b/>
          <w:kern w:val="24"/>
        </w:rPr>
        <w:t xml:space="preserve"> dhe të GJED-s</w:t>
      </w:r>
      <w:r w:rsidRPr="00EE2DE7">
        <w:rPr>
          <w:rFonts w:eastAsia="Times New Roman"/>
          <w:b/>
          <w:kern w:val="24"/>
          <w:lang w:eastAsia="en-GB"/>
        </w:rPr>
        <w:t>ë</w:t>
      </w:r>
      <w:r w:rsidRPr="00EE2DE7">
        <w:rPr>
          <w:rFonts w:eastAsia="Calibri"/>
          <w:kern w:val="24"/>
        </w:rPr>
        <w:t xml:space="preserve">, si dhe bazën ligjore që gjyqtarët dhe prokurorët duhet të disponojnë gjatë trajnimit; </w:t>
      </w:r>
    </w:p>
    <w:p w:rsidR="009D4032" w:rsidRPr="00EE2DE7" w:rsidRDefault="009D4032" w:rsidP="005C2687">
      <w:pPr>
        <w:numPr>
          <w:ilvl w:val="1"/>
          <w:numId w:val="26"/>
        </w:numPr>
        <w:spacing w:line="276" w:lineRule="auto"/>
        <w:jc w:val="both"/>
        <w:rPr>
          <w:rFonts w:eastAsia="Calibri"/>
          <w:kern w:val="24"/>
        </w:rPr>
      </w:pPr>
      <w:r w:rsidRPr="00EE2DE7">
        <w:rPr>
          <w:rFonts w:eastAsia="Calibri"/>
          <w:bCs/>
          <w:kern w:val="24"/>
        </w:rPr>
        <w:t>të jenë të pranishëm në mënyrë të vazhdueshme gjatë të gjithë trajnimit;</w:t>
      </w:r>
      <w:r w:rsidRPr="00EE2DE7">
        <w:rPr>
          <w:rFonts w:eastAsia="Calibri"/>
          <w:kern w:val="24"/>
        </w:rPr>
        <w:t xml:space="preserve"> të njoftojnë Shkollën e Magjistraturës për çdo pamundësi pjesëmarrjeje </w:t>
      </w:r>
      <w:r w:rsidRPr="00EE2DE7">
        <w:rPr>
          <w:rFonts w:eastAsia="Calibri"/>
          <w:b/>
          <w:kern w:val="24"/>
        </w:rPr>
        <w:t>j</w:t>
      </w:r>
      <w:r w:rsidRPr="00EE2DE7">
        <w:rPr>
          <w:rFonts w:eastAsia="Calibri"/>
          <w:b/>
          <w:i/>
          <w:kern w:val="24"/>
        </w:rPr>
        <w:t>o më vonë se 1 muaj nga dita e trajnimit</w:t>
      </w:r>
      <w:r w:rsidRPr="00EE2DE7">
        <w:rPr>
          <w:rFonts w:eastAsia="Calibri"/>
          <w:kern w:val="24"/>
        </w:rPr>
        <w:t xml:space="preserve"> me përjashtim të rasteve të paparashikueshme. Në një rast të tillë ekspertët duhet të rekomandojnë ekspertin zëvendësues të mundshëm, duke pasur në konsideratë listën me emrat e miratuar nga Këshilli Drejtues, si dhe standardet e Shkollës së Magjistraturës dhe do të vënë në dispozicion punën parapërgatitore; </w:t>
      </w:r>
    </w:p>
    <w:p w:rsidR="009D4032" w:rsidRPr="00EE2DE7" w:rsidRDefault="009D4032" w:rsidP="005C2687">
      <w:pPr>
        <w:numPr>
          <w:ilvl w:val="1"/>
          <w:numId w:val="26"/>
        </w:numPr>
        <w:spacing w:line="276" w:lineRule="auto"/>
        <w:jc w:val="both"/>
        <w:rPr>
          <w:rFonts w:eastAsia="Calibri"/>
          <w:kern w:val="24"/>
        </w:rPr>
      </w:pPr>
      <w:r w:rsidRPr="00EE2DE7">
        <w:rPr>
          <w:rFonts w:eastAsia="Calibri"/>
          <w:kern w:val="24"/>
        </w:rPr>
        <w:t>të mbajnë shënime gjatë aktivitetit trajnues lidhur me: sugjerime dhe vërejtje të audiencës mbi tematikën aktuale dhe perspektive të trajnimit, ecurinë, metodologjinë e mësimdhënies së sugjeruar nga audienca dhe ata vetë.</w:t>
      </w:r>
    </w:p>
    <w:p w:rsidR="009D4032" w:rsidRPr="00EE2DE7" w:rsidRDefault="009D4032" w:rsidP="005C2687">
      <w:pPr>
        <w:numPr>
          <w:ilvl w:val="1"/>
          <w:numId w:val="26"/>
        </w:numPr>
        <w:spacing w:line="276" w:lineRule="auto"/>
        <w:jc w:val="both"/>
        <w:rPr>
          <w:rFonts w:eastAsia="Calibri"/>
          <w:kern w:val="24"/>
        </w:rPr>
      </w:pPr>
      <w:r w:rsidRPr="00EE2DE7">
        <w:rPr>
          <w:rFonts w:eastAsia="Calibri"/>
          <w:kern w:val="24"/>
        </w:rPr>
        <w:t xml:space="preserve">Sugjerimet për modifikime dhe/apo ndryshime të legjislacionit të dala nga seancat “diskutime dhe debat”,  t’i depozitojnë në Shkollë sipas rastit; </w:t>
      </w:r>
    </w:p>
    <w:p w:rsidR="009D4032" w:rsidRPr="00EE2DE7" w:rsidRDefault="009D4032" w:rsidP="005C2687">
      <w:pPr>
        <w:numPr>
          <w:ilvl w:val="1"/>
          <w:numId w:val="26"/>
        </w:numPr>
        <w:spacing w:line="276" w:lineRule="auto"/>
        <w:jc w:val="both"/>
        <w:rPr>
          <w:rFonts w:eastAsia="Calibri"/>
          <w:kern w:val="24"/>
        </w:rPr>
      </w:pPr>
      <w:r w:rsidRPr="00EE2DE7">
        <w:rPr>
          <w:rFonts w:eastAsia="Calibri"/>
          <w:kern w:val="24"/>
        </w:rPr>
        <w:t>Të bëhet një vlerësim i përgjithshëm i aktivitetit trajnues nga trajnuesit</w:t>
      </w:r>
      <w:r w:rsidRPr="00EE2DE7">
        <w:rPr>
          <w:rFonts w:eastAsia="Calibri"/>
          <w:bCs/>
          <w:kern w:val="24"/>
        </w:rPr>
        <w:t xml:space="preserve"> (gjyqtarë apo prokurorë) ose trajneri përgjegjës, eksperti dhe/apo specialisti i shkencave pedagogjike, në lidhje me standardet e kërkuara; pjesëmarrjen në seminare; aftësinë e pjesëmarrësve për t’u përqendruar brenda tematikës së seminarit; bashk</w:t>
      </w:r>
      <w:r w:rsidRPr="00EE2DE7">
        <w:rPr>
          <w:rFonts w:eastAsia="Calibri"/>
          <w:kern w:val="24"/>
        </w:rPr>
        <w:t>ë</w:t>
      </w:r>
      <w:r w:rsidRPr="00EE2DE7">
        <w:rPr>
          <w:rFonts w:eastAsia="Calibri"/>
          <w:bCs/>
          <w:kern w:val="24"/>
        </w:rPr>
        <w:t>koordinimi ekspert/leht</w:t>
      </w:r>
      <w:r w:rsidRPr="00EE2DE7">
        <w:rPr>
          <w:rFonts w:eastAsia="Calibri"/>
          <w:kern w:val="24"/>
        </w:rPr>
        <w:t>ë</w:t>
      </w:r>
      <w:r w:rsidRPr="00EE2DE7">
        <w:rPr>
          <w:rFonts w:eastAsia="Calibri"/>
          <w:bCs/>
          <w:kern w:val="24"/>
        </w:rPr>
        <w:t>sues; bashk</w:t>
      </w:r>
      <w:r w:rsidRPr="00EE2DE7">
        <w:rPr>
          <w:rFonts w:eastAsia="Calibri"/>
          <w:kern w:val="24"/>
        </w:rPr>
        <w:t>ë</w:t>
      </w:r>
      <w:r w:rsidRPr="00EE2DE7">
        <w:rPr>
          <w:rFonts w:eastAsia="Calibri"/>
          <w:bCs/>
          <w:kern w:val="24"/>
        </w:rPr>
        <w:t>bisedimi me auditorin apo edhe bashk</w:t>
      </w:r>
      <w:r w:rsidRPr="00EE2DE7">
        <w:rPr>
          <w:rFonts w:eastAsia="Calibri"/>
          <w:kern w:val="24"/>
        </w:rPr>
        <w:t>ë</w:t>
      </w:r>
      <w:r w:rsidRPr="00EE2DE7">
        <w:rPr>
          <w:rFonts w:eastAsia="Calibri"/>
          <w:bCs/>
          <w:kern w:val="24"/>
        </w:rPr>
        <w:t>rendimi i pun</w:t>
      </w:r>
      <w:r w:rsidRPr="00EE2DE7">
        <w:rPr>
          <w:rFonts w:eastAsia="Calibri"/>
          <w:kern w:val="24"/>
        </w:rPr>
        <w:t>ë</w:t>
      </w:r>
      <w:r w:rsidRPr="00EE2DE7">
        <w:rPr>
          <w:rFonts w:eastAsia="Calibri"/>
          <w:bCs/>
          <w:kern w:val="24"/>
        </w:rPr>
        <w:t>s me stafin administrativ t</w:t>
      </w:r>
      <w:r w:rsidRPr="00EE2DE7">
        <w:rPr>
          <w:rFonts w:eastAsia="Calibri"/>
          <w:kern w:val="24"/>
        </w:rPr>
        <w:t>ë</w:t>
      </w:r>
      <w:r w:rsidRPr="00EE2DE7">
        <w:rPr>
          <w:rFonts w:eastAsia="Calibri"/>
          <w:bCs/>
          <w:kern w:val="24"/>
        </w:rPr>
        <w:t xml:space="preserve"> Shkoll</w:t>
      </w:r>
      <w:r w:rsidRPr="00EE2DE7">
        <w:rPr>
          <w:rFonts w:eastAsia="Calibri"/>
          <w:kern w:val="24"/>
        </w:rPr>
        <w:t>ë</w:t>
      </w:r>
      <w:r w:rsidRPr="00EE2DE7">
        <w:rPr>
          <w:rFonts w:eastAsia="Calibri"/>
          <w:bCs/>
          <w:kern w:val="24"/>
        </w:rPr>
        <w:t>s n</w:t>
      </w:r>
      <w:r w:rsidRPr="00EE2DE7">
        <w:rPr>
          <w:rFonts w:eastAsia="Calibri"/>
          <w:kern w:val="24"/>
        </w:rPr>
        <w:t>ë</w:t>
      </w:r>
      <w:r w:rsidRPr="00EE2DE7">
        <w:rPr>
          <w:rFonts w:eastAsia="Calibri"/>
          <w:bCs/>
          <w:kern w:val="24"/>
        </w:rPr>
        <w:t xml:space="preserve"> organizimin dhe mbar</w:t>
      </w:r>
      <w:r w:rsidRPr="00EE2DE7">
        <w:rPr>
          <w:rFonts w:eastAsia="Calibri"/>
          <w:kern w:val="24"/>
        </w:rPr>
        <w:t>ë</w:t>
      </w:r>
      <w:r w:rsidRPr="00EE2DE7">
        <w:rPr>
          <w:rFonts w:eastAsia="Calibri"/>
          <w:bCs/>
          <w:kern w:val="24"/>
        </w:rPr>
        <w:t>vajtjen e nj</w:t>
      </w:r>
      <w:r w:rsidRPr="00EE2DE7">
        <w:rPr>
          <w:rFonts w:eastAsia="Calibri"/>
          <w:kern w:val="24"/>
        </w:rPr>
        <w:t>ë</w:t>
      </w:r>
      <w:r w:rsidRPr="00EE2DE7">
        <w:rPr>
          <w:rFonts w:eastAsia="Calibri"/>
          <w:bCs/>
          <w:kern w:val="24"/>
        </w:rPr>
        <w:t xml:space="preserve"> aktiviteti trajnues. </w:t>
      </w:r>
      <w:r w:rsidRPr="00EE2DE7">
        <w:rPr>
          <w:rFonts w:eastAsia="Calibri"/>
          <w:kern w:val="24"/>
        </w:rPr>
        <w:t xml:space="preserve">Të gjitha këto dhe të tjera që lidhen me Formimin Vazhdues paraqiten në një “procesverbal” pranë Shkollës së Magjistraturës, </w:t>
      </w:r>
      <w:r w:rsidRPr="00EE2DE7">
        <w:rPr>
          <w:rFonts w:eastAsia="Calibri"/>
          <w:b/>
          <w:i/>
          <w:kern w:val="24"/>
        </w:rPr>
        <w:t>jo më vonë se 2 javë pas trajnimit</w:t>
      </w:r>
      <w:r w:rsidRPr="00EE2DE7">
        <w:rPr>
          <w:rFonts w:eastAsia="Calibri"/>
          <w:kern w:val="24"/>
        </w:rPr>
        <w:t>.</w:t>
      </w:r>
    </w:p>
    <w:p w:rsidR="009D4032" w:rsidRPr="00EE2DE7" w:rsidRDefault="009D4032" w:rsidP="005C2687">
      <w:pPr>
        <w:numPr>
          <w:ilvl w:val="1"/>
          <w:numId w:val="26"/>
        </w:numPr>
        <w:spacing w:line="276" w:lineRule="auto"/>
        <w:jc w:val="both"/>
        <w:rPr>
          <w:rFonts w:eastAsia="Calibri"/>
          <w:kern w:val="24"/>
        </w:rPr>
      </w:pPr>
      <w:r w:rsidRPr="00EE2DE7">
        <w:rPr>
          <w:rFonts w:eastAsia="Calibri"/>
          <w:kern w:val="24"/>
        </w:rPr>
        <w:t xml:space="preserve">Pjesëmarrësit bëjnë një vlerësim </w:t>
      </w:r>
      <w:r w:rsidRPr="00EE2DE7">
        <w:rPr>
          <w:rFonts w:eastAsia="Calibri"/>
          <w:bCs/>
          <w:kern w:val="24"/>
        </w:rPr>
        <w:t>të seminarit referuar formular</w:t>
      </w:r>
      <w:r w:rsidRPr="00EE2DE7">
        <w:rPr>
          <w:rFonts w:eastAsia="Calibri"/>
          <w:kern w:val="24"/>
        </w:rPr>
        <w:t>ë</w:t>
      </w:r>
      <w:r w:rsidRPr="00EE2DE7">
        <w:rPr>
          <w:rFonts w:eastAsia="Calibri"/>
          <w:bCs/>
          <w:kern w:val="24"/>
        </w:rPr>
        <w:t>ve t</w:t>
      </w:r>
      <w:r w:rsidRPr="00EE2DE7">
        <w:rPr>
          <w:rFonts w:eastAsia="Calibri"/>
          <w:kern w:val="24"/>
        </w:rPr>
        <w:t>ë</w:t>
      </w:r>
      <w:r w:rsidRPr="00EE2DE7">
        <w:rPr>
          <w:rFonts w:eastAsia="Calibri"/>
          <w:bCs/>
          <w:kern w:val="24"/>
        </w:rPr>
        <w:t xml:space="preserve"> vler</w:t>
      </w:r>
      <w:r w:rsidRPr="00EE2DE7">
        <w:rPr>
          <w:rFonts w:eastAsia="Calibri"/>
          <w:kern w:val="24"/>
        </w:rPr>
        <w:t>ë</w:t>
      </w:r>
      <w:r w:rsidRPr="00EE2DE7">
        <w:rPr>
          <w:rFonts w:eastAsia="Calibri"/>
          <w:bCs/>
          <w:kern w:val="24"/>
        </w:rPr>
        <w:t>simit, t</w:t>
      </w:r>
      <w:r w:rsidRPr="00EE2DE7">
        <w:rPr>
          <w:rFonts w:eastAsia="Calibri"/>
          <w:kern w:val="24"/>
        </w:rPr>
        <w:t>ë</w:t>
      </w:r>
      <w:r w:rsidRPr="00EE2DE7">
        <w:rPr>
          <w:rFonts w:eastAsia="Calibri"/>
          <w:bCs/>
          <w:kern w:val="24"/>
        </w:rPr>
        <w:t xml:space="preserve"> cil</w:t>
      </w:r>
      <w:r w:rsidRPr="00EE2DE7">
        <w:rPr>
          <w:rFonts w:eastAsia="Calibri"/>
          <w:kern w:val="24"/>
        </w:rPr>
        <w:t>ë</w:t>
      </w:r>
      <w:r w:rsidRPr="00EE2DE7">
        <w:rPr>
          <w:rFonts w:eastAsia="Calibri"/>
          <w:bCs/>
          <w:kern w:val="24"/>
        </w:rPr>
        <w:t>t shp</w:t>
      </w:r>
      <w:r w:rsidRPr="00EE2DE7">
        <w:rPr>
          <w:rFonts w:eastAsia="Calibri"/>
          <w:kern w:val="24"/>
        </w:rPr>
        <w:t>ë</w:t>
      </w:r>
      <w:r w:rsidRPr="00EE2DE7">
        <w:rPr>
          <w:rFonts w:eastAsia="Calibri"/>
          <w:bCs/>
          <w:kern w:val="24"/>
        </w:rPr>
        <w:t>rndahen n</w:t>
      </w:r>
      <w:r w:rsidRPr="00EE2DE7">
        <w:rPr>
          <w:rFonts w:eastAsia="Calibri"/>
          <w:kern w:val="24"/>
        </w:rPr>
        <w:t>ë</w:t>
      </w:r>
      <w:r w:rsidRPr="00EE2DE7">
        <w:rPr>
          <w:rFonts w:eastAsia="Calibri"/>
          <w:bCs/>
          <w:kern w:val="24"/>
        </w:rPr>
        <w:t xml:space="preserve"> p</w:t>
      </w:r>
      <w:r w:rsidRPr="00EE2DE7">
        <w:rPr>
          <w:rFonts w:eastAsia="Calibri"/>
          <w:kern w:val="24"/>
        </w:rPr>
        <w:t>ë</w:t>
      </w:r>
      <w:r w:rsidRPr="00EE2DE7">
        <w:rPr>
          <w:rFonts w:eastAsia="Calibri"/>
          <w:bCs/>
          <w:kern w:val="24"/>
        </w:rPr>
        <w:t>rfundim t</w:t>
      </w:r>
      <w:r w:rsidRPr="00EE2DE7">
        <w:rPr>
          <w:rFonts w:eastAsia="Calibri"/>
          <w:kern w:val="24"/>
        </w:rPr>
        <w:t>ë</w:t>
      </w:r>
      <w:r w:rsidRPr="00EE2DE7">
        <w:rPr>
          <w:rFonts w:eastAsia="Calibri"/>
          <w:bCs/>
          <w:kern w:val="24"/>
        </w:rPr>
        <w:t xml:space="preserve"> çdo aktiviteti trajnues.</w:t>
      </w:r>
    </w:p>
    <w:p w:rsidR="009D4032" w:rsidRPr="00EE2DE7" w:rsidRDefault="009D4032" w:rsidP="009D4032">
      <w:pPr>
        <w:spacing w:line="276" w:lineRule="auto"/>
        <w:jc w:val="both"/>
        <w:rPr>
          <w:rFonts w:eastAsia="Calibri"/>
          <w:b/>
          <w:bCs/>
          <w:kern w:val="24"/>
        </w:rPr>
      </w:pPr>
    </w:p>
    <w:p w:rsidR="009D4032" w:rsidRPr="00EE2DE7" w:rsidRDefault="009D4032" w:rsidP="009D4032">
      <w:pPr>
        <w:spacing w:line="276" w:lineRule="auto"/>
        <w:jc w:val="both"/>
        <w:rPr>
          <w:rFonts w:eastAsia="Calibri"/>
          <w:bCs/>
          <w:color w:val="1F497D"/>
          <w:kern w:val="24"/>
        </w:rPr>
      </w:pPr>
      <w:r w:rsidRPr="00EE2DE7">
        <w:rPr>
          <w:rFonts w:eastAsia="Calibri"/>
          <w:b/>
          <w:bCs/>
          <w:color w:val="1F497D"/>
          <w:kern w:val="24"/>
        </w:rPr>
        <w:t>Lidhur me metodologjinë e trajnimit</w:t>
      </w:r>
      <w:r w:rsidRPr="00EE2DE7">
        <w:rPr>
          <w:rFonts w:eastAsia="Calibri"/>
          <w:bCs/>
          <w:color w:val="1F497D"/>
          <w:kern w:val="24"/>
        </w:rPr>
        <w:t>:</w:t>
      </w:r>
    </w:p>
    <w:p w:rsidR="009D4032" w:rsidRPr="00EE2DE7" w:rsidRDefault="009D4032" w:rsidP="009D4032">
      <w:pPr>
        <w:spacing w:line="276" w:lineRule="auto"/>
        <w:ind w:firstLine="720"/>
        <w:jc w:val="both"/>
        <w:rPr>
          <w:rFonts w:eastAsia="Calibri"/>
          <w:bCs/>
          <w:kern w:val="24"/>
        </w:rPr>
      </w:pPr>
      <w:r w:rsidRPr="00EE2DE7">
        <w:rPr>
          <w:rFonts w:eastAsia="Calibri"/>
          <w:bCs/>
          <w:kern w:val="24"/>
        </w:rPr>
        <w:t>Trajnerët/lehtësuesit/moderatorët e Formimit Vazhdues, përmes sesioneve të trajnimit të trajnerëve, janë udh</w:t>
      </w:r>
      <w:r w:rsidRPr="00EE2DE7">
        <w:rPr>
          <w:rFonts w:eastAsia="Calibri"/>
          <w:kern w:val="24"/>
        </w:rPr>
        <w:t>ëzuar</w:t>
      </w:r>
      <w:r w:rsidRPr="00EE2DE7">
        <w:rPr>
          <w:rFonts w:eastAsia="Calibri"/>
          <w:bCs/>
          <w:kern w:val="24"/>
        </w:rPr>
        <w:t xml:space="preserve"> që: </w:t>
      </w:r>
    </w:p>
    <w:p w:rsidR="009D4032" w:rsidRPr="00EE2DE7" w:rsidRDefault="009D4032" w:rsidP="005C2687">
      <w:pPr>
        <w:numPr>
          <w:ilvl w:val="0"/>
          <w:numId w:val="27"/>
        </w:numPr>
        <w:spacing w:line="276" w:lineRule="auto"/>
        <w:jc w:val="both"/>
        <w:rPr>
          <w:rFonts w:eastAsia="Calibri"/>
          <w:kern w:val="24"/>
        </w:rPr>
      </w:pPr>
      <w:r w:rsidRPr="00EE2DE7">
        <w:rPr>
          <w:rFonts w:eastAsia="Calibri"/>
          <w:bCs/>
          <w:kern w:val="24"/>
        </w:rPr>
        <w:t xml:space="preserve">të zhvillojnë një metodë interaktive trajnimi, ku auditori të trajtohet si partner; </w:t>
      </w:r>
    </w:p>
    <w:p w:rsidR="009D4032" w:rsidRPr="00EE2DE7" w:rsidRDefault="009D4032" w:rsidP="005C2687">
      <w:pPr>
        <w:numPr>
          <w:ilvl w:val="0"/>
          <w:numId w:val="27"/>
        </w:numPr>
        <w:spacing w:line="276" w:lineRule="auto"/>
        <w:jc w:val="both"/>
        <w:rPr>
          <w:rFonts w:eastAsia="Calibri"/>
          <w:kern w:val="24"/>
        </w:rPr>
      </w:pPr>
      <w:r w:rsidRPr="00EE2DE7">
        <w:rPr>
          <w:rFonts w:eastAsia="Calibri"/>
          <w:bCs/>
          <w:kern w:val="24"/>
        </w:rPr>
        <w:t xml:space="preserve">të bëjnë përpjekje për të ruajtur një ekuilibër mes trajtimit teorik dhe atij praktik të çështjeve objekt diskutimi, ku prioritet të kenë aspektet praktike; </w:t>
      </w:r>
    </w:p>
    <w:p w:rsidR="009D4032" w:rsidRPr="00EE2DE7" w:rsidRDefault="009D4032" w:rsidP="005C2687">
      <w:pPr>
        <w:numPr>
          <w:ilvl w:val="0"/>
          <w:numId w:val="27"/>
        </w:numPr>
        <w:spacing w:line="276" w:lineRule="auto"/>
        <w:jc w:val="both"/>
        <w:rPr>
          <w:rFonts w:eastAsia="Calibri"/>
          <w:kern w:val="24"/>
        </w:rPr>
      </w:pPr>
      <w:r w:rsidRPr="00EE2DE7">
        <w:rPr>
          <w:rFonts w:eastAsia="Calibri"/>
          <w:bCs/>
          <w:kern w:val="24"/>
        </w:rPr>
        <w:t>të kujdesen për ndërhyrje konstruktive, të shpërndara dhe jo dominuese, duke i lënë hapësirë të bollshme diskutimeve nga pjesëmarrësit;</w:t>
      </w:r>
    </w:p>
    <w:p w:rsidR="009D4032" w:rsidRPr="00EE2DE7" w:rsidRDefault="009D4032" w:rsidP="005C2687">
      <w:pPr>
        <w:numPr>
          <w:ilvl w:val="0"/>
          <w:numId w:val="27"/>
        </w:numPr>
        <w:spacing w:line="276" w:lineRule="auto"/>
        <w:jc w:val="both"/>
        <w:rPr>
          <w:rFonts w:eastAsia="Calibri"/>
          <w:kern w:val="24"/>
        </w:rPr>
      </w:pPr>
      <w:r w:rsidRPr="00EE2DE7">
        <w:rPr>
          <w:rFonts w:eastAsia="Calibri"/>
          <w:kern w:val="24"/>
        </w:rPr>
        <w:t>të kenë aftësinë për t</w:t>
      </w:r>
      <w:r w:rsidRPr="00EE2DE7">
        <w:rPr>
          <w:rFonts w:eastAsia="Calibri"/>
          <w:bCs/>
          <w:kern w:val="24"/>
        </w:rPr>
        <w:t xml:space="preserve">ë kombinuar disa metoda të mësimdhënies (prezantimi verbal, prezantimi me shkrim, puna në grup, pyetjet, përdorimi i mjeteve audiovizive etj.); </w:t>
      </w:r>
    </w:p>
    <w:p w:rsidR="009D4032" w:rsidRPr="00EE2DE7" w:rsidRDefault="009D4032" w:rsidP="005C2687">
      <w:pPr>
        <w:numPr>
          <w:ilvl w:val="0"/>
          <w:numId w:val="27"/>
        </w:numPr>
        <w:spacing w:line="276" w:lineRule="auto"/>
        <w:jc w:val="both"/>
        <w:rPr>
          <w:rFonts w:eastAsia="Calibri"/>
          <w:kern w:val="24"/>
        </w:rPr>
      </w:pPr>
      <w:r w:rsidRPr="00EE2DE7">
        <w:rPr>
          <w:rFonts w:eastAsia="Calibri"/>
          <w:bCs/>
          <w:kern w:val="24"/>
        </w:rPr>
        <w:t>të kenë aftësi për të prezantuar materialin e seminarit pa ndonjë mbështetje dokumentare</w:t>
      </w:r>
      <w:r w:rsidRPr="00EE2DE7">
        <w:rPr>
          <w:rFonts w:eastAsia="Calibri"/>
          <w:kern w:val="24"/>
        </w:rPr>
        <w:t xml:space="preserve"> dhe për të p</w:t>
      </w:r>
      <w:r w:rsidRPr="00EE2DE7">
        <w:rPr>
          <w:rFonts w:eastAsia="Calibri"/>
          <w:bCs/>
          <w:kern w:val="24"/>
        </w:rPr>
        <w:t>ërgatitur materialet burimore të mësimdhënies së nevojshme për seminarin, mbështetjen e aspekteve teorike dhe praktike, për të vëzhguar nivelin e duhur të ndërveprimit dhe mbështetjen e metodave të mësimdhënies, qëllimit dhe tematikës së prezantimeve dhe për të qëndruar brenda kohës së përcaktuar për një prezantim;</w:t>
      </w:r>
    </w:p>
    <w:p w:rsidR="00022A5D" w:rsidRPr="00022A5D" w:rsidRDefault="009D4032" w:rsidP="005C2687">
      <w:pPr>
        <w:numPr>
          <w:ilvl w:val="0"/>
          <w:numId w:val="27"/>
        </w:numPr>
        <w:spacing w:line="276" w:lineRule="auto"/>
        <w:jc w:val="both"/>
        <w:rPr>
          <w:rFonts w:eastAsia="Calibri"/>
          <w:kern w:val="24"/>
        </w:rPr>
      </w:pPr>
      <w:r w:rsidRPr="00EE2DE7">
        <w:rPr>
          <w:rFonts w:eastAsia="Calibri"/>
          <w:bCs/>
          <w:kern w:val="24"/>
        </w:rPr>
        <w:t>të bashkëpunojnë me trajnerët e tjerë që janë të përfshirë në të njëjtin seminar apo tematikë, me qëllim bashkërendimin dhe përcaktimin e rolit përkatës që gjithsecili do të ketë.</w:t>
      </w:r>
    </w:p>
    <w:p w:rsidR="00022A5D" w:rsidRDefault="00CF3AE0" w:rsidP="00022A5D">
      <w:pPr>
        <w:spacing w:line="276" w:lineRule="auto"/>
        <w:jc w:val="both"/>
        <w:rPr>
          <w:rFonts w:eastAsia="Calibri"/>
          <w:b/>
          <w:kern w:val="24"/>
        </w:rPr>
      </w:pPr>
      <w:r>
        <w:rPr>
          <w:rFonts w:eastAsia="Calibri"/>
          <w:b/>
          <w:noProof/>
          <w:kern w:val="24"/>
          <w:lang w:eastAsia="en-US"/>
        </w:rPr>
        <w:lastRenderedPageBreak/>
        <w:pict>
          <v:rect id="_x0000_s1082" style="position:absolute;left:0;text-align:left;margin-left:24.3pt;margin-top:-15.8pt;width:461.4pt;height:110.9pt;z-index:251732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" fillcolor="#4f81bd" stroked="f" strokeweight="2pt">
            <v:textbox inset="21.6pt,21.6pt,21.6pt,21.6pt">
              <w:txbxContent>
                <w:p w:rsidR="005372E3" w:rsidRPr="00392D9B" w:rsidRDefault="005372E3" w:rsidP="00022A5D">
                  <w:pPr>
                    <w:jc w:val="center"/>
                    <w:rPr>
                      <w:b/>
                      <w:sz w:val="30"/>
                      <w:szCs w:val="30"/>
                    </w:rPr>
                  </w:pPr>
                  <w:r w:rsidRPr="00392D9B">
                    <w:rPr>
                      <w:b/>
                      <w:sz w:val="30"/>
                      <w:szCs w:val="30"/>
                    </w:rPr>
                    <w:t>Me krijimin e KLGJ-së dhe KLP-së do të bashkëpunohet me Shkollën për çdo përmirësim që nuk gjendet i pasqyruar si në procesin e vlerësimit të nevojave, përzgjedhjes së ekspertëve/lehtësuesve, marrëveshjes, metodologjisë etj.</w:t>
                  </w:r>
                </w:p>
                <w:p w:rsidR="005372E3" w:rsidRPr="006621AA" w:rsidRDefault="005372E3" w:rsidP="00022A5D">
                  <w:pPr>
                    <w:jc w:val="center"/>
                  </w:pPr>
                </w:p>
              </w:txbxContent>
            </v:textbox>
            <w10:wrap type="topAndBottom"/>
          </v:rect>
        </w:pict>
      </w:r>
    </w:p>
    <w:p w:rsidR="009D4032" w:rsidRPr="00EE2DE7" w:rsidRDefault="009D4032" w:rsidP="00022A5D">
      <w:pPr>
        <w:spacing w:line="276" w:lineRule="auto"/>
        <w:jc w:val="both"/>
        <w:rPr>
          <w:rFonts w:eastAsia="Calibri"/>
          <w:kern w:val="24"/>
        </w:rPr>
      </w:pPr>
      <w:r w:rsidRPr="00EE2DE7">
        <w:rPr>
          <w:rFonts w:eastAsia="Calibri"/>
          <w:kern w:val="24"/>
        </w:rPr>
        <w:t xml:space="preserve">Kalendari i </w:t>
      </w:r>
      <w:r w:rsidRPr="00EE2DE7">
        <w:rPr>
          <w:rFonts w:eastAsia="Calibri"/>
          <w:b/>
          <w:kern w:val="24"/>
        </w:rPr>
        <w:t>TV-s</w:t>
      </w:r>
      <w:r w:rsidRPr="00EE2DE7">
        <w:rPr>
          <w:rFonts w:eastAsia="Times New Roman"/>
          <w:b/>
          <w:kern w:val="24"/>
          <w:lang w:eastAsia="en-GB"/>
        </w:rPr>
        <w:t>ë</w:t>
      </w:r>
      <w:r w:rsidRPr="00EE2DE7">
        <w:rPr>
          <w:rFonts w:eastAsia="Calibri"/>
          <w:kern w:val="24"/>
        </w:rPr>
        <w:t xml:space="preserve"> gjatë vitit akademik 2017-2018 është pasuruar me tema të reja të rëndësishme, ku krahas problematikës vendase është parë në mënyrë krahasuese edhe jurisprudenca e vendeve të tjera. </w:t>
      </w:r>
    </w:p>
    <w:p w:rsidR="009D4032" w:rsidRPr="00EE2DE7" w:rsidRDefault="009D4032" w:rsidP="00022A5D">
      <w:pPr>
        <w:spacing w:line="276" w:lineRule="auto"/>
        <w:jc w:val="both"/>
        <w:rPr>
          <w:rFonts w:eastAsia="Calibri"/>
          <w:kern w:val="24"/>
        </w:rPr>
      </w:pPr>
      <w:r w:rsidRPr="00EE2DE7">
        <w:rPr>
          <w:rFonts w:eastAsia="Calibri"/>
          <w:kern w:val="24"/>
        </w:rPr>
        <w:t xml:space="preserve">Vlen të përmendim aktivitetet trajnuese në të cilat janë trajtuar: </w:t>
      </w:r>
    </w:p>
    <w:p w:rsidR="009D4032" w:rsidRPr="00EE2DE7" w:rsidRDefault="009D4032" w:rsidP="009D4032">
      <w:pPr>
        <w:spacing w:line="276" w:lineRule="auto"/>
        <w:ind w:firstLine="720"/>
        <w:jc w:val="both"/>
        <w:rPr>
          <w:rFonts w:eastAsia="Calibri"/>
          <w:kern w:val="24"/>
        </w:rPr>
      </w:pPr>
      <w:r w:rsidRPr="00EE2DE7">
        <w:rPr>
          <w:rFonts w:eastAsia="MS Mincho"/>
          <w:kern w:val="24"/>
        </w:rPr>
        <w:t xml:space="preserve">Raporti prokurori-gjykatë, </w:t>
      </w:r>
      <w:r w:rsidRPr="00EE2DE7">
        <w:rPr>
          <w:rFonts w:eastAsia="Calibri"/>
          <w:kern w:val="24"/>
        </w:rPr>
        <w:t xml:space="preserve">roli i gjyqtarit të seancës paraprake, risitë dhe ecuria e praktikës gjyqësore. </w:t>
      </w:r>
      <w:r w:rsidRPr="00EE2DE7">
        <w:rPr>
          <w:rFonts w:eastAsia="Calibri"/>
          <w:b/>
          <w:kern w:val="24"/>
        </w:rPr>
        <w:t>Seanca paraprake,</w:t>
      </w:r>
      <w:r w:rsidRPr="00EE2DE7">
        <w:rPr>
          <w:rFonts w:eastAsia="Calibri"/>
          <w:kern w:val="24"/>
        </w:rPr>
        <w:t xml:space="preserve"> si një nga risitë e sjella në Kodin e Procedurës Penale (ligji nr. 35/2017 në Kodin e Procedurës Penale). Veçoritë e seancës paraprake dhe të drejtat e palëve. Vendimi për plotësimin e hetimeve. Ndryshimi i akuzës në seancën paraprake. Paraqitja e kërkesës për gjykim të shkurtuar në seancën paraprake dhe roli që ka gjyqtari i seancës paraprake në shqyrtimin e saj. Llojet e vendimeve që merr gjyqtari në përfundim të seancës paraprake. Elementet e vendimit të seancës paraprake dhe fashikulli i gjykimit. </w:t>
      </w:r>
      <w:r w:rsidRPr="00EE2DE7">
        <w:rPr>
          <w:rFonts w:eastAsia="MS Mincho"/>
          <w:kern w:val="24"/>
        </w:rPr>
        <w:t xml:space="preserve">Drejtësia penale për të mitur, legjislacioni në këtë fushë. </w:t>
      </w:r>
      <w:r w:rsidRPr="00EE2DE7">
        <w:rPr>
          <w:rFonts w:eastAsia="Calibri"/>
          <w:kern w:val="24"/>
        </w:rPr>
        <w:t>Standardet ndërkombëtare lidhur me parimet e drejtësisë miqësore për të miturit dhe risitë e legjislacionit shqiptar (Kodi i Procedurës Penale dhe Kodi i Drejtësisë Penale për të Mitur).</w:t>
      </w:r>
      <w:r w:rsidRPr="00EE2DE7">
        <w:rPr>
          <w:rFonts w:eastAsia="Calibri"/>
          <w:color w:val="00B0F0"/>
          <w:kern w:val="24"/>
        </w:rPr>
        <w:t xml:space="preserve"> </w:t>
      </w:r>
      <w:r w:rsidRPr="00EE2DE7">
        <w:rPr>
          <w:rFonts w:eastAsia="Calibri"/>
          <w:bCs/>
          <w:kern w:val="24"/>
        </w:rPr>
        <w:t>Drejtësia</w:t>
      </w:r>
      <w:r w:rsidRPr="00EE2DE7">
        <w:rPr>
          <w:rFonts w:eastAsia="Calibri"/>
          <w:bCs/>
          <w:kern w:val="24"/>
          <w:shd w:val="clear" w:color="auto" w:fill="FFFFFF"/>
        </w:rPr>
        <w:t xml:space="preserve"> restauruese dhe ndërmjetësimi viktimë-kundërvuajtës për të miturit. Hetimi i krimit financiar në rastet e trafikimit të qenieve njerëzore. Vendet e parajsës fiskale: karakteristikat dhe instrumentet ndërkombëtare për gjurmimin e evazionit fiskal. Asistencë për mbrojtjen më të mirë në lidhje me nenin 10 (Liria e shprehjes) të KEDNJ-s</w:t>
      </w:r>
      <w:r w:rsidRPr="00EE2DE7">
        <w:rPr>
          <w:rFonts w:eastAsia="Times New Roman"/>
          <w:kern w:val="24"/>
          <w:lang w:eastAsia="en-GB"/>
        </w:rPr>
        <w:t>ë</w:t>
      </w:r>
      <w:r w:rsidRPr="00EE2DE7">
        <w:rPr>
          <w:rFonts w:eastAsia="Calibri"/>
          <w:bCs/>
          <w:kern w:val="24"/>
          <w:shd w:val="clear" w:color="auto" w:fill="FFFFFF"/>
        </w:rPr>
        <w:t xml:space="preserve">, përmes zbatimit të standardeve të Gjykatës Europiane të të Drejtave të Njeriut. Zhvillime të legjislacionit të prokurimeve publike dhe fiskale, në këndvështrimin e gjykimeve administrative. Konfiskimi i aseteve në kuadër të ligjit antimafia. Risitë procedurale në gjykimet administrative. Zhvillime të legjislacionit fiskal, në këndvështrimin e gjykimeve administrative. Teknikat e ngritjes së akuzës. Ekzekutimi i vendimeve gjyqësore të formës së prerë. Dënimet alternative dhe shërbimi i provës. Efektet e vendimmarrjes së Gjykatës Kushtetuese për vendimmarrjen e gjykatave të zakonshme. Krimi kibernetik. Roli i sistemit të drejtësisë në mbrojtjen dhe promovimin e standardeve të barazisë dhe mosdiskriminimit gjinor. Bashkëpunimi ndërkombëtar në çështjet penale. Vlerësimi i interesit më të lartë të fëmijës në çështjet me elementë të huaj. Mbrojtja në gjykatë e grave viktima/të mbijetuara të dhunës në familje. Konventa e Këshillit të Europës për Parandalimin dhe Luftimin e Dhunës ndaj Grave dhe Dhunës në Familje (Konventa e Stambollit). Instituti juridik </w:t>
      </w:r>
      <w:r w:rsidRPr="00EE2DE7">
        <w:rPr>
          <w:rFonts w:eastAsia="Calibri"/>
          <w:bCs/>
          <w:i/>
          <w:kern w:val="24"/>
          <w:shd w:val="clear" w:color="auto" w:fill="FFFFFF"/>
        </w:rPr>
        <w:t>res iudicata</w:t>
      </w:r>
      <w:r w:rsidRPr="00EE2DE7">
        <w:rPr>
          <w:rFonts w:eastAsia="Calibri"/>
          <w:bCs/>
          <w:kern w:val="24"/>
          <w:shd w:val="clear" w:color="auto" w:fill="FFFFFF"/>
        </w:rPr>
        <w:t xml:space="preserve">, kuptimi material dhe procedural, dimensionet kushtetuese, konventore dhe ligjore. Ligji europian. Konkurrenca. E drejta administrative në kontekstin ndërkombëtar. Refleksione rreth praktikës gjyqësore në lidhje me institutin e bashkëpunimit në veprën penale dhe problematikat e krijuara pas daljes së Vendimit Unifikues nr.4, datë 15.4.2011 të Kolegjeve të Bashkuara të Gjykatës së Lartë. Pavlefshmëria dhe mospërdorimi i provave atipike në një procedim penal. Shkeljet e Pronësisë Intelektuale në Internet, si dhe veprat në vende publike. Veprat penale në fushën e tatimeve. Etika gjyqësore, parimet, respektimi i solemnitetit në drejtim të etikës gjyqësore. Roli i gjyqtarit kombëtar dhe zbatimi i legjislacionit të BE-së. Gjykimi në mungesë në procesin civil. Administrimi modern i gjykatave. E drejta e internetit. Çështje rregullatore dhe tregtare. Pavlefshmëria e themelimit të shoqërive tregtare. </w:t>
      </w:r>
      <w:r w:rsidRPr="00EE2DE7">
        <w:rPr>
          <w:rFonts w:eastAsia="Calibri"/>
          <w:bCs/>
          <w:kern w:val="24"/>
          <w:shd w:val="clear" w:color="auto" w:fill="FFFFFF"/>
        </w:rPr>
        <w:lastRenderedPageBreak/>
        <w:t xml:space="preserve">Shkrimi ligjor dhe arsyetimi i vendimeve gjyqësore, elementet e tij sipas dispozitave procedurale dhe materiale. Të drejtat e njeriut. Juridiksioni kushtetues </w:t>
      </w:r>
      <w:r w:rsidRPr="0069377A">
        <w:rPr>
          <w:rFonts w:eastAsia="Calibri"/>
          <w:bCs/>
          <w:i/>
          <w:kern w:val="24"/>
          <w:shd w:val="clear" w:color="auto" w:fill="FFFFFF"/>
        </w:rPr>
        <w:t>vs</w:t>
      </w:r>
      <w:r w:rsidRPr="00EE2DE7">
        <w:rPr>
          <w:rFonts w:eastAsia="Calibri"/>
          <w:bCs/>
          <w:kern w:val="24"/>
          <w:shd w:val="clear" w:color="auto" w:fill="FFFFFF"/>
        </w:rPr>
        <w:t xml:space="preserve"> juridiksionit </w:t>
      </w:r>
      <w:r w:rsidRPr="00EE2DE7">
        <w:rPr>
          <w:rFonts w:eastAsia="Calibri"/>
          <w:bCs/>
          <w:kern w:val="24"/>
        </w:rPr>
        <w:t>gjyqësor administrativ. Etika dhe komunikimi në seancat gjyqësore dhe sjellja me palët. Kontrabanda. Zgjidhja administrative e kontrabandës. Kuptimi dhe zbatimi i drejtë i nenit 3 të KEDNJ-s</w:t>
      </w:r>
      <w:r w:rsidRPr="00EE2DE7">
        <w:rPr>
          <w:rFonts w:eastAsia="Times New Roman"/>
          <w:kern w:val="24"/>
          <w:lang w:eastAsia="en-GB"/>
        </w:rPr>
        <w:t>ë</w:t>
      </w:r>
      <w:r w:rsidRPr="00EE2DE7">
        <w:rPr>
          <w:rFonts w:eastAsia="Calibri"/>
          <w:bCs/>
          <w:kern w:val="24"/>
        </w:rPr>
        <w:t xml:space="preserve"> dhe legjislacionit të brendshëm në këtë fushë. Prezantimi i modelit kroat i Zyrës së Prokurorisë për shtypjen e korrupsionit dhe krimin e organizuar, kontrolli i sigurisë për gjyqtarët dhe prokurorët. Mbrojtja e të dhënave personale, me fokus të veçantë mbrojtjen e të dhënave sensitive që publikohen në vendimet gjyqësore. Pozita e viktimës në procesin penal. Ndihma juridike. Nënshkrimi elektronik. Institute të së drejtës procedurale administrative sipas Kodit të ri të Procedurave Administrative. Teknikat e hetimit proaktiv, teknikat për hetimin e trafikut të drogës. Kuptimi kushtetues dhe ligjor i parashikimit të detyrueshmërisë për nisjen e procesit penal (regjistrimin e veprave penale) dhe shkalla e ndikimit të tij në ushtrimin e ndjekjes penale. Barra e provës në çështjet e konkurrencës, procedurat para gjykatës. Gjyqësori dhe media. Falimenti. Mbrojtja e viktimave, në fokusin e padisë civile në procesin penal. Vlerësimi profesional dhe etik i gjyqtarëve (të dhëna bazë mbi procedurën dhe kriteret, si dhe përqasja me standardet dhe praktikat e mira europiane). Roli i Avokatit të Shtetit në procesin gjyqësor, ndarja e kompetencave midis Avokaturës së Shtetit dhe institucioneve publike. E drejta e azilit. Procedimi disiplinor i gjyqtarëve (të dhënat bazë mbi procedurën dhe kriteret, si dhe përqasja me standardet dhe praktikat e mira europiane, nisur edhe nga ndryshimet e fundit t</w:t>
      </w:r>
      <w:r w:rsidRPr="00EE2DE7">
        <w:rPr>
          <w:rFonts w:eastAsia="Times New Roman"/>
          <w:kern w:val="24"/>
          <w:lang w:eastAsia="en-GB"/>
        </w:rPr>
        <w:t>ë</w:t>
      </w:r>
      <w:r w:rsidRPr="00EE2DE7">
        <w:rPr>
          <w:rFonts w:eastAsia="Calibri"/>
          <w:bCs/>
          <w:kern w:val="24"/>
        </w:rPr>
        <w:t xml:space="preserve"> legjislacionit). Trajnime mbi </w:t>
      </w:r>
      <w:r w:rsidRPr="00EE2DE7">
        <w:rPr>
          <w:rFonts w:eastAsia="Calibri"/>
          <w:bCs/>
          <w:i/>
          <w:kern w:val="24"/>
        </w:rPr>
        <w:t>acquis communautaire</w:t>
      </w:r>
      <w:r w:rsidRPr="00EE2DE7">
        <w:rPr>
          <w:rFonts w:eastAsia="Calibri"/>
          <w:bCs/>
          <w:kern w:val="24"/>
        </w:rPr>
        <w:t xml:space="preserve"> për pjesë të reja të legjislacionit shqiptar që kanë përqasur </w:t>
      </w:r>
      <w:r w:rsidRPr="00EE2DE7">
        <w:rPr>
          <w:rFonts w:eastAsia="Calibri"/>
          <w:bCs/>
          <w:i/>
          <w:kern w:val="24"/>
        </w:rPr>
        <w:t>Acquis Communautaire</w:t>
      </w:r>
      <w:r w:rsidRPr="00EE2DE7">
        <w:rPr>
          <w:rFonts w:eastAsia="Calibri"/>
          <w:bCs/>
          <w:kern w:val="24"/>
        </w:rPr>
        <w:t>. Rregullimi ligjor i marrëdhënieve të punës dhe problemet që ndeshen në praktikën gjyqësore. Zbatueshmëria e parimit kushtetues të së drejtës për të mos u gjykuar dy herë (</w:t>
      </w:r>
      <w:r w:rsidRPr="00EE2DE7">
        <w:rPr>
          <w:rFonts w:eastAsia="Calibri"/>
          <w:bCs/>
          <w:i/>
          <w:kern w:val="24"/>
        </w:rPr>
        <w:t>ne bis in idem</w:t>
      </w:r>
      <w:r w:rsidRPr="00EE2DE7">
        <w:rPr>
          <w:rFonts w:eastAsia="Calibri"/>
          <w:bCs/>
          <w:kern w:val="24"/>
        </w:rPr>
        <w:t>) në këndvështrimin e KEDNJ-s</w:t>
      </w:r>
      <w:r w:rsidRPr="00EE2DE7">
        <w:rPr>
          <w:rFonts w:eastAsia="Times New Roman"/>
          <w:kern w:val="24"/>
          <w:lang w:eastAsia="en-GB"/>
        </w:rPr>
        <w:t>ë</w:t>
      </w:r>
      <w:r w:rsidRPr="00EE2DE7">
        <w:rPr>
          <w:rFonts w:eastAsia="Calibri"/>
          <w:bCs/>
          <w:kern w:val="24"/>
        </w:rPr>
        <w:t xml:space="preserve"> (neni 4 i Protokollit nr.7). Veprat penale që prekin zgjedhjet e lira dhe sistemin demokratik të zgjedhjeve. Vendi dhe roli i jurisprudencës së GJEDNJ-së në Strasburg dhe Gjykatës Europiane t</w:t>
      </w:r>
      <w:r w:rsidRPr="00EE2DE7">
        <w:rPr>
          <w:rFonts w:eastAsia="Times New Roman"/>
          <w:kern w:val="24"/>
          <w:lang w:eastAsia="en-GB"/>
        </w:rPr>
        <w:t>ë</w:t>
      </w:r>
      <w:r w:rsidRPr="00EE2DE7">
        <w:rPr>
          <w:rFonts w:eastAsia="Calibri"/>
          <w:bCs/>
          <w:kern w:val="24"/>
        </w:rPr>
        <w:t xml:space="preserve"> Drejtësisë n</w:t>
      </w:r>
      <w:r w:rsidRPr="00EE2DE7">
        <w:rPr>
          <w:rFonts w:eastAsia="Times New Roman"/>
          <w:kern w:val="24"/>
          <w:lang w:eastAsia="en-GB"/>
        </w:rPr>
        <w:t>ë</w:t>
      </w:r>
      <w:r w:rsidRPr="00EE2DE7">
        <w:rPr>
          <w:rFonts w:eastAsia="Calibri"/>
          <w:bCs/>
          <w:kern w:val="24"/>
        </w:rPr>
        <w:t xml:space="preserve"> Luksemburg n</w:t>
      </w:r>
      <w:r w:rsidRPr="00EE2DE7">
        <w:rPr>
          <w:rFonts w:eastAsia="Times New Roman"/>
          <w:kern w:val="24"/>
          <w:lang w:eastAsia="en-GB"/>
        </w:rPr>
        <w:t>ë</w:t>
      </w:r>
      <w:r w:rsidRPr="00EE2DE7">
        <w:rPr>
          <w:rFonts w:eastAsia="Calibri"/>
          <w:bCs/>
          <w:kern w:val="24"/>
        </w:rPr>
        <w:t xml:space="preserve"> zhvillimin e sistemit ligjor n</w:t>
      </w:r>
      <w:r w:rsidRPr="00EE2DE7">
        <w:rPr>
          <w:rFonts w:eastAsia="Times New Roman"/>
          <w:kern w:val="24"/>
          <w:lang w:eastAsia="en-GB"/>
        </w:rPr>
        <w:t>ë</w:t>
      </w:r>
      <w:r w:rsidRPr="00EE2DE7">
        <w:rPr>
          <w:rFonts w:eastAsia="Calibri"/>
          <w:bCs/>
          <w:kern w:val="24"/>
        </w:rPr>
        <w:t xml:space="preserve"> Shqipëri. Rëndësia e interpretimit nëpërmjet jurisprudencës në drejtim të garantimit të sigurisë juridike, si element i procesit të rregullt ligjor në kuptim të nenit 6 të KEDNJ-së dhe nenit 42 të Kushtetutës. Gjobat në çështjet e mos-konkurrencës, shqyrtimi gjyqësor i gjobave.</w:t>
      </w:r>
    </w:p>
    <w:p w:rsidR="009D4032" w:rsidRPr="00EE2DE7" w:rsidRDefault="009D4032" w:rsidP="009D4032">
      <w:pPr>
        <w:spacing w:line="276" w:lineRule="auto"/>
        <w:ind w:firstLine="720"/>
        <w:jc w:val="both"/>
        <w:rPr>
          <w:rFonts w:eastAsia="Calibri"/>
          <w:kern w:val="24"/>
        </w:rPr>
      </w:pPr>
      <w:r w:rsidRPr="00EE2DE7">
        <w:rPr>
          <w:rFonts w:eastAsia="Calibri"/>
          <w:kern w:val="24"/>
        </w:rPr>
        <w:t>Programi i Formimit Vazhdues dhe kalendari i aktiviteteve trajnuese për vitin akademik 2017-2018,  ka pasur si karakteristikë dinamizmin dhe fleksibilitetin: a) p</w:t>
      </w:r>
      <w:r w:rsidRPr="00EE2DE7">
        <w:rPr>
          <w:rFonts w:eastAsia="Times New Roman"/>
          <w:kern w:val="24"/>
          <w:lang w:eastAsia="en-GB"/>
        </w:rPr>
        <w:t>ërditësimin</w:t>
      </w:r>
      <w:r w:rsidRPr="00EE2DE7">
        <w:rPr>
          <w:rFonts w:eastAsia="Calibri"/>
          <w:kern w:val="24"/>
        </w:rPr>
        <w:t xml:space="preserve"> rast pas rasti sipas interesave të audiencës së gjyqtarëve/prokurorëve; b) ndjekjen e së njëjtës linjë me zhvillimin e proceseve të reformës ligjore dhe të sistemit të drejtësisë për shkak të proceseve integruese; c) vlerësimin dhe pasqyrimin më pas të çdo sugjerimi të ardhur në mënyrë të vazhdueshme në Shkollë. </w:t>
      </w:r>
    </w:p>
    <w:p w:rsidR="009D4032" w:rsidRPr="00EE2DE7" w:rsidRDefault="009D4032" w:rsidP="009D4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MS Mincho"/>
          <w:kern w:val="24"/>
        </w:rPr>
      </w:pPr>
      <w:r w:rsidRPr="00EE2DE7">
        <w:rPr>
          <w:rFonts w:eastAsia="Times New Roman"/>
          <w:kern w:val="24"/>
        </w:rPr>
        <w:tab/>
        <w:t xml:space="preserve">Duke ndjekur këtë traditë, </w:t>
      </w:r>
      <w:r w:rsidRPr="00EE2DE7">
        <w:rPr>
          <w:rFonts w:eastAsia="MS Mincho"/>
          <w:kern w:val="24"/>
        </w:rPr>
        <w:t>Shkolla e Magjistraturës në mënyrë konsekuente ka vlerësuar qasjen e Programit të Formimit Vazhdues me nevojat në dinamikë të prokurorëve/gjyqtarëve në detyrë dhe jo vetëm, me qëllimin e vetëm, formulimin e një programi sa më ef</w:t>
      </w:r>
      <w:r>
        <w:rPr>
          <w:rFonts w:eastAsia="MS Mincho"/>
          <w:kern w:val="24"/>
        </w:rPr>
        <w:t>i</w:t>
      </w:r>
      <w:r w:rsidRPr="00EE2DE7">
        <w:rPr>
          <w:rFonts w:eastAsia="MS Mincho"/>
          <w:kern w:val="24"/>
        </w:rPr>
        <w:t xml:space="preserve">cient dhe sa më pranë nevojave të gjyqtarë/prokurorëve si edhe aktorëve të tjerë të sistemit të drejtësisë. Vëmendja për mundësi përditësimi me tematika të reja nuk resht edhe pse, Programi i Formimit Vazhdues miratohet çdo trevjeçar, duke u pasuruar vazhdimisht gjatë viteve akademike nëpërmjet sugjerimeve të auditorit, vetë ekspertëve apo lehtësuesve, partnerëve tanë, nevojave rast pas rasti të tematikave sipas zhvillimeve të legjislacionit vendas apo të trajtimeve të praktikave më të mira ndërkombëtare. Por, në pjesën më të madhe të rasteve, kjo ka ardhur si pasojë e kërkesave të partnerëve tanë ndërkombëtarë për organizimin e aktiviteteve trajnuese të përbashkëta. Shkolla, ka qëndruar gjithnjë vigjilente ndaj çdo kërkese të ardhur nga gjyqtarët, </w:t>
      </w:r>
      <w:r w:rsidRPr="00EE2DE7">
        <w:rPr>
          <w:rFonts w:eastAsia="MS Mincho"/>
          <w:kern w:val="24"/>
        </w:rPr>
        <w:lastRenderedPageBreak/>
        <w:t>prokurorët, avokatët, juristët etj., të cilët mendojnë se kanë ekspertizë personale në një nga fushat dhe temat e Programit të Formimit Vazhdues, apo mendojnë se ndonjë prej kolegëve të tyre ka eksperiencë të spikatur për një temë të caktuar. Në zbatim të legjislacionit në fuqi si edhe Rregullores së Brendshme të Shkollës së Magjistraturës, çdo i interesuar për të qenë pjesë e panelit të aktiviteteve trajnuese në TV, aplikon</w:t>
      </w:r>
      <w:r w:rsidRPr="00EE2DE7">
        <w:rPr>
          <w:rFonts w:eastAsia="MS Mincho"/>
          <w:kern w:val="24"/>
          <w:vertAlign w:val="superscript"/>
        </w:rPr>
        <w:footnoteReference w:id="4"/>
      </w:r>
      <w:r w:rsidRPr="00EE2DE7">
        <w:rPr>
          <w:rFonts w:eastAsia="MS Mincho"/>
          <w:kern w:val="24"/>
        </w:rPr>
        <w:t xml:space="preserve"> për ekspert apo lehtësues pranë Shkollës, aplikime të cilat vlerësohen nga Këshilli Drejtues, me qëllim dhënien e mundësisë gjithkujt që shpreh interes të përcjellë eksperiencën personale dhe profesionale, qoftë në rolin e ekspertit apo lehtësuesit.</w:t>
      </w:r>
    </w:p>
    <w:p w:rsidR="009D4032" w:rsidRPr="00EE2DE7" w:rsidRDefault="009D4032" w:rsidP="009D4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MS Mincho"/>
          <w:kern w:val="24"/>
        </w:rPr>
      </w:pPr>
      <w:r w:rsidRPr="00EE2DE7">
        <w:rPr>
          <w:rFonts w:eastAsia="MS Mincho"/>
          <w:kern w:val="24"/>
        </w:rPr>
        <w:tab/>
        <w:t xml:space="preserve">Shkolla e Magjistraturës, ka treguar kujdes të veçantë në marrjen e mendimit të çdo aktori </w:t>
      </w:r>
      <w:r w:rsidRPr="00EE2DE7">
        <w:rPr>
          <w:rFonts w:eastAsia="Times New Roman"/>
          <w:kern w:val="24"/>
        </w:rPr>
        <w:t xml:space="preserve">të sistemit të drejtësisë dhe respektimin me rigorozitet të të gjitha kërkesave dhe detyrimeve ligjore të vlerësimit të nevojave, duke </w:t>
      </w:r>
      <w:r w:rsidRPr="00EE2DE7">
        <w:rPr>
          <w:rFonts w:eastAsia="MS Mincho"/>
          <w:kern w:val="24"/>
        </w:rPr>
        <w:t>përfshirë në programin tematik të saj, tema lidhur me detyrimet që burojnë nga proceset e integrimit, reformës ligjore në sistemin e drejtësisë, jurisprudencën e GJEDNJ-s</w:t>
      </w:r>
      <w:r w:rsidRPr="00EE2DE7">
        <w:rPr>
          <w:rFonts w:eastAsia="Times New Roman"/>
          <w:kern w:val="24"/>
          <w:lang w:eastAsia="en-GB"/>
        </w:rPr>
        <w:t xml:space="preserve">ë </w:t>
      </w:r>
      <w:r w:rsidRPr="00EE2DE7">
        <w:rPr>
          <w:rFonts w:eastAsia="MS Mincho"/>
          <w:kern w:val="24"/>
        </w:rPr>
        <w:t>etj</w:t>
      </w:r>
      <w:r w:rsidRPr="00EE2DE7">
        <w:rPr>
          <w:rFonts w:eastAsia="Times New Roman"/>
          <w:kern w:val="24"/>
        </w:rPr>
        <w:t xml:space="preserve">. </w:t>
      </w:r>
    </w:p>
    <w:p w:rsidR="009D4032" w:rsidRDefault="009D4032" w:rsidP="00E414E3">
      <w:pPr>
        <w:pStyle w:val="My"/>
        <w:spacing w:line="276" w:lineRule="auto"/>
        <w:jc w:val="both"/>
        <w:rPr>
          <w:rFonts w:ascii="Times New Roman" w:hAnsi="Times New Roman" w:cs="Times New Roman"/>
          <w:lang w:val="en-US"/>
        </w:rPr>
      </w:pPr>
    </w:p>
    <w:p w:rsidR="00022A5D" w:rsidRDefault="00022A5D" w:rsidP="00022A5D">
      <w:pPr>
        <w:spacing w:line="276" w:lineRule="auto"/>
        <w:jc w:val="both"/>
        <w:outlineLvl w:val="0"/>
        <w:rPr>
          <w:rFonts w:eastAsia="Calibri"/>
          <w:b/>
          <w:color w:val="1F497D"/>
          <w:kern w:val="24"/>
        </w:rPr>
      </w:pPr>
      <w:r w:rsidRPr="00EE2DE7">
        <w:rPr>
          <w:rFonts w:eastAsia="Calibri"/>
          <w:b/>
          <w:color w:val="1F497D"/>
          <w:kern w:val="24"/>
        </w:rPr>
        <w:t xml:space="preserve">Sfidat e vazhdueshme </w:t>
      </w:r>
    </w:p>
    <w:p w:rsidR="00E414E3" w:rsidRPr="00EE2DE7" w:rsidRDefault="00E414E3" w:rsidP="00022A5D">
      <w:pPr>
        <w:spacing w:line="276" w:lineRule="auto"/>
        <w:jc w:val="both"/>
        <w:outlineLvl w:val="0"/>
        <w:rPr>
          <w:rFonts w:eastAsia="Calibri"/>
          <w:color w:val="1F497D"/>
          <w:kern w:val="24"/>
        </w:rPr>
      </w:pPr>
    </w:p>
    <w:p w:rsidR="00022A5D" w:rsidRPr="00EE2DE7" w:rsidRDefault="00022A5D" w:rsidP="00022A5D">
      <w:pPr>
        <w:spacing w:line="276" w:lineRule="auto"/>
        <w:ind w:firstLine="720"/>
        <w:jc w:val="both"/>
        <w:rPr>
          <w:rFonts w:eastAsia="Calibri"/>
          <w:kern w:val="24"/>
        </w:rPr>
      </w:pPr>
      <w:r w:rsidRPr="00EE2DE7">
        <w:rPr>
          <w:rFonts w:eastAsia="Calibri"/>
          <w:kern w:val="24"/>
        </w:rPr>
        <w:t xml:space="preserve">Kujdesi i Shkollës së Magjistraturës, që gjyqtarët dhe prokurorët në detyrë, por jo vetëm, të kenë mundësinë të ndjekin një program trajnues sa më pranë kërkesave dhe interesave të tyre, nuk ka ndryshuar. Ashtu sikurse Shkolla, nuk ka hezituar të ofrojë një program perspektiv në përputhje me standardet e brendshme dhe ato ndërkombëtare, duke iu përgjigjur proceseve të reformës ligjore në sistemin e drejtësisë, si edhe çështjeve të përqasjes dhe harmonizimit me standardet ndërkombëtare. Kjo është realizuar përmes nxitjes së temave të reja apo të temave që kanë një gjendje “të fshehur” për nga rëndësia, por që në fakt efektojnë drejtpërdrejtë në aksesin në drejtësi dhe në standardet e procesit të rregullt ligjor e gjyqësor. </w:t>
      </w:r>
    </w:p>
    <w:p w:rsidR="009D4032" w:rsidRDefault="00022A5D" w:rsidP="00E414E3">
      <w:pPr>
        <w:spacing w:line="276" w:lineRule="auto"/>
        <w:ind w:firstLine="720"/>
        <w:jc w:val="both"/>
        <w:rPr>
          <w:rFonts w:eastAsia="Calibri"/>
          <w:kern w:val="24"/>
        </w:rPr>
      </w:pPr>
      <w:r w:rsidRPr="00EE2DE7">
        <w:rPr>
          <w:rFonts w:eastAsia="Calibri"/>
          <w:kern w:val="24"/>
        </w:rPr>
        <w:t>Duke qenë se ligji ka përcaktuar afate të qarta të frekuentimit, kjo e ka vënë Shkollën e Magjistraturës përpara sfidës së plotësimit të këtij detyrimi në mënyrë cilësore.</w:t>
      </w:r>
    </w:p>
    <w:p w:rsidR="00E414E3" w:rsidRDefault="00E414E3" w:rsidP="00E414E3">
      <w:pPr>
        <w:spacing w:line="276" w:lineRule="auto"/>
        <w:jc w:val="both"/>
        <w:rPr>
          <w:b/>
          <w:color w:val="CC9966" w:themeColor="accent2"/>
        </w:rPr>
      </w:pPr>
      <w:r w:rsidRPr="00E414E3">
        <w:rPr>
          <w:b/>
          <w:color w:val="CC9966" w:themeColor="accent2"/>
        </w:rPr>
        <w:t>Financimi:</w:t>
      </w:r>
    </w:p>
    <w:p w:rsidR="003754E1" w:rsidRPr="00E414E3" w:rsidRDefault="003754E1" w:rsidP="00E414E3">
      <w:pPr>
        <w:spacing w:line="276" w:lineRule="auto"/>
        <w:jc w:val="both"/>
        <w:rPr>
          <w:b/>
          <w:color w:val="CC9966" w:themeColor="accent2"/>
        </w:rPr>
      </w:pPr>
    </w:p>
    <w:p w:rsidR="00A41A6D" w:rsidRDefault="00E414E3" w:rsidP="00E414E3">
      <w:pPr>
        <w:pStyle w:val="My"/>
        <w:spacing w:line="276" w:lineRule="auto"/>
        <w:ind w:firstLine="360"/>
        <w:jc w:val="both"/>
        <w:rPr>
          <w:rFonts w:ascii="Times New Roman" w:hAnsi="Times New Roman" w:cs="Times New Roman"/>
          <w:lang w:val="en-US"/>
        </w:rPr>
      </w:pPr>
      <w:r>
        <w:rPr>
          <w:rFonts w:ascii="Times New Roman" w:hAnsi="Times New Roman" w:cs="Times New Roman"/>
          <w:lang w:val="en-US"/>
        </w:rPr>
        <w:t xml:space="preserve">                   </w:t>
      </w:r>
      <w:r w:rsidRPr="00E414E3">
        <w:rPr>
          <w:rFonts w:ascii="Times New Roman" w:hAnsi="Times New Roman" w:cs="Times New Roman"/>
          <w:noProof/>
          <w:color w:val="996600"/>
          <w:lang w:val="en-US" w:eastAsia="en-US"/>
        </w:rPr>
        <w:drawing>
          <wp:inline distT="0" distB="0" distL="0" distR="0">
            <wp:extent cx="4032250" cy="1988820"/>
            <wp:effectExtent l="19050" t="0" r="2540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392D9B" w:rsidRDefault="00392D9B" w:rsidP="00392D9B">
      <w:pPr>
        <w:spacing w:line="276" w:lineRule="auto"/>
        <w:jc w:val="center"/>
        <w:rPr>
          <w:rFonts w:eastAsia="Calibri"/>
          <w:i/>
          <w:kern w:val="24"/>
          <w:sz w:val="20"/>
        </w:rPr>
      </w:pPr>
      <w:r w:rsidRPr="00392D9B">
        <w:rPr>
          <w:rFonts w:eastAsia="Calibri"/>
          <w:i/>
          <w:kern w:val="24"/>
          <w:sz w:val="20"/>
        </w:rPr>
        <w:t>Grafiku nr. 1 Fluksi i aktiviteteve për vitin akademik  2017-2018  parë nga këndvështrimi i mbështetjes financiare.</w:t>
      </w:r>
    </w:p>
    <w:p w:rsidR="00392D9B" w:rsidRPr="00392D9B" w:rsidRDefault="00CF3AE0" w:rsidP="00392D9B">
      <w:pPr>
        <w:spacing w:line="276" w:lineRule="auto"/>
        <w:jc w:val="center"/>
        <w:rPr>
          <w:rFonts w:eastAsia="Calibri"/>
          <w:i/>
          <w:kern w:val="24"/>
          <w:sz w:val="20"/>
        </w:rPr>
      </w:pPr>
      <w:r>
        <w:rPr>
          <w:noProof/>
          <w:lang w:eastAsia="en-US"/>
        </w:rPr>
        <w:lastRenderedPageBreak/>
        <w:pict>
          <v:rect id="Rectangle 202" o:spid="_x0000_s1032" style="position:absolute;left:0;text-align:left;margin-left:294.6pt;margin-top:11.1pt;width:233.35pt;height:420.6pt;z-index:2516966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" fillcolor="#4f81bd" stroked="f" strokeweight="2pt">
            <v:fill opacity="12336f"/>
            <v:textbox inset="21.6pt,21.6pt,21.6pt,21.6pt">
              <w:txbxContent>
                <w:p w:rsidR="005372E3" w:rsidRPr="006F39AB" w:rsidRDefault="005372E3" w:rsidP="006F39AB">
                  <w:pPr>
                    <w:spacing w:line="276" w:lineRule="auto"/>
                    <w:jc w:val="both"/>
                    <w:rPr>
                      <w:b/>
                      <w:color w:val="CC9966" w:themeColor="accent2"/>
                    </w:rPr>
                  </w:pPr>
                  <w:r w:rsidRPr="006F39AB">
                    <w:rPr>
                      <w:b/>
                      <w:color w:val="CC9966" w:themeColor="accent2"/>
                    </w:rPr>
                    <w:t>Objektivat e Programit të Formimit Vazhdues</w:t>
                  </w:r>
                </w:p>
                <w:p w:rsidR="005372E3" w:rsidRPr="00EE2DE7" w:rsidRDefault="005372E3" w:rsidP="006F39AB">
                  <w:pPr>
                    <w:spacing w:line="276" w:lineRule="auto"/>
                    <w:ind w:firstLine="720"/>
                    <w:jc w:val="both"/>
                    <w:rPr>
                      <w:rFonts w:eastAsia="Calibri"/>
                      <w:kern w:val="24"/>
                    </w:rPr>
                  </w:pPr>
                  <w:r w:rsidRPr="00EE2DE7">
                    <w:rPr>
                      <w:rFonts w:eastAsia="Calibri"/>
                      <w:kern w:val="24"/>
                    </w:rPr>
                    <w:t>Objektivat e PFV-s</w:t>
                  </w:r>
                  <w:r w:rsidRPr="00EE2DE7">
                    <w:rPr>
                      <w:rFonts w:eastAsia="Times New Roman"/>
                      <w:kern w:val="24"/>
                      <w:lang w:eastAsia="en-GB"/>
                    </w:rPr>
                    <w:t>ë</w:t>
                  </w:r>
                  <w:r w:rsidRPr="00EE2DE7">
                    <w:rPr>
                      <w:rFonts w:eastAsia="Calibri"/>
                      <w:kern w:val="24"/>
                    </w:rPr>
                    <w:t xml:space="preserve"> duken si të pandryshueshme në thelbin e tyre. Objektivi kryesor është rritja e profesionalizmit të gjyqtarëve dhe prokurorëve në detyrë, pranë gjykatave dhe prokurorive të rretheve gjyqësore dhe gjykatave e prokurorive të apelit, njëkohësisht, me ndryshimet e reja ligjore, edhe e: a) gjyqtarëve të Gjykatës së Lartë dhe prokurorëve të Prokurorisë së Përgjithshme dhe të SPAK-ut; b) avokatëve të shtetit në detyrë; c) këshilltarëve dhe ndihmësve ligjorë në detyrë në gjykata dhe prokurori; d) kancelarëve në detyrë në gjykata dhe prokurori; si edhe e) gjyqtarëve dhe prokurorëve që nuk kalojnë procesin e </w:t>
                  </w:r>
                  <w:r w:rsidRPr="00EE2DE7">
                    <w:rPr>
                      <w:rFonts w:eastAsia="Calibri"/>
                      <w:i/>
                      <w:kern w:val="24"/>
                    </w:rPr>
                    <w:t>vetingut</w:t>
                  </w:r>
                  <w:r w:rsidRPr="00EE2DE7">
                    <w:rPr>
                      <w:rFonts w:eastAsia="Calibri"/>
                      <w:kern w:val="24"/>
                    </w:rPr>
                    <w:t xml:space="preserve">, faktor ky që ndikon në mënyrë të drejtpërdrejtë në rritjen e aksesit te drejtësia, si dhe në pavarësinë e paanësinë e sistemit të drejtësisë. </w:t>
                  </w:r>
                </w:p>
                <w:p w:rsidR="005372E3" w:rsidRDefault="005372E3" w:rsidP="009D3274">
                  <w:pPr>
                    <w:jc w:val="both"/>
                    <w:rPr>
                      <w:rFonts w:ascii="Arial" w:hAnsi="Arial" w:cs="Arial"/>
                    </w:rPr>
                  </w:pPr>
                </w:p>
                <w:p w:rsidR="005372E3" w:rsidRPr="009D3274" w:rsidRDefault="005372E3" w:rsidP="009D3274">
                  <w:pPr>
                    <w:jc w:val="both"/>
                    <w:rPr>
                      <w:rFonts w:ascii="Arial" w:hAnsi="Arial" w:cs="Arial"/>
                    </w:rPr>
                  </w:pPr>
                  <w:r w:rsidRPr="009D3274">
                    <w:rPr>
                      <w:rFonts w:ascii="Arial" w:hAnsi="Arial" w:cs="Arial"/>
                    </w:rPr>
                    <w:t>LoremIpsum is simply dummy text of the printing and typesetting industry. LoremIpsum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LoremIpsum passages, and more recently with desktop publishing software like Aldus PageMaker including versions of LoremIpsum.</w:t>
                  </w:r>
                </w:p>
              </w:txbxContent>
            </v:textbox>
            <w10:wrap type="square"/>
          </v:rect>
        </w:pict>
      </w:r>
    </w:p>
    <w:p w:rsidR="00392D9B" w:rsidRPr="00EE2DE7" w:rsidRDefault="00392D9B" w:rsidP="00392D9B">
      <w:pPr>
        <w:spacing w:line="276" w:lineRule="auto"/>
        <w:jc w:val="both"/>
        <w:outlineLvl w:val="0"/>
        <w:rPr>
          <w:rFonts w:eastAsia="Calibri"/>
          <w:kern w:val="24"/>
        </w:rPr>
      </w:pPr>
      <w:r w:rsidRPr="00EE2DE7">
        <w:rPr>
          <w:rFonts w:eastAsia="Calibri"/>
          <w:kern w:val="24"/>
        </w:rPr>
        <w:t>Grafiku nr. 1 paraqet fluksin e aktiviteteve trajnuese për vitin akademik 2017-2018 nisur nga mbështetja e tyre përmes buxhetit të shtetit ose partnerëve ndërkombëtarë. Vihet re se për k</w:t>
      </w:r>
      <w:r w:rsidRPr="00EE2DE7">
        <w:rPr>
          <w:rFonts w:eastAsia="Times New Roman"/>
          <w:kern w:val="24"/>
          <w:lang w:eastAsia="en-GB"/>
        </w:rPr>
        <w:t>ëtë vit</w:t>
      </w:r>
      <w:r w:rsidRPr="00EE2DE7">
        <w:rPr>
          <w:rFonts w:eastAsia="Calibri"/>
          <w:kern w:val="24"/>
        </w:rPr>
        <w:t xml:space="preserve"> akademik, numri i aktiviteteve n</w:t>
      </w:r>
      <w:r w:rsidRPr="00EE2DE7">
        <w:rPr>
          <w:rFonts w:eastAsia="Times New Roman"/>
          <w:kern w:val="24"/>
          <w:lang w:eastAsia="en-GB"/>
        </w:rPr>
        <w:t>ë total</w:t>
      </w:r>
      <w:r w:rsidRPr="00EE2DE7">
        <w:rPr>
          <w:rFonts w:eastAsia="Calibri"/>
          <w:kern w:val="24"/>
        </w:rPr>
        <w:t xml:space="preserve"> është 213 (dyqind e tremb</w:t>
      </w:r>
      <w:r w:rsidRPr="00EE2DE7">
        <w:rPr>
          <w:rFonts w:eastAsia="MS Mincho"/>
          <w:kern w:val="24"/>
        </w:rPr>
        <w:t>ë</w:t>
      </w:r>
      <w:r w:rsidRPr="00EE2DE7">
        <w:rPr>
          <w:rFonts w:eastAsia="Calibri"/>
          <w:kern w:val="24"/>
        </w:rPr>
        <w:t>dhjet</w:t>
      </w:r>
      <w:r w:rsidRPr="00EE2DE7">
        <w:rPr>
          <w:rFonts w:eastAsia="MS Mincho"/>
          <w:kern w:val="24"/>
        </w:rPr>
        <w:t>ë</w:t>
      </w:r>
      <w:r w:rsidRPr="00EE2DE7">
        <w:rPr>
          <w:rFonts w:eastAsia="Calibri"/>
          <w:kern w:val="24"/>
        </w:rPr>
        <w:t>), nga të cilat 90 (n</w:t>
      </w:r>
      <w:r w:rsidRPr="00EE2DE7">
        <w:rPr>
          <w:rFonts w:eastAsia="MS Mincho"/>
          <w:kern w:val="24"/>
        </w:rPr>
        <w:t>ë</w:t>
      </w:r>
      <w:r w:rsidRPr="00EE2DE7">
        <w:rPr>
          <w:rFonts w:eastAsia="Calibri"/>
          <w:kern w:val="24"/>
        </w:rPr>
        <w:t>nt</w:t>
      </w:r>
      <w:r w:rsidRPr="00EE2DE7">
        <w:rPr>
          <w:rFonts w:eastAsia="MS Mincho"/>
          <w:kern w:val="24"/>
        </w:rPr>
        <w:t>ë</w:t>
      </w:r>
      <w:r w:rsidRPr="00EE2DE7">
        <w:rPr>
          <w:rFonts w:eastAsia="Calibri"/>
          <w:kern w:val="24"/>
        </w:rPr>
        <w:t>dhjet</w:t>
      </w:r>
      <w:r w:rsidRPr="00EE2DE7">
        <w:rPr>
          <w:rFonts w:eastAsia="MS Mincho"/>
          <w:kern w:val="24"/>
        </w:rPr>
        <w:t>ë</w:t>
      </w:r>
      <w:r w:rsidRPr="00EE2DE7">
        <w:rPr>
          <w:rFonts w:eastAsia="Calibri"/>
          <w:kern w:val="24"/>
        </w:rPr>
        <w:t>) u mbuluan nga donatorët dhe 123 (nj</w:t>
      </w:r>
      <w:r w:rsidRPr="00EE2DE7">
        <w:rPr>
          <w:rFonts w:eastAsia="MS Mincho"/>
          <w:kern w:val="24"/>
        </w:rPr>
        <w:t>ë</w:t>
      </w:r>
      <w:r w:rsidRPr="00EE2DE7">
        <w:rPr>
          <w:rFonts w:eastAsia="Calibri"/>
          <w:kern w:val="24"/>
        </w:rPr>
        <w:t>qind e nj</w:t>
      </w:r>
      <w:r w:rsidRPr="00EE2DE7">
        <w:rPr>
          <w:rFonts w:eastAsia="MS Mincho"/>
          <w:kern w:val="24"/>
        </w:rPr>
        <w:t>ë</w:t>
      </w:r>
      <w:r w:rsidRPr="00EE2DE7">
        <w:rPr>
          <w:rFonts w:eastAsia="Calibri"/>
          <w:kern w:val="24"/>
        </w:rPr>
        <w:t>zet e tre) nga vet</w:t>
      </w:r>
      <w:r w:rsidRPr="00EE2DE7">
        <w:rPr>
          <w:rFonts w:eastAsia="Times New Roman"/>
          <w:kern w:val="24"/>
          <w:lang w:eastAsia="en-GB"/>
        </w:rPr>
        <w:t>ë</w:t>
      </w:r>
      <w:r w:rsidRPr="00EE2DE7">
        <w:rPr>
          <w:rFonts w:eastAsia="Calibri"/>
          <w:kern w:val="24"/>
        </w:rPr>
        <w:t xml:space="preserve"> buxheti i Shkollës së Magjistraturës. Krahasuar me një vit më parë (2016-2017) vihet re se është rritur numri i aktiviteteve të mbështetura nga donatorët, i cili ka qenë 67 (gjasht</w:t>
      </w:r>
      <w:r w:rsidRPr="00EE2DE7">
        <w:rPr>
          <w:rFonts w:eastAsia="MS Mincho"/>
          <w:kern w:val="24"/>
        </w:rPr>
        <w:t>ë</w:t>
      </w:r>
      <w:r w:rsidRPr="00EE2DE7">
        <w:rPr>
          <w:rFonts w:eastAsia="Calibri"/>
          <w:kern w:val="24"/>
        </w:rPr>
        <w:t>dhjet</w:t>
      </w:r>
      <w:r w:rsidRPr="00EE2DE7">
        <w:rPr>
          <w:rFonts w:eastAsia="MS Mincho"/>
          <w:kern w:val="24"/>
        </w:rPr>
        <w:t>ë</w:t>
      </w:r>
      <w:r w:rsidRPr="00EE2DE7">
        <w:rPr>
          <w:rFonts w:eastAsia="Calibri"/>
          <w:kern w:val="24"/>
        </w:rPr>
        <w:t xml:space="preserve"> e shtat</w:t>
      </w:r>
      <w:r w:rsidRPr="00EE2DE7">
        <w:rPr>
          <w:rFonts w:eastAsia="MS Mincho"/>
          <w:kern w:val="24"/>
        </w:rPr>
        <w:t>ë</w:t>
      </w:r>
      <w:r w:rsidRPr="00EE2DE7">
        <w:rPr>
          <w:rFonts w:eastAsia="Calibri"/>
          <w:kern w:val="24"/>
        </w:rPr>
        <w:t>). Megjithatë, vlen të theksohet se edhe në këto aktivitete, me qëllim plotësimin e ekspertizës, Shkolla ka caktuar ekspertë/lehtësues ose moderatorë, të cilët janë paguar nga buxheti i shtetit. Gjithashtu, duhet të theksojmë se për vitin akademik 2017-2018 ka pasur edhe ToT (trajnime trajnerësh), konkretisht janë zhvilluar në total 3 (tri) ToT. Gjithnj</w:t>
      </w:r>
      <w:r w:rsidRPr="00EE2DE7">
        <w:rPr>
          <w:rFonts w:eastAsia="Times New Roman"/>
          <w:kern w:val="24"/>
          <w:lang w:eastAsia="en-GB"/>
        </w:rPr>
        <w:t>ë e më shumë është rritur interesi</w:t>
      </w:r>
      <w:r w:rsidRPr="00EE2DE7">
        <w:rPr>
          <w:rFonts w:eastAsia="Calibri"/>
          <w:kern w:val="24"/>
        </w:rPr>
        <w:t xml:space="preserve"> i partnerëve ndërkombëtarë për t</w:t>
      </w:r>
      <w:r w:rsidRPr="00EE2DE7">
        <w:rPr>
          <w:rFonts w:eastAsia="Times New Roman"/>
          <w:kern w:val="24"/>
          <w:lang w:eastAsia="en-GB"/>
        </w:rPr>
        <w:t>ë bashkëpunuar</w:t>
      </w:r>
      <w:r w:rsidRPr="00EE2DE7">
        <w:rPr>
          <w:rFonts w:eastAsia="Calibri"/>
          <w:kern w:val="24"/>
        </w:rPr>
        <w:t xml:space="preserve"> me SHM-n</w:t>
      </w:r>
      <w:r w:rsidRPr="00EE2DE7">
        <w:rPr>
          <w:rFonts w:eastAsia="Times New Roman"/>
          <w:kern w:val="24"/>
          <w:lang w:eastAsia="en-GB"/>
        </w:rPr>
        <w:t>ë,</w:t>
      </w:r>
      <w:r w:rsidRPr="00EE2DE7">
        <w:rPr>
          <w:rFonts w:eastAsia="Calibri"/>
          <w:kern w:val="24"/>
        </w:rPr>
        <w:t xml:space="preserve"> çka tregon se p</w:t>
      </w:r>
      <w:r w:rsidRPr="00EE2DE7">
        <w:rPr>
          <w:rFonts w:eastAsia="Times New Roman"/>
          <w:kern w:val="24"/>
          <w:lang w:eastAsia="en-GB"/>
        </w:rPr>
        <w:t xml:space="preserve">ër ta, </w:t>
      </w:r>
      <w:r w:rsidRPr="00EE2DE7">
        <w:rPr>
          <w:rFonts w:eastAsia="Calibri"/>
          <w:kern w:val="24"/>
        </w:rPr>
        <w:t>Shkolla e Magjistratur</w:t>
      </w:r>
      <w:r w:rsidRPr="00EE2DE7">
        <w:rPr>
          <w:rFonts w:eastAsia="Times New Roman"/>
          <w:kern w:val="24"/>
          <w:lang w:eastAsia="en-GB"/>
        </w:rPr>
        <w:t>ës është një partner me cilësi të larta në fushën e trajnimit.</w:t>
      </w:r>
    </w:p>
    <w:p w:rsidR="00392D9B" w:rsidRDefault="00392D9B" w:rsidP="009D3274">
      <w:pPr>
        <w:spacing w:line="276" w:lineRule="auto"/>
        <w:jc w:val="both"/>
        <w:rPr>
          <w:b/>
          <w:color w:val="CC9966" w:themeColor="accent2"/>
          <w:sz w:val="32"/>
        </w:rPr>
      </w:pPr>
    </w:p>
    <w:p w:rsidR="00294F47" w:rsidRPr="00EE2DE7" w:rsidRDefault="00294F47" w:rsidP="00294F47">
      <w:pPr>
        <w:spacing w:line="276" w:lineRule="auto"/>
        <w:jc w:val="both"/>
        <w:outlineLvl w:val="0"/>
        <w:rPr>
          <w:rFonts w:eastAsia="Calibri"/>
          <w:b/>
          <w:color w:val="1F497D"/>
          <w:kern w:val="24"/>
        </w:rPr>
      </w:pPr>
      <w:r w:rsidRPr="00EE2DE7">
        <w:rPr>
          <w:rFonts w:eastAsia="Calibri"/>
          <w:b/>
          <w:color w:val="1F497D"/>
          <w:kern w:val="24"/>
        </w:rPr>
        <w:t>Objektivat strategjike të Formimit Vazhdues</w:t>
      </w:r>
    </w:p>
    <w:p w:rsidR="00294F47" w:rsidRPr="00EE2DE7" w:rsidRDefault="00294F47" w:rsidP="005C2687">
      <w:pPr>
        <w:numPr>
          <w:ilvl w:val="0"/>
          <w:numId w:val="30"/>
        </w:numPr>
        <w:tabs>
          <w:tab w:val="clear" w:pos="720"/>
          <w:tab w:val="num" w:pos="360"/>
        </w:tabs>
        <w:spacing w:line="276" w:lineRule="auto"/>
        <w:ind w:left="360"/>
        <w:jc w:val="both"/>
        <w:rPr>
          <w:rFonts w:eastAsia="Calibri"/>
          <w:kern w:val="24"/>
        </w:rPr>
      </w:pPr>
      <w:r w:rsidRPr="00EE2DE7">
        <w:rPr>
          <w:rFonts w:eastAsia="Calibri"/>
          <w:kern w:val="24"/>
        </w:rPr>
        <w:t>Programi i Formimit Vazhdues, me të gjithë indikatorët e cilësisë dhe të larmishmërisë nga këndvështrimi tematik, është bërë edhe më operativ përmes kalendarit të aktiviteteve trajnuese të detajuara në këtë dokument. Programi dhe kalendari i Formimit Vazhdues për vitin akademik 2017-2018 ka synuar të trajtojë një tematikë:</w:t>
      </w:r>
    </w:p>
    <w:p w:rsidR="00294F47" w:rsidRPr="00EE2DE7" w:rsidRDefault="00294F47" w:rsidP="005C2687">
      <w:pPr>
        <w:numPr>
          <w:ilvl w:val="1"/>
          <w:numId w:val="30"/>
        </w:numPr>
        <w:tabs>
          <w:tab w:val="num" w:pos="1080"/>
        </w:tabs>
        <w:spacing w:line="276" w:lineRule="auto"/>
        <w:ind w:left="1080"/>
        <w:jc w:val="both"/>
        <w:rPr>
          <w:rFonts w:eastAsia="Calibri"/>
          <w:kern w:val="24"/>
        </w:rPr>
      </w:pPr>
      <w:r w:rsidRPr="00EE2DE7">
        <w:rPr>
          <w:rFonts w:eastAsia="Calibri"/>
          <w:i/>
          <w:kern w:val="24"/>
        </w:rPr>
        <w:t>të një natyre gjithëpërfshirëse</w:t>
      </w:r>
      <w:r w:rsidRPr="00EE2DE7">
        <w:rPr>
          <w:rFonts w:eastAsia="Calibri"/>
          <w:kern w:val="24"/>
        </w:rPr>
        <w:t>, ku të gjithë gjyqtarët e prokurorët mund të kenë interes, ashtu siç është gama e çështjeve që paraqiten përpara sistemit të drejtësisë, të tilla, si: etika profesionale, barazia dhe mosdiskriminimi etj.</w:t>
      </w:r>
    </w:p>
    <w:p w:rsidR="00294F47" w:rsidRPr="00EE2DE7" w:rsidRDefault="00294F47" w:rsidP="005C2687">
      <w:pPr>
        <w:numPr>
          <w:ilvl w:val="1"/>
          <w:numId w:val="30"/>
        </w:numPr>
        <w:tabs>
          <w:tab w:val="num" w:pos="1080"/>
        </w:tabs>
        <w:spacing w:line="276" w:lineRule="auto"/>
        <w:ind w:left="1080"/>
        <w:jc w:val="both"/>
        <w:rPr>
          <w:rFonts w:eastAsia="Calibri"/>
          <w:kern w:val="24"/>
        </w:rPr>
      </w:pPr>
      <w:r w:rsidRPr="00EE2DE7">
        <w:rPr>
          <w:rFonts w:eastAsia="Calibri"/>
          <w:i/>
          <w:kern w:val="24"/>
        </w:rPr>
        <w:t>të një natyre më të specializuar,</w:t>
      </w:r>
      <w:r w:rsidRPr="00EE2DE7">
        <w:rPr>
          <w:rFonts w:eastAsia="Calibri"/>
          <w:kern w:val="24"/>
        </w:rPr>
        <w:t xml:space="preserve"> në fusha të veçanta, ashtu siç kërkohet ndërhyrja e sistemit në një rast konkret, duke respektuar parimet e unitetit dhe të diversitetit, që fokusohet më shumë tek aspektet sociale, duke i sjellë këto në vëmendje në çdo aktivitet, por kryesisht në temat me ndjeshmëri të lartë, si: dhuna në familje, interesi m</w:t>
      </w:r>
      <w:r w:rsidRPr="00EE2DE7">
        <w:rPr>
          <w:rFonts w:eastAsia="Times New Roman"/>
          <w:kern w:val="24"/>
          <w:lang w:eastAsia="en-GB"/>
        </w:rPr>
        <w:t>ë</w:t>
      </w:r>
      <w:r w:rsidRPr="00EE2DE7">
        <w:rPr>
          <w:rFonts w:eastAsia="Calibri"/>
          <w:kern w:val="24"/>
        </w:rPr>
        <w:t xml:space="preserve"> i lartë i fëmijëve, drejt</w:t>
      </w:r>
      <w:r w:rsidRPr="00EE2DE7">
        <w:rPr>
          <w:rFonts w:eastAsia="MS Mincho"/>
          <w:kern w:val="24"/>
        </w:rPr>
        <w:t>ë</w:t>
      </w:r>
      <w:r w:rsidRPr="00EE2DE7">
        <w:rPr>
          <w:rFonts w:eastAsia="Calibri"/>
          <w:kern w:val="24"/>
        </w:rPr>
        <w:t>sia penale p</w:t>
      </w:r>
      <w:r w:rsidRPr="00EE2DE7">
        <w:rPr>
          <w:rFonts w:eastAsia="MS Mincho"/>
          <w:kern w:val="24"/>
        </w:rPr>
        <w:t>ë</w:t>
      </w:r>
      <w:r w:rsidRPr="00EE2DE7">
        <w:rPr>
          <w:rFonts w:eastAsia="Calibri"/>
          <w:kern w:val="24"/>
        </w:rPr>
        <w:t>r t</w:t>
      </w:r>
      <w:r w:rsidRPr="00EE2DE7">
        <w:rPr>
          <w:rFonts w:eastAsia="MS Mincho"/>
          <w:kern w:val="24"/>
        </w:rPr>
        <w:t>ë</w:t>
      </w:r>
      <w:r w:rsidRPr="00EE2DE7">
        <w:rPr>
          <w:rFonts w:eastAsia="Calibri"/>
          <w:kern w:val="24"/>
        </w:rPr>
        <w:t xml:space="preserve"> miturit etj.</w:t>
      </w:r>
    </w:p>
    <w:p w:rsidR="00294F47" w:rsidRPr="00EE2DE7" w:rsidRDefault="00294F47" w:rsidP="00294F47">
      <w:pPr>
        <w:spacing w:line="276" w:lineRule="auto"/>
        <w:ind w:left="720"/>
        <w:jc w:val="both"/>
        <w:rPr>
          <w:rFonts w:eastAsia="Calibri"/>
          <w:kern w:val="24"/>
        </w:rPr>
      </w:pPr>
      <w:r w:rsidRPr="00EE2DE7">
        <w:rPr>
          <w:rFonts w:eastAsia="Calibri"/>
          <w:kern w:val="24"/>
        </w:rPr>
        <w:t>Aktivitete me tematik</w:t>
      </w:r>
      <w:r w:rsidRPr="00EE2DE7">
        <w:rPr>
          <w:rFonts w:eastAsia="Times New Roman"/>
          <w:kern w:val="24"/>
          <w:lang w:eastAsia="en-GB"/>
        </w:rPr>
        <w:t xml:space="preserve">ë të veçantë, </w:t>
      </w:r>
      <w:r w:rsidRPr="00EE2DE7">
        <w:rPr>
          <w:rFonts w:eastAsia="Calibri"/>
          <w:kern w:val="24"/>
        </w:rPr>
        <w:t>kushtuar kryesisht prokurorëve, gjyqtar</w:t>
      </w:r>
      <w:r w:rsidRPr="00EE2DE7">
        <w:rPr>
          <w:rFonts w:eastAsia="Times New Roman"/>
          <w:kern w:val="24"/>
          <w:lang w:eastAsia="en-GB"/>
        </w:rPr>
        <w:t xml:space="preserve">ëve, si dhe trajnime të përbashkëta, përmendim: </w:t>
      </w:r>
    </w:p>
    <w:p w:rsidR="00294F47" w:rsidRPr="00EE2DE7" w:rsidRDefault="00294F47" w:rsidP="005C2687">
      <w:pPr>
        <w:numPr>
          <w:ilvl w:val="1"/>
          <w:numId w:val="30"/>
        </w:numPr>
        <w:tabs>
          <w:tab w:val="num" w:pos="1170"/>
          <w:tab w:val="left" w:pos="1530"/>
        </w:tabs>
        <w:spacing w:line="276" w:lineRule="auto"/>
        <w:ind w:hanging="450"/>
        <w:jc w:val="both"/>
        <w:rPr>
          <w:rFonts w:eastAsia="Calibri"/>
          <w:strike/>
          <w:kern w:val="24"/>
        </w:rPr>
      </w:pPr>
      <w:r w:rsidRPr="00EE2DE7">
        <w:rPr>
          <w:rFonts w:eastAsia="Calibri"/>
          <w:kern w:val="24"/>
        </w:rPr>
        <w:t xml:space="preserve">aktivitete të dedikuara për prokurorët gjatë këtij viti akademik kanë qenë: </w:t>
      </w:r>
      <w:r w:rsidRPr="00EE2DE7">
        <w:rPr>
          <w:rFonts w:eastAsia="Times New Roman"/>
          <w:kern w:val="24"/>
        </w:rPr>
        <w:t xml:space="preserve">Metodat speciale të hetimit, veprimet simuluese. Krimi ekonomik, hetimi dhe nxjerrja e pasurisë kriminale. </w:t>
      </w:r>
      <w:r w:rsidRPr="00EE2DE7">
        <w:rPr>
          <w:rFonts w:eastAsia="Times New Roman"/>
          <w:kern w:val="24"/>
        </w:rPr>
        <w:lastRenderedPageBreak/>
        <w:t>Mbrojtja e viktimave në fokusin e padisë civile në procesin penal. Trafikimi i qenieve njerëzore. Organizimi dhe funksionimi i prokurorisë – reforma në drejtësinë penale. Procedurat e falimentit. Njohuri me standardet nd</w:t>
      </w:r>
      <w:r w:rsidRPr="00EE2DE7">
        <w:rPr>
          <w:rFonts w:eastAsia="Times New Roman"/>
          <w:kern w:val="24"/>
          <w:lang w:eastAsia="en-GB"/>
        </w:rPr>
        <w:t>ë</w:t>
      </w:r>
      <w:r w:rsidRPr="00EE2DE7">
        <w:rPr>
          <w:rFonts w:eastAsia="Times New Roman"/>
          <w:kern w:val="24"/>
        </w:rPr>
        <w:t>rkomb</w:t>
      </w:r>
      <w:r w:rsidRPr="00EE2DE7">
        <w:rPr>
          <w:rFonts w:eastAsia="Times New Roman"/>
          <w:kern w:val="24"/>
          <w:lang w:eastAsia="en-GB"/>
        </w:rPr>
        <w:t>ë</w:t>
      </w:r>
      <w:r w:rsidRPr="00EE2DE7">
        <w:rPr>
          <w:rFonts w:eastAsia="Times New Roman"/>
          <w:kern w:val="24"/>
        </w:rPr>
        <w:t xml:space="preserve">tare dhe legjislacionin e ri shqiptar. Roli i prokurorit etj. </w:t>
      </w:r>
    </w:p>
    <w:p w:rsidR="00294F47" w:rsidRDefault="00294F47" w:rsidP="005C2687">
      <w:pPr>
        <w:numPr>
          <w:ilvl w:val="1"/>
          <w:numId w:val="30"/>
        </w:numPr>
        <w:tabs>
          <w:tab w:val="num" w:pos="1080"/>
        </w:tabs>
        <w:spacing w:line="276" w:lineRule="auto"/>
        <w:ind w:left="1080"/>
        <w:jc w:val="both"/>
        <w:rPr>
          <w:rFonts w:eastAsia="Calibri"/>
          <w:strike/>
          <w:kern w:val="24"/>
        </w:rPr>
      </w:pPr>
      <w:r w:rsidRPr="00EE2DE7">
        <w:rPr>
          <w:rFonts w:eastAsia="Calibri"/>
          <w:kern w:val="24"/>
          <w:lang w:eastAsia="ja-JP"/>
        </w:rPr>
        <w:t>aktivitete të dedikuara për gjyqtarët përmendim: Pavarë</w:t>
      </w:r>
      <w:r>
        <w:rPr>
          <w:rFonts w:eastAsia="Calibri"/>
          <w:kern w:val="24"/>
          <w:lang w:eastAsia="ja-JP"/>
        </w:rPr>
        <w:t xml:space="preserve">sia dhe paanësia e gjyqësorit, </w:t>
      </w:r>
      <w:r w:rsidRPr="00EE2DE7">
        <w:rPr>
          <w:rFonts w:eastAsia="Calibri"/>
          <w:kern w:val="24"/>
          <w:lang w:eastAsia="ja-JP"/>
        </w:rPr>
        <w:t xml:space="preserve">drejtësia duhet jo vetëm të bëhet, por edhe të shihet. Menaxhimi aktiv i çështjeve. Shkrim </w:t>
      </w:r>
      <w:r w:rsidRPr="001D6A99">
        <w:rPr>
          <w:rFonts w:eastAsia="Calibri"/>
          <w:kern w:val="24"/>
          <w:lang w:eastAsia="ja-JP"/>
        </w:rPr>
        <w:t>dhe arsyetim ligjor. Juridiksioni kushtetues vs juridiksioni administrativ. E drejta e BE-s</w:t>
      </w:r>
      <w:r w:rsidRPr="001D6A99">
        <w:rPr>
          <w:rFonts w:eastAsia="Times New Roman"/>
          <w:kern w:val="24"/>
          <w:lang w:eastAsia="en-GB"/>
        </w:rPr>
        <w:t>ë</w:t>
      </w:r>
      <w:r w:rsidRPr="001D6A99">
        <w:rPr>
          <w:rFonts w:eastAsia="Calibri"/>
          <w:kern w:val="24"/>
          <w:lang w:eastAsia="ja-JP"/>
        </w:rPr>
        <w:t>,</w:t>
      </w:r>
      <w:r>
        <w:rPr>
          <w:rFonts w:eastAsia="Calibri"/>
          <w:kern w:val="24"/>
          <w:lang w:eastAsia="ja-JP"/>
        </w:rPr>
        <w:t xml:space="preserve"> </w:t>
      </w:r>
      <w:r w:rsidRPr="00EE2DE7">
        <w:rPr>
          <w:rFonts w:eastAsia="Calibri"/>
          <w:kern w:val="24"/>
          <w:lang w:eastAsia="ja-JP"/>
        </w:rPr>
        <w:t xml:space="preserve">Gjykata Europiane dhe juridiksioni i saj. </w:t>
      </w:r>
    </w:p>
    <w:p w:rsidR="00294F47" w:rsidRPr="001D6A99" w:rsidRDefault="00294F47" w:rsidP="005C2687">
      <w:pPr>
        <w:numPr>
          <w:ilvl w:val="1"/>
          <w:numId w:val="30"/>
        </w:numPr>
        <w:tabs>
          <w:tab w:val="num" w:pos="1080"/>
        </w:tabs>
        <w:spacing w:line="276" w:lineRule="auto"/>
        <w:ind w:left="1080"/>
        <w:jc w:val="both"/>
        <w:rPr>
          <w:rFonts w:eastAsia="Calibri"/>
          <w:strike/>
          <w:kern w:val="24"/>
        </w:rPr>
      </w:pPr>
      <w:r w:rsidRPr="001D6A99">
        <w:rPr>
          <w:rFonts w:eastAsia="Calibri"/>
          <w:kern w:val="24"/>
        </w:rPr>
        <w:t xml:space="preserve">si dhe trajnime të përbashkëta siç janë: Raporti: prokurori-gjykatë. Roli i gjyqtarit të seancës paraprake, risitë dhe ecuria e praktikës gjyqësore. Seanca paraprake, si një nga risitë e sjella në Kodit(n) e Procedurës Penale, me ligjin nr. 35/2017, në Kodin e Procedurës Penale. Veçoritë e seancës paraprake dhe të drejtat e palëve. Vendimi për plotësimin e hetimeve. Ndryshimi i akuzës në seancën paraprake. Paraqitja e kërkesës për gjykim të shkurtuar në seancën paraprake dhe roli që ka gjyqtari i seancës paraprake në shqyrtimin e saj. Llojet e vendimeve që merr gjyqtari në përfundim të seancës paraprake. Elementet e vendimit të seancës paraprake dhe fashikulli i gjykimit. Drejtësia penale për të mitur. Standardet ndërkombëtare lidhur me parimet e drejtësisë miqësore për të miturit dhe risitë e legjislacionit shqiptar (Kodi i Procedurës Penale dhe Kodi i Drejtësisë Penale për të Mitur). Roli i gjyqtarëve dhe prokurorëve në zbatimin e të drejtave të pronësisë intelektuale. Refleksione rreth praktikës gjyqësore në lidhje me institutin e bashkëpunimit në veprën penale dhe problematikat e krijuara pas daljes së Vendimit Unifikues nr. 4, datë 15.4.2011, të Kolegjeve të Bashkuara të Gjykatës së Lartë. </w:t>
      </w:r>
      <w:r w:rsidRPr="001D6A99">
        <w:rPr>
          <w:rFonts w:eastAsia="Calibri"/>
          <w:kern w:val="24"/>
          <w:lang w:eastAsia="ja-JP"/>
        </w:rPr>
        <w:t>Mbi standardet e kërkuara në marrëdhëniet midis gjyqtarëve dhe prokurorëve etj</w:t>
      </w:r>
      <w:r w:rsidRPr="001D6A99">
        <w:rPr>
          <w:rFonts w:eastAsia="Calibri"/>
          <w:kern w:val="24"/>
        </w:rPr>
        <w:t>.</w:t>
      </w:r>
    </w:p>
    <w:p w:rsidR="00294F47" w:rsidRPr="00EE2DE7" w:rsidRDefault="00294F47" w:rsidP="005C2687">
      <w:pPr>
        <w:numPr>
          <w:ilvl w:val="0"/>
          <w:numId w:val="30"/>
        </w:numPr>
        <w:tabs>
          <w:tab w:val="clear" w:pos="720"/>
          <w:tab w:val="num" w:pos="360"/>
        </w:tabs>
        <w:spacing w:line="276" w:lineRule="auto"/>
        <w:ind w:left="360"/>
        <w:jc w:val="both"/>
        <w:rPr>
          <w:rFonts w:eastAsia="Calibri"/>
          <w:kern w:val="24"/>
        </w:rPr>
      </w:pPr>
      <w:r w:rsidRPr="00EE2DE7">
        <w:rPr>
          <w:rFonts w:eastAsia="Calibri"/>
          <w:kern w:val="24"/>
        </w:rPr>
        <w:t>Plotësimi i kërkesave dhe i nevojave të seksioneve të reja ose të gjyqtarëve që kanë lëvizur në këto seksione, si për shembull, trajnimet e dedikuara për gjyqtarët e Gjykatave Administrative në rreth e apel me tematikë: Risitë që sjell Kodi i ri i Procedurave Administrative në krahasim me Kodin e mëparshëm. Marrëdhëniet e punës dhe problemet që ndeshen në praktikën gjyqësore në kuadër të zbatimit të dispozitave të Kodit të Punës, ligjit nr. 49/2014, si dhe ligjit nr. 152/2013, “</w:t>
      </w:r>
      <w:r w:rsidRPr="00EE2DE7">
        <w:rPr>
          <w:rFonts w:eastAsia="Calibri"/>
          <w:i/>
          <w:kern w:val="24"/>
        </w:rPr>
        <w:t>Për nëpunësin civil</w:t>
      </w:r>
      <w:r w:rsidRPr="00EE2DE7">
        <w:rPr>
          <w:rFonts w:eastAsia="Calibri"/>
          <w:kern w:val="24"/>
        </w:rPr>
        <w:t>”. Transferimi (transferimi i përkohshëm dhe i përhershëm) si dhe përfundimi i marrëdhënies së punës sipas Kodit të Punës dhe lirimi nga shërbimi civil. Dallimi mes gjykimit administrativ dhe atij civil në aspektin e zbatimit të rregullave procedurale. Roli i gjykatës civile dhe administrative në këto gjykime dhe trajtimi i problemeve që shfaqen aktualisht. Procedura administrative nën këndvështrimin e Kodit të ri. Drejtësia administrative. E përbashkëta dhe dallimet me sistemet e tjera europiane dhe me të drejtën e BE-së. Kontrata administrative e prokurimit publik, analizuar edhe në ndryshimet që sjell Kodi i ri i Procedurave Administrative. E drejta administrative në kontekstin ndërkombëtar etj.</w:t>
      </w:r>
    </w:p>
    <w:p w:rsidR="00294F47" w:rsidRPr="00EE2DE7" w:rsidRDefault="00294F47" w:rsidP="005C2687">
      <w:pPr>
        <w:numPr>
          <w:ilvl w:val="0"/>
          <w:numId w:val="30"/>
        </w:numPr>
        <w:tabs>
          <w:tab w:val="clear" w:pos="720"/>
          <w:tab w:val="num" w:pos="360"/>
        </w:tabs>
        <w:spacing w:line="276" w:lineRule="auto"/>
        <w:ind w:left="360"/>
        <w:jc w:val="both"/>
        <w:rPr>
          <w:rFonts w:eastAsia="Calibri"/>
          <w:kern w:val="24"/>
        </w:rPr>
      </w:pPr>
      <w:r w:rsidRPr="00EE2DE7">
        <w:rPr>
          <w:rFonts w:eastAsia="Calibri"/>
          <w:kern w:val="24"/>
        </w:rPr>
        <w:t xml:space="preserve">Plotësimi i kërkesave dhe i nevojave të gjyqtarëve mbi tematika të veçanta, si: parandalimi dhe goditja e krimit të organizuar, trafikimit, korrupsionit dhe veprave të tjera penale, lufta kundër terrorizmit, krimi kibernetik, emigracioni i paligjshëm etj. </w:t>
      </w:r>
    </w:p>
    <w:p w:rsidR="00294F47" w:rsidRPr="00EE2DE7" w:rsidRDefault="00294F47" w:rsidP="005C2687">
      <w:pPr>
        <w:numPr>
          <w:ilvl w:val="0"/>
          <w:numId w:val="30"/>
        </w:numPr>
        <w:tabs>
          <w:tab w:val="clear" w:pos="720"/>
          <w:tab w:val="num" w:pos="360"/>
        </w:tabs>
        <w:spacing w:line="276" w:lineRule="auto"/>
        <w:ind w:left="360"/>
        <w:jc w:val="both"/>
        <w:rPr>
          <w:rFonts w:eastAsia="Calibri"/>
          <w:kern w:val="24"/>
        </w:rPr>
      </w:pPr>
      <w:r w:rsidRPr="00EE2DE7">
        <w:rPr>
          <w:rFonts w:eastAsia="Calibri"/>
          <w:kern w:val="24"/>
        </w:rPr>
        <w:t>Plotësimi i kërkesave dhe i nevojave, parë edhe në këndvështrimin e një tematike rajonale. Në këtë aspekt janë ndërmarrë organizimi dhe zhvillimi i 6 (gjashtë) tryezave diskutimi me temë: “</w:t>
      </w:r>
      <w:r w:rsidRPr="00EE2DE7">
        <w:rPr>
          <w:rFonts w:eastAsia="Calibri"/>
          <w:i/>
          <w:kern w:val="24"/>
        </w:rPr>
        <w:t>Menaxhimi aktiv i çështjeve në gjykata</w:t>
      </w:r>
      <w:r w:rsidRPr="00EE2DE7">
        <w:rPr>
          <w:rFonts w:eastAsia="Calibri"/>
          <w:kern w:val="24"/>
        </w:rPr>
        <w:t xml:space="preserve">” me pjesëmarrës gjyqtarë të gjykatave të rretheve të ndryshme gjyqësore, </w:t>
      </w:r>
      <w:r w:rsidRPr="00EE2DE7">
        <w:rPr>
          <w:rFonts w:eastAsia="Calibri"/>
          <w:kern w:val="24"/>
        </w:rPr>
        <w:lastRenderedPageBreak/>
        <w:t>duke zhvilluar aktivitetin e parë me gjyqtarë të Gjykatës së Rrethit Gjyqësor Fier. Duke marrë shkas nga ndryshimet e bëra në Kodin e Procedurës Penale, janë zhvilluar 9 (nëntë) aktivitete trajnuese rajonale me tematikë ndryshimet në këtë Kod; janë zhvilluar 2 (dy) aktivitete trajnuese rajonale për administratën gjyqësore si edhe në bashkëpunim me KiE-n</w:t>
      </w:r>
      <w:r w:rsidRPr="00EE2DE7">
        <w:rPr>
          <w:rFonts w:eastAsia="MS Mincho"/>
          <w:kern w:val="24"/>
        </w:rPr>
        <w:t>ë</w:t>
      </w:r>
      <w:r w:rsidRPr="00EE2DE7">
        <w:rPr>
          <w:rFonts w:eastAsia="Calibri"/>
          <w:kern w:val="24"/>
        </w:rPr>
        <w:t xml:space="preserve"> janë zhvilluar 5 (pesë) aktivitete trajnuese rajonale me tematikë lirinë e shprehjes si edhe 4 (katër) aktivitete trajnuese rajonale me tematikë të drejtën e pronës.</w:t>
      </w:r>
    </w:p>
    <w:p w:rsidR="00294F47" w:rsidRPr="00EE2DE7" w:rsidRDefault="00294F47" w:rsidP="005C2687">
      <w:pPr>
        <w:numPr>
          <w:ilvl w:val="0"/>
          <w:numId w:val="30"/>
        </w:numPr>
        <w:tabs>
          <w:tab w:val="clear" w:pos="720"/>
          <w:tab w:val="num" w:pos="360"/>
        </w:tabs>
        <w:spacing w:line="276" w:lineRule="auto"/>
        <w:ind w:left="360"/>
        <w:jc w:val="both"/>
        <w:rPr>
          <w:rFonts w:eastAsia="Calibri"/>
          <w:kern w:val="24"/>
        </w:rPr>
      </w:pPr>
      <w:r w:rsidRPr="00EE2DE7">
        <w:rPr>
          <w:rFonts w:eastAsia="Calibri"/>
          <w:kern w:val="24"/>
        </w:rPr>
        <w:t>Ofrimi i një trajnimi që synon drejt praktikave më përparimtare të p</w:t>
      </w:r>
      <w:r w:rsidRPr="00EE2DE7">
        <w:rPr>
          <w:rFonts w:eastAsia="Times New Roman"/>
          <w:kern w:val="24"/>
          <w:lang w:eastAsia="en-GB"/>
        </w:rPr>
        <w:t>ërditësuara</w:t>
      </w:r>
      <w:r w:rsidRPr="00EE2DE7">
        <w:rPr>
          <w:rFonts w:eastAsia="Calibri"/>
          <w:kern w:val="24"/>
        </w:rPr>
        <w:t xml:space="preserve"> edhe me standardet e evidentuara nga Gjykata Europiane e të Drejtave të Njeriut edhe nga praktika e vendeve të tjera apo e Gjykatës Europiane të Drejtësisë. Thuajse në të gjitha sesionet trajnuese ekspertët kanë p</w:t>
      </w:r>
      <w:r w:rsidRPr="00EE2DE7">
        <w:rPr>
          <w:rFonts w:eastAsia="Times New Roman"/>
          <w:kern w:val="24"/>
          <w:lang w:eastAsia="en-GB"/>
        </w:rPr>
        <w:t>ërditësuar</w:t>
      </w:r>
      <w:r w:rsidRPr="00EE2DE7">
        <w:rPr>
          <w:rFonts w:eastAsia="Calibri"/>
          <w:kern w:val="24"/>
        </w:rPr>
        <w:t xml:space="preserve"> temat e tyre me këtë jurisprudencë.</w:t>
      </w:r>
    </w:p>
    <w:p w:rsidR="00294F47" w:rsidRPr="00EE2DE7" w:rsidRDefault="00294F47" w:rsidP="005C2687">
      <w:pPr>
        <w:numPr>
          <w:ilvl w:val="0"/>
          <w:numId w:val="30"/>
        </w:numPr>
        <w:tabs>
          <w:tab w:val="clear" w:pos="720"/>
          <w:tab w:val="num" w:pos="360"/>
        </w:tabs>
        <w:spacing w:line="276" w:lineRule="auto"/>
        <w:ind w:left="360"/>
        <w:jc w:val="both"/>
        <w:rPr>
          <w:rFonts w:eastAsia="Calibri"/>
          <w:kern w:val="24"/>
        </w:rPr>
      </w:pPr>
      <w:r w:rsidRPr="00EE2DE7">
        <w:rPr>
          <w:rFonts w:eastAsia="Calibri"/>
          <w:kern w:val="24"/>
        </w:rPr>
        <w:t>Thellimi dhe specializimi në fusha të veçanta.</w:t>
      </w:r>
    </w:p>
    <w:p w:rsidR="00294F47" w:rsidRPr="00EE2DE7" w:rsidRDefault="00294F47" w:rsidP="005C2687">
      <w:pPr>
        <w:numPr>
          <w:ilvl w:val="0"/>
          <w:numId w:val="30"/>
        </w:numPr>
        <w:tabs>
          <w:tab w:val="clear" w:pos="720"/>
          <w:tab w:val="num" w:pos="360"/>
        </w:tabs>
        <w:spacing w:line="276" w:lineRule="auto"/>
        <w:ind w:left="360"/>
        <w:jc w:val="both"/>
        <w:rPr>
          <w:rFonts w:eastAsia="Calibri"/>
          <w:kern w:val="24"/>
        </w:rPr>
      </w:pPr>
      <w:r w:rsidRPr="00EE2DE7">
        <w:rPr>
          <w:rFonts w:eastAsia="Calibri"/>
          <w:kern w:val="24"/>
        </w:rPr>
        <w:t xml:space="preserve">Seleksionimi i ekspertizës më të mirë të brendshme dhe ndërkombëtare në fusha të veçanta. Në lidhje me ekspertizën vendase përmendim </w:t>
      </w:r>
      <w:r w:rsidRPr="00EE2DE7">
        <w:rPr>
          <w:rFonts w:eastAsia="Calibri"/>
          <w:b/>
          <w:i/>
          <w:kern w:val="24"/>
        </w:rPr>
        <w:t>ekspertët nga gjyqësori</w:t>
      </w:r>
      <w:r w:rsidRPr="00EE2DE7">
        <w:rPr>
          <w:rFonts w:eastAsia="Calibri"/>
          <w:kern w:val="24"/>
        </w:rPr>
        <w:t xml:space="preserve">: Admir Belishta, Albana Boksi, Altina Nasufi, Amarildo Laçi, Ardian Dvorani, Elda Vrioni, Ervin Metalla, Ervin Pollozhani, Fatri Islamaj, Fjoralba Prifti, Kastriot Selita, Klodian Kurushi, Lindita Sinanaj, Margarita Buhali, Saida Dollani, Sandër Simoni, Valbona Vata, Vitore Tusha, Xhezair Zaganjori; Admir Thanza; Valbona Vata(e perseritur); </w:t>
      </w:r>
      <w:r w:rsidRPr="00EE2DE7">
        <w:rPr>
          <w:rFonts w:eastAsia="Calibri"/>
          <w:b/>
          <w:i/>
          <w:kern w:val="24"/>
        </w:rPr>
        <w:t>ndër ekspertët nga prokuroria</w:t>
      </w:r>
      <w:r w:rsidRPr="00EE2DE7">
        <w:rPr>
          <w:rFonts w:eastAsia="Calibri"/>
          <w:kern w:val="24"/>
        </w:rPr>
        <w:t xml:space="preserve">: Arian Muçaj, Arqile Koça, Artur Selmani, Adnand Kosova; Arben Kraja; Altin Dumani; Dritan Rreshka, Henrik Ligori, Olsian Çela; </w:t>
      </w:r>
      <w:r w:rsidRPr="00EE2DE7">
        <w:rPr>
          <w:rFonts w:eastAsia="Calibri"/>
          <w:b/>
          <w:i/>
          <w:kern w:val="24"/>
        </w:rPr>
        <w:t>ekspert</w:t>
      </w:r>
      <w:r w:rsidRPr="00EE2DE7">
        <w:rPr>
          <w:rFonts w:eastAsia="Times New Roman"/>
          <w:b/>
          <w:i/>
          <w:kern w:val="24"/>
          <w:lang w:eastAsia="en-GB"/>
        </w:rPr>
        <w:t>ë</w:t>
      </w:r>
      <w:r w:rsidRPr="00EE2DE7">
        <w:rPr>
          <w:rFonts w:eastAsia="Calibri"/>
          <w:b/>
          <w:i/>
          <w:kern w:val="24"/>
        </w:rPr>
        <w:t xml:space="preserve"> të tjerë</w:t>
      </w:r>
      <w:r w:rsidRPr="00EE2DE7">
        <w:rPr>
          <w:rFonts w:eastAsia="Calibri"/>
          <w:kern w:val="24"/>
        </w:rPr>
        <w:t>: Alma Hicka, Arben Isaraj, Artan Hoxha, Skënder Kaçupi, Artan Hajdari, Arta Mandro, Arben Rakipi, Dashamir Kore, Sokol Berberi, Elira Kokona, Eralda Met’hasani, Evis Alimehmeti, Idlir Peçi,  Mariana Semini, Manjola Xhaxho, Marsida Xhaferllari, Shamet Shabani, Sokol Sadushi, Vilma Sharofi, Vangjel Kosta, Arben Malaj, Arta Vorpsi, Gent Ibrahimi, Ardjana Kalo, Ilir Mandro, Bledar Stefa, Romeo Nazarko, Mit’hat Tola, Anila Sulstarova, Livia Nano, Eugjen Sotiri.</w:t>
      </w:r>
    </w:p>
    <w:p w:rsidR="00294F47" w:rsidRPr="00EE2DE7" w:rsidRDefault="00294F47" w:rsidP="005C2687">
      <w:pPr>
        <w:numPr>
          <w:ilvl w:val="0"/>
          <w:numId w:val="30"/>
        </w:numPr>
        <w:tabs>
          <w:tab w:val="clear" w:pos="720"/>
          <w:tab w:val="num" w:pos="360"/>
        </w:tabs>
        <w:spacing w:line="276" w:lineRule="auto"/>
        <w:ind w:left="360"/>
        <w:jc w:val="both"/>
        <w:rPr>
          <w:rFonts w:eastAsia="Calibri"/>
          <w:kern w:val="24"/>
        </w:rPr>
      </w:pPr>
      <w:r w:rsidRPr="00EE2DE7">
        <w:rPr>
          <w:rFonts w:eastAsia="Calibri"/>
          <w:kern w:val="24"/>
        </w:rPr>
        <w:t>Ballafaqime me sfidat dhe eksperiencat më pozitive etj.</w:t>
      </w:r>
    </w:p>
    <w:p w:rsidR="00294F47" w:rsidRPr="00EE2DE7" w:rsidRDefault="00294F47" w:rsidP="00294F47">
      <w:pPr>
        <w:spacing w:line="276" w:lineRule="auto"/>
        <w:jc w:val="both"/>
        <w:outlineLvl w:val="0"/>
        <w:rPr>
          <w:rFonts w:eastAsia="Calibri"/>
          <w:b/>
          <w:kern w:val="24"/>
        </w:rPr>
      </w:pPr>
    </w:p>
    <w:p w:rsidR="00294F47" w:rsidRPr="00EE2DE7" w:rsidRDefault="00294F47" w:rsidP="00294F47">
      <w:pPr>
        <w:spacing w:line="276" w:lineRule="auto"/>
        <w:jc w:val="both"/>
        <w:outlineLvl w:val="0"/>
        <w:rPr>
          <w:rFonts w:eastAsia="Calibri"/>
          <w:b/>
          <w:color w:val="1F497D"/>
          <w:kern w:val="24"/>
        </w:rPr>
      </w:pPr>
      <w:r w:rsidRPr="00EE2DE7">
        <w:rPr>
          <w:rFonts w:eastAsia="Calibri"/>
          <w:b/>
          <w:color w:val="1F497D"/>
          <w:kern w:val="24"/>
        </w:rPr>
        <w:t>Realizimi konkret i programit</w:t>
      </w:r>
    </w:p>
    <w:p w:rsidR="00294F47" w:rsidRPr="00EE2DE7" w:rsidRDefault="00294F47" w:rsidP="00294F47">
      <w:pPr>
        <w:spacing w:line="276" w:lineRule="auto"/>
        <w:ind w:firstLine="720"/>
        <w:jc w:val="both"/>
        <w:rPr>
          <w:rFonts w:eastAsia="Calibri"/>
          <w:kern w:val="24"/>
        </w:rPr>
      </w:pPr>
      <w:r w:rsidRPr="00EE2DE7">
        <w:rPr>
          <w:rFonts w:eastAsia="Calibri"/>
          <w:kern w:val="24"/>
        </w:rPr>
        <w:t xml:space="preserve">Shkolla e Magjistraturës ka hyrë në vitin e shtatëmbëdhjetë të zbatimit të Programit të Formimit Vazhdues të gjyqtarëve dhe prokurorëve bazuar në një program dhe kalendar paraprak. </w:t>
      </w:r>
    </w:p>
    <w:p w:rsidR="00294F47" w:rsidRPr="00EE2DE7" w:rsidRDefault="00294F47" w:rsidP="00294F47">
      <w:pPr>
        <w:spacing w:line="276" w:lineRule="auto"/>
        <w:jc w:val="both"/>
        <w:rPr>
          <w:rFonts w:eastAsia="Calibri"/>
          <w:b/>
          <w:kern w:val="24"/>
        </w:rPr>
      </w:pPr>
    </w:p>
    <w:p w:rsidR="00294F47" w:rsidRPr="00EE2DE7" w:rsidRDefault="00294F47" w:rsidP="00294F47">
      <w:pPr>
        <w:spacing w:line="276" w:lineRule="auto"/>
        <w:jc w:val="both"/>
        <w:rPr>
          <w:rFonts w:eastAsia="Calibri"/>
          <w:color w:val="1F497D"/>
          <w:kern w:val="24"/>
        </w:rPr>
      </w:pPr>
      <w:r w:rsidRPr="00EE2DE7">
        <w:rPr>
          <w:rFonts w:eastAsia="Calibri"/>
          <w:b/>
          <w:color w:val="1F497D"/>
          <w:kern w:val="24"/>
        </w:rPr>
        <w:t>Dinamizmi i PTV-s</w:t>
      </w:r>
      <w:r w:rsidRPr="00EE2DE7">
        <w:rPr>
          <w:rFonts w:eastAsia="Times New Roman"/>
          <w:b/>
          <w:color w:val="1F497D"/>
          <w:kern w:val="24"/>
          <w:lang w:eastAsia="en-GB"/>
        </w:rPr>
        <w:t>ë</w:t>
      </w:r>
    </w:p>
    <w:p w:rsidR="00294F47" w:rsidRPr="00EE2DE7" w:rsidRDefault="00294F47" w:rsidP="00294F47">
      <w:pPr>
        <w:spacing w:line="276" w:lineRule="auto"/>
        <w:ind w:firstLine="720"/>
        <w:jc w:val="both"/>
        <w:rPr>
          <w:rFonts w:eastAsia="Calibri"/>
          <w:kern w:val="24"/>
        </w:rPr>
      </w:pPr>
      <w:r w:rsidRPr="00EE2DE7">
        <w:rPr>
          <w:rFonts w:eastAsia="Calibri"/>
          <w:kern w:val="24"/>
        </w:rPr>
        <w:t xml:space="preserve">Tashmë janë të qarta përfitimet e hartimit të </w:t>
      </w:r>
      <w:r w:rsidRPr="009A01C5">
        <w:rPr>
          <w:rFonts w:eastAsia="Calibri"/>
          <w:kern w:val="24"/>
        </w:rPr>
        <w:t>një programi trevjeçar</w:t>
      </w:r>
      <w:r w:rsidRPr="00EE2DE7">
        <w:rPr>
          <w:rFonts w:eastAsia="Calibri"/>
          <w:color w:val="00B0F0"/>
          <w:kern w:val="24"/>
        </w:rPr>
        <w:t xml:space="preserve">. </w:t>
      </w:r>
      <w:r w:rsidRPr="00EE2DE7">
        <w:rPr>
          <w:rFonts w:eastAsia="Calibri"/>
          <w:kern w:val="24"/>
        </w:rPr>
        <w:t>E nënvizojmë këtë, sepse ndërkohë që p</w:t>
      </w:r>
      <w:r w:rsidRPr="00EE2DE7">
        <w:rPr>
          <w:rFonts w:eastAsia="Times New Roman"/>
          <w:kern w:val="24"/>
          <w:lang w:eastAsia="en-GB"/>
        </w:rPr>
        <w:t>ërditësimi</w:t>
      </w:r>
      <w:r w:rsidRPr="00EE2DE7">
        <w:rPr>
          <w:rFonts w:eastAsia="Calibri"/>
          <w:kern w:val="24"/>
        </w:rPr>
        <w:t xml:space="preserve"> i programit bëhet pa pengesë ndër vite, duke pasur një bërthamë tematike të përcaktuar në fillim të trevjeçarit, kursehet kohë dhe energji; kontrollohet më mirë procesi, sepse Shkolla ka mundësi më të mëdha të ndjekë në mënyrë progresive aktivitetet trajnuese në kuptimin që të ofrojë një program të larmishëm; krijohet mundësi që të menaxhohet më mirë shpërndarja tematike në rastet e temave të përsëritura në vite të ndryshme dhe me grupe të ndryshme. Një sërë temash janë zhvilluar si module për herë të parë; por kjo </w:t>
      </w:r>
      <w:r w:rsidRPr="00EE2DE7">
        <w:rPr>
          <w:rFonts w:eastAsia="Calibri"/>
          <w:iCs/>
          <w:kern w:val="24"/>
        </w:rPr>
        <w:t>nuk e ka penguar</w:t>
      </w:r>
      <w:r w:rsidRPr="00EE2DE7">
        <w:rPr>
          <w:rFonts w:eastAsia="Calibri"/>
          <w:kern w:val="24"/>
        </w:rPr>
        <w:t xml:space="preserve"> aspak në përfshirjen e risive në program, duke lënë një kohë më të madhe për përgatitjen e atyre që konsiderohen si çështje të reja.</w:t>
      </w:r>
    </w:p>
    <w:p w:rsidR="00294F47" w:rsidRPr="00EE2DE7" w:rsidRDefault="00294F47" w:rsidP="00294F47">
      <w:pPr>
        <w:spacing w:line="276" w:lineRule="auto"/>
        <w:ind w:firstLine="720"/>
        <w:jc w:val="both"/>
        <w:rPr>
          <w:rFonts w:eastAsia="Calibri"/>
          <w:kern w:val="24"/>
        </w:rPr>
      </w:pPr>
      <w:r w:rsidRPr="00EE2DE7">
        <w:rPr>
          <w:rFonts w:eastAsia="Calibri"/>
          <w:kern w:val="24"/>
        </w:rPr>
        <w:t xml:space="preserve">Programi i Formimit Vazhdues trevjeçar, pasuar me formularët e regjistrimit për këtë periudhë, janë baza nga ku lind edhe kalendari për çdo vit akademik, duke parashikuar sasinë e trajnimeve apo ripërsëritjen e një teme/kursi të shpërndarë brenda këtyre tri viteve. Kalendari i çdo viti akademik ka </w:t>
      </w:r>
      <w:r w:rsidRPr="00EE2DE7">
        <w:rPr>
          <w:rFonts w:eastAsia="Calibri"/>
          <w:kern w:val="24"/>
        </w:rPr>
        <w:lastRenderedPageBreak/>
        <w:t xml:space="preserve">natyrë elastike, pasi gjatë një viti pasurohet duke përmbushur kërkesat e përfituesve. Për të mbështetur këtë, mjafton të shohim numrin e aktiviteteve të miratuara nga Këshilli Drejtues në fillim të vitit akademik dhe çfarë ndryshimesh kemi në fund të tij. </w:t>
      </w:r>
      <w:r w:rsidRPr="00EE2DE7">
        <w:rPr>
          <w:rFonts w:eastAsia="Calibri"/>
          <w:b/>
          <w:kern w:val="24"/>
        </w:rPr>
        <w:t>Kështu, për vitin 2017-2018 ndërsa Këshilli Drejtues i SHM-s</w:t>
      </w:r>
      <w:r w:rsidRPr="00EE2DE7">
        <w:rPr>
          <w:rFonts w:eastAsia="Times New Roman"/>
          <w:b/>
          <w:kern w:val="24"/>
          <w:lang w:eastAsia="en-GB"/>
        </w:rPr>
        <w:t>ë</w:t>
      </w:r>
      <w:r w:rsidRPr="00EE2DE7">
        <w:rPr>
          <w:rFonts w:eastAsia="Calibri"/>
          <w:b/>
          <w:kern w:val="24"/>
        </w:rPr>
        <w:t xml:space="preserve"> miratoi  184 (njëqind e tetëdhjetë e katër) aktivitete trajnuese, ky numër shkoi në 213 (dyqind e trembëdhjetë) aktivitete të realizuara.</w:t>
      </w:r>
    </w:p>
    <w:p w:rsidR="00294F47" w:rsidRPr="00EE2DE7" w:rsidRDefault="00294F47" w:rsidP="00294F47">
      <w:pPr>
        <w:spacing w:line="276" w:lineRule="auto"/>
        <w:ind w:firstLine="720"/>
        <w:jc w:val="both"/>
        <w:rPr>
          <w:rFonts w:eastAsia="Calibri"/>
          <w:kern w:val="24"/>
        </w:rPr>
      </w:pPr>
      <w:r w:rsidRPr="00EE2DE7">
        <w:rPr>
          <w:rFonts w:eastAsia="Calibri"/>
          <w:kern w:val="24"/>
        </w:rPr>
        <w:t>Dinamizmi shfaqet edhe në disa drejtime të tjera, p.sh.: te rasti i temave të përsëritura dinamizmi reflektohet në pasurimin e tyre me praktikë dhe standarde të reja ligjore e praktik</w:t>
      </w:r>
      <w:r w:rsidRPr="00EE2DE7">
        <w:rPr>
          <w:rFonts w:eastAsia="Times New Roman"/>
          <w:kern w:val="24"/>
          <w:lang w:eastAsia="en-GB"/>
        </w:rPr>
        <w:t>ë</w:t>
      </w:r>
      <w:r w:rsidRPr="00EE2DE7">
        <w:rPr>
          <w:rFonts w:eastAsia="Calibri"/>
          <w:kern w:val="24"/>
        </w:rPr>
        <w:t xml:space="preserve"> kombëtare e ndërkombëtare. Sa i përket çështjeve të reja mund të themi se interesi për to, bëhet edhe më i duksh</w:t>
      </w:r>
      <w:r w:rsidRPr="00EE2DE7">
        <w:rPr>
          <w:rFonts w:eastAsia="Times New Roman"/>
          <w:kern w:val="24"/>
          <w:lang w:eastAsia="en-GB"/>
        </w:rPr>
        <w:t>ëm</w:t>
      </w:r>
      <w:r w:rsidRPr="00EE2DE7">
        <w:rPr>
          <w:rFonts w:eastAsia="Calibri"/>
          <w:kern w:val="24"/>
        </w:rPr>
        <w:t xml:space="preserve"> kur praktika ka nxjerrë problemet e veta të para. </w:t>
      </w:r>
    </w:p>
    <w:p w:rsidR="00294F47" w:rsidRPr="00EE2DE7" w:rsidRDefault="00294F47" w:rsidP="00294F47">
      <w:pPr>
        <w:spacing w:line="276" w:lineRule="auto"/>
        <w:jc w:val="both"/>
        <w:outlineLvl w:val="0"/>
        <w:rPr>
          <w:rFonts w:eastAsia="Calibri"/>
          <w:b/>
          <w:kern w:val="24"/>
        </w:rPr>
      </w:pPr>
    </w:p>
    <w:p w:rsidR="00294F47" w:rsidRPr="00294F47" w:rsidRDefault="00294F47" w:rsidP="00294F47">
      <w:pPr>
        <w:spacing w:line="276" w:lineRule="auto"/>
        <w:jc w:val="both"/>
        <w:rPr>
          <w:rFonts w:eastAsia="Calibri"/>
          <w:b/>
          <w:color w:val="1F497D"/>
          <w:kern w:val="24"/>
        </w:rPr>
      </w:pPr>
      <w:r w:rsidRPr="00294F47">
        <w:rPr>
          <w:rFonts w:eastAsia="Calibri"/>
          <w:b/>
          <w:color w:val="1F497D"/>
          <w:kern w:val="24"/>
        </w:rPr>
        <w:t>Stafi i PFV-së</w:t>
      </w:r>
    </w:p>
    <w:p w:rsidR="00294F47" w:rsidRPr="00EE2DE7" w:rsidRDefault="00294F47" w:rsidP="00294F47">
      <w:pPr>
        <w:spacing w:line="276" w:lineRule="auto"/>
        <w:ind w:firstLine="720"/>
        <w:jc w:val="both"/>
        <w:rPr>
          <w:rFonts w:eastAsia="Calibri"/>
          <w:kern w:val="24"/>
        </w:rPr>
      </w:pPr>
      <w:r w:rsidRPr="00EE2DE7">
        <w:rPr>
          <w:rFonts w:eastAsia="Calibri"/>
          <w:kern w:val="24"/>
        </w:rPr>
        <w:t>Përbëhet nga dy pedagogë me kohë të plotë, ku njëri prej tyre është Përgjegjësi i Departamentit, i cili është njëkohësisht edhe anëtar i Këshillit Drejtues të Shkollës së Magjistraturës; një përgjegjës i Sektorit të Formimit Vazhdues dhe dy sekretar</w:t>
      </w:r>
      <w:r w:rsidRPr="00EE2DE7">
        <w:rPr>
          <w:rFonts w:eastAsia="Times New Roman"/>
          <w:kern w:val="24"/>
          <w:lang w:eastAsia="en-GB"/>
        </w:rPr>
        <w:t>ë</w:t>
      </w:r>
      <w:r w:rsidRPr="00EE2DE7">
        <w:rPr>
          <w:rFonts w:eastAsia="Calibri"/>
          <w:kern w:val="24"/>
        </w:rPr>
        <w:t xml:space="preserve"> shkencorë, që kanë marrë detyrën këtë vit akademik. Nisur nga rekomandimet e vazhdueshme të partnerëve ndërkombëtar</w:t>
      </w:r>
      <w:r w:rsidRPr="00EE2DE7">
        <w:rPr>
          <w:rFonts w:eastAsia="MS Mincho"/>
          <w:kern w:val="24"/>
        </w:rPr>
        <w:t>ë</w:t>
      </w:r>
      <w:r w:rsidRPr="00EE2DE7">
        <w:rPr>
          <w:rFonts w:eastAsia="Calibri"/>
          <w:kern w:val="24"/>
        </w:rPr>
        <w:t xml:space="preserve"> dhe nisur nga eksperiencat e shkollave homologe, Formimi Vazhdues për vet</w:t>
      </w:r>
      <w:r w:rsidRPr="00EE2DE7">
        <w:rPr>
          <w:rFonts w:eastAsia="Times New Roman"/>
          <w:kern w:val="24"/>
          <w:lang w:eastAsia="en-GB"/>
        </w:rPr>
        <w:t>ë</w:t>
      </w:r>
      <w:r w:rsidRPr="00EE2DE7">
        <w:rPr>
          <w:rFonts w:eastAsia="Calibri"/>
          <w:kern w:val="24"/>
        </w:rPr>
        <w:t xml:space="preserve"> natyrën e veprimtarisë së vet duhet të mb</w:t>
      </w:r>
      <w:r w:rsidRPr="00EE2DE7">
        <w:rPr>
          <w:rFonts w:eastAsia="Times New Roman"/>
          <w:kern w:val="24"/>
          <w:lang w:eastAsia="en-GB"/>
        </w:rPr>
        <w:t xml:space="preserve">ështetet në </w:t>
      </w:r>
      <w:r w:rsidRPr="00EE2DE7">
        <w:rPr>
          <w:rFonts w:eastAsia="Calibri"/>
          <w:kern w:val="24"/>
        </w:rPr>
        <w:t>dy aspekte: n</w:t>
      </w:r>
      <w:r w:rsidRPr="00EE2DE7">
        <w:rPr>
          <w:rFonts w:eastAsia="Times New Roman"/>
          <w:kern w:val="24"/>
          <w:lang w:eastAsia="en-GB"/>
        </w:rPr>
        <w:t xml:space="preserve">ë </w:t>
      </w:r>
      <w:r w:rsidRPr="00EE2DE7">
        <w:rPr>
          <w:rFonts w:eastAsia="Calibri"/>
          <w:kern w:val="24"/>
        </w:rPr>
        <w:t>aspektin shkencor dhe atë praktik. Vendimi i Këshillit Drejtues të Shkollës për të përzgjedhur njërin nga pedagogët e Formimit Vazhdues nga radhët e gjyqësorit ose të prokurorisë, jep mundësinë e gërshetimit të teorisë me aspektet praktike. Mund të themi se stafi i Formimit Vazhdues është i ri nga pikëpamja e sekretariatit dhe po kujdeset që të përballojë ngarkesën tipike të këtij sektori. Shtimet organike do të ishin të mirëpritura.</w:t>
      </w:r>
    </w:p>
    <w:p w:rsidR="006F39AB" w:rsidRDefault="006F39AB" w:rsidP="00294F47">
      <w:pPr>
        <w:spacing w:line="276" w:lineRule="auto"/>
        <w:rPr>
          <w:b/>
          <w:color w:val="CC9966" w:themeColor="accent2"/>
          <w:sz w:val="32"/>
        </w:rPr>
      </w:pPr>
    </w:p>
    <w:p w:rsidR="002478E2" w:rsidRDefault="00294F47" w:rsidP="00294F47">
      <w:pPr>
        <w:spacing w:line="276" w:lineRule="auto"/>
        <w:rPr>
          <w:b/>
          <w:color w:val="CC9966" w:themeColor="accent2"/>
          <w:sz w:val="32"/>
        </w:rPr>
      </w:pPr>
      <w:r w:rsidRPr="00294F47">
        <w:rPr>
          <w:b/>
          <w:color w:val="CC9966" w:themeColor="accent2"/>
          <w:sz w:val="32"/>
        </w:rPr>
        <w:t>2.2 Përmbajtja dhe tematika e Programit të Formimit Vazhdues për vitin akademik 2017-2018</w:t>
      </w:r>
    </w:p>
    <w:p w:rsidR="006F39AB" w:rsidRDefault="00294F47" w:rsidP="009D3274">
      <w:pPr>
        <w:spacing w:line="276" w:lineRule="auto"/>
        <w:jc w:val="both"/>
        <w:rPr>
          <w:rFonts w:eastAsia="Calibri"/>
          <w:kern w:val="24"/>
          <w:szCs w:val="23"/>
        </w:rPr>
      </w:pPr>
      <w:r w:rsidRPr="00EE2DE7">
        <w:rPr>
          <w:rFonts w:eastAsia="Calibri"/>
          <w:kern w:val="24"/>
          <w:szCs w:val="23"/>
        </w:rPr>
        <w:t>Aktivitetet trajnuese kanë filluar në muajin shtator 2017 dhe kanë përfunduar në muajin korrik 2018.</w:t>
      </w:r>
    </w:p>
    <w:tbl>
      <w:tblPr>
        <w:tblStyle w:val="LightGrid-Accent2"/>
        <w:tblpPr w:leftFromText="180" w:rightFromText="180" w:vertAnchor="text" w:horzAnchor="page" w:tblpX="1729" w:tblpY="264"/>
        <w:tblW w:w="7651" w:type="dxa"/>
        <w:tblLook w:val="04A0" w:firstRow="1" w:lastRow="0" w:firstColumn="1" w:lastColumn="0" w:noHBand="0" w:noVBand="1"/>
      </w:tblPr>
      <w:tblGrid>
        <w:gridCol w:w="560"/>
        <w:gridCol w:w="1775"/>
        <w:gridCol w:w="1172"/>
        <w:gridCol w:w="2700"/>
        <w:gridCol w:w="1444"/>
      </w:tblGrid>
      <w:tr w:rsidR="00B348F7" w:rsidRPr="00EE2DE7" w:rsidTr="00B348F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0" w:type="dxa"/>
            <w:noWrap/>
            <w:hideMark/>
          </w:tcPr>
          <w:p w:rsidR="00B348F7" w:rsidRPr="002C0C61" w:rsidRDefault="00B348F7" w:rsidP="00B348F7">
            <w:pPr>
              <w:rPr>
                <w:rFonts w:eastAsia="Times New Roman"/>
                <w:b w:val="0"/>
                <w:bCs w:val="0"/>
                <w:kern w:val="24"/>
                <w:sz w:val="20"/>
              </w:rPr>
            </w:pPr>
            <w:r w:rsidRPr="002C0C61">
              <w:rPr>
                <w:rFonts w:eastAsia="Times New Roman"/>
                <w:b w:val="0"/>
                <w:bCs w:val="0"/>
                <w:kern w:val="24"/>
                <w:sz w:val="20"/>
              </w:rPr>
              <w:t>Nr.</w:t>
            </w:r>
          </w:p>
        </w:tc>
        <w:tc>
          <w:tcPr>
            <w:tcW w:w="1775" w:type="dxa"/>
            <w:noWrap/>
            <w:hideMark/>
          </w:tcPr>
          <w:p w:rsidR="00B348F7" w:rsidRPr="002C0C61" w:rsidRDefault="00B348F7" w:rsidP="00B348F7">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kern w:val="24"/>
                <w:sz w:val="20"/>
              </w:rPr>
            </w:pPr>
            <w:r w:rsidRPr="002C0C61">
              <w:rPr>
                <w:rFonts w:eastAsia="Times New Roman"/>
                <w:b w:val="0"/>
                <w:bCs w:val="0"/>
                <w:kern w:val="24"/>
                <w:sz w:val="20"/>
              </w:rPr>
              <w:t>Muajt</w:t>
            </w:r>
          </w:p>
        </w:tc>
        <w:tc>
          <w:tcPr>
            <w:tcW w:w="1172" w:type="dxa"/>
            <w:noWrap/>
            <w:hideMark/>
          </w:tcPr>
          <w:p w:rsidR="00B348F7" w:rsidRPr="002C0C61" w:rsidRDefault="00B348F7" w:rsidP="00B348F7">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kern w:val="24"/>
                <w:sz w:val="20"/>
              </w:rPr>
            </w:pPr>
            <w:r w:rsidRPr="002C0C61">
              <w:rPr>
                <w:rFonts w:eastAsia="Times New Roman"/>
                <w:b w:val="0"/>
                <w:bCs w:val="0"/>
                <w:kern w:val="24"/>
                <w:sz w:val="20"/>
              </w:rPr>
              <w:t>Trajnime SHM</w:t>
            </w:r>
          </w:p>
        </w:tc>
        <w:tc>
          <w:tcPr>
            <w:tcW w:w="2700" w:type="dxa"/>
            <w:noWrap/>
            <w:hideMark/>
          </w:tcPr>
          <w:p w:rsidR="00B348F7" w:rsidRPr="002C0C61" w:rsidRDefault="00B348F7" w:rsidP="00B348F7">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kern w:val="24"/>
                <w:sz w:val="20"/>
              </w:rPr>
            </w:pPr>
            <w:r w:rsidRPr="002C0C61">
              <w:rPr>
                <w:rFonts w:eastAsia="Times New Roman"/>
                <w:b w:val="0"/>
                <w:bCs w:val="0"/>
                <w:kern w:val="24"/>
                <w:sz w:val="20"/>
              </w:rPr>
              <w:t>Trajnime të mbështetura/të zhvilluara me donatorë</w:t>
            </w:r>
          </w:p>
        </w:tc>
        <w:tc>
          <w:tcPr>
            <w:tcW w:w="1444" w:type="dxa"/>
            <w:noWrap/>
            <w:hideMark/>
          </w:tcPr>
          <w:p w:rsidR="00B348F7" w:rsidRPr="002C0C61" w:rsidRDefault="00B348F7" w:rsidP="00B348F7">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kern w:val="24"/>
                <w:sz w:val="20"/>
              </w:rPr>
            </w:pPr>
            <w:r w:rsidRPr="002C0C61">
              <w:rPr>
                <w:rFonts w:eastAsia="Times New Roman"/>
                <w:b w:val="0"/>
                <w:bCs w:val="0"/>
                <w:kern w:val="24"/>
                <w:sz w:val="20"/>
              </w:rPr>
              <w:t>Trajnim Trajnerësh</w:t>
            </w:r>
          </w:p>
        </w:tc>
      </w:tr>
      <w:tr w:rsidR="00B348F7" w:rsidRPr="00EE2DE7" w:rsidTr="00B348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0" w:type="dxa"/>
            <w:noWrap/>
          </w:tcPr>
          <w:p w:rsidR="00B348F7" w:rsidRPr="002C0C61" w:rsidRDefault="00B348F7" w:rsidP="00B348F7">
            <w:pPr>
              <w:jc w:val="right"/>
              <w:rPr>
                <w:rFonts w:eastAsia="Times New Roman"/>
                <w:kern w:val="24"/>
                <w:sz w:val="22"/>
                <w:szCs w:val="22"/>
              </w:rPr>
            </w:pPr>
            <w:r w:rsidRPr="002C0C61">
              <w:rPr>
                <w:rFonts w:eastAsia="Times New Roman"/>
                <w:kern w:val="24"/>
                <w:sz w:val="22"/>
                <w:szCs w:val="22"/>
              </w:rPr>
              <w:t>1.</w:t>
            </w:r>
          </w:p>
        </w:tc>
        <w:tc>
          <w:tcPr>
            <w:tcW w:w="1775" w:type="dxa"/>
            <w:noWrap/>
          </w:tcPr>
          <w:p w:rsidR="00B348F7" w:rsidRPr="002C0C61" w:rsidRDefault="00B348F7" w:rsidP="00B348F7">
            <w:pP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Shtator 2017</w:t>
            </w:r>
          </w:p>
        </w:tc>
        <w:tc>
          <w:tcPr>
            <w:tcW w:w="1172"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0</w:t>
            </w:r>
          </w:p>
        </w:tc>
        <w:tc>
          <w:tcPr>
            <w:tcW w:w="2700"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 xml:space="preserve">3 </w:t>
            </w:r>
          </w:p>
        </w:tc>
        <w:tc>
          <w:tcPr>
            <w:tcW w:w="1444"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0</w:t>
            </w:r>
          </w:p>
        </w:tc>
      </w:tr>
      <w:tr w:rsidR="00B348F7" w:rsidRPr="00EE2DE7" w:rsidTr="00B348F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0" w:type="dxa"/>
            <w:noWrap/>
          </w:tcPr>
          <w:p w:rsidR="00B348F7" w:rsidRPr="002C0C61" w:rsidRDefault="00B348F7" w:rsidP="00B348F7">
            <w:pPr>
              <w:jc w:val="right"/>
              <w:rPr>
                <w:rFonts w:eastAsia="Times New Roman"/>
                <w:kern w:val="24"/>
                <w:sz w:val="22"/>
                <w:szCs w:val="22"/>
              </w:rPr>
            </w:pPr>
            <w:r w:rsidRPr="002C0C61">
              <w:rPr>
                <w:rFonts w:eastAsia="Times New Roman"/>
                <w:kern w:val="24"/>
                <w:sz w:val="22"/>
                <w:szCs w:val="22"/>
              </w:rPr>
              <w:t>2.</w:t>
            </w:r>
          </w:p>
        </w:tc>
        <w:tc>
          <w:tcPr>
            <w:tcW w:w="1775" w:type="dxa"/>
            <w:noWrap/>
          </w:tcPr>
          <w:p w:rsidR="00B348F7" w:rsidRPr="002C0C61" w:rsidRDefault="00B348F7" w:rsidP="00B348F7">
            <w:pPr>
              <w:cnfStyle w:val="000000010000" w:firstRow="0" w:lastRow="0" w:firstColumn="0" w:lastColumn="0" w:oddVBand="0" w:evenVBand="0" w:oddHBand="0" w:evenHBand="1" w:firstRowFirstColumn="0" w:firstRowLastColumn="0" w:lastRowFirstColumn="0" w:lastRowLastColumn="0"/>
              <w:rPr>
                <w:rFonts w:eastAsia="Times New Roman"/>
                <w:kern w:val="24"/>
                <w:sz w:val="22"/>
                <w:szCs w:val="22"/>
              </w:rPr>
            </w:pPr>
            <w:r w:rsidRPr="002C0C61">
              <w:rPr>
                <w:rFonts w:eastAsia="Times New Roman"/>
                <w:kern w:val="24"/>
                <w:sz w:val="22"/>
                <w:szCs w:val="22"/>
              </w:rPr>
              <w:t>Tetor 2017</w:t>
            </w:r>
          </w:p>
        </w:tc>
        <w:tc>
          <w:tcPr>
            <w:tcW w:w="1172"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kern w:val="24"/>
                <w:sz w:val="22"/>
                <w:szCs w:val="22"/>
              </w:rPr>
            </w:pPr>
            <w:r w:rsidRPr="002C0C61">
              <w:rPr>
                <w:rFonts w:eastAsia="Times New Roman"/>
                <w:kern w:val="24"/>
                <w:sz w:val="22"/>
                <w:szCs w:val="22"/>
              </w:rPr>
              <w:t>0</w:t>
            </w:r>
          </w:p>
        </w:tc>
        <w:tc>
          <w:tcPr>
            <w:tcW w:w="2700" w:type="dxa"/>
            <w:noWrap/>
          </w:tcPr>
          <w:p w:rsidR="00B348F7" w:rsidRPr="002C0C61" w:rsidRDefault="00B348F7" w:rsidP="00B348F7">
            <w:pPr>
              <w:jc w:val="center"/>
              <w:cnfStyle w:val="000000010000" w:firstRow="0" w:lastRow="0" w:firstColumn="0" w:lastColumn="0" w:oddVBand="0" w:evenVBand="0" w:oddHBand="0" w:evenHBand="1" w:firstRowFirstColumn="0" w:firstRowLastColumn="0" w:lastRowFirstColumn="0" w:lastRowLastColumn="0"/>
              <w:rPr>
                <w:rFonts w:eastAsia="Times New Roman"/>
                <w:kern w:val="24"/>
                <w:sz w:val="22"/>
                <w:szCs w:val="22"/>
              </w:rPr>
            </w:pPr>
            <w:r w:rsidRPr="002C0C61">
              <w:rPr>
                <w:rFonts w:eastAsia="Times New Roman"/>
                <w:kern w:val="24"/>
                <w:sz w:val="22"/>
                <w:szCs w:val="22"/>
              </w:rPr>
              <w:t xml:space="preserve">                                     10</w:t>
            </w:r>
          </w:p>
        </w:tc>
        <w:tc>
          <w:tcPr>
            <w:tcW w:w="1444"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kern w:val="24"/>
                <w:sz w:val="22"/>
                <w:szCs w:val="22"/>
              </w:rPr>
            </w:pPr>
            <w:r w:rsidRPr="002C0C61">
              <w:rPr>
                <w:rFonts w:eastAsia="Times New Roman"/>
                <w:kern w:val="24"/>
                <w:sz w:val="22"/>
                <w:szCs w:val="22"/>
              </w:rPr>
              <w:t>0</w:t>
            </w:r>
          </w:p>
        </w:tc>
      </w:tr>
      <w:tr w:rsidR="00B348F7" w:rsidRPr="00EE2DE7" w:rsidTr="00B348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0" w:type="dxa"/>
            <w:noWrap/>
          </w:tcPr>
          <w:p w:rsidR="00B348F7" w:rsidRPr="002C0C61" w:rsidRDefault="00B348F7" w:rsidP="00B348F7">
            <w:pPr>
              <w:jc w:val="right"/>
              <w:rPr>
                <w:rFonts w:eastAsia="Times New Roman"/>
                <w:kern w:val="24"/>
                <w:sz w:val="22"/>
                <w:szCs w:val="22"/>
              </w:rPr>
            </w:pPr>
            <w:r w:rsidRPr="002C0C61">
              <w:rPr>
                <w:rFonts w:eastAsia="Times New Roman"/>
                <w:kern w:val="24"/>
                <w:sz w:val="22"/>
                <w:szCs w:val="22"/>
              </w:rPr>
              <w:t>3.</w:t>
            </w:r>
          </w:p>
        </w:tc>
        <w:tc>
          <w:tcPr>
            <w:tcW w:w="1775" w:type="dxa"/>
            <w:noWrap/>
          </w:tcPr>
          <w:p w:rsidR="00B348F7" w:rsidRPr="002C0C61" w:rsidRDefault="00B348F7" w:rsidP="00B348F7">
            <w:pP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Nëntor 2017</w:t>
            </w:r>
          </w:p>
        </w:tc>
        <w:tc>
          <w:tcPr>
            <w:tcW w:w="1172"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strike/>
                <w:kern w:val="24"/>
                <w:sz w:val="22"/>
                <w:szCs w:val="22"/>
              </w:rPr>
            </w:pPr>
            <w:r w:rsidRPr="002C0C61">
              <w:rPr>
                <w:rFonts w:eastAsia="Times New Roman"/>
                <w:kern w:val="24"/>
                <w:sz w:val="22"/>
                <w:szCs w:val="22"/>
              </w:rPr>
              <w:t>1</w:t>
            </w:r>
          </w:p>
        </w:tc>
        <w:tc>
          <w:tcPr>
            <w:tcW w:w="2700"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strike/>
                <w:kern w:val="24"/>
                <w:sz w:val="22"/>
                <w:szCs w:val="22"/>
              </w:rPr>
            </w:pPr>
            <w:r w:rsidRPr="002C0C61">
              <w:rPr>
                <w:rFonts w:eastAsia="Times New Roman"/>
                <w:kern w:val="24"/>
                <w:sz w:val="22"/>
                <w:szCs w:val="22"/>
              </w:rPr>
              <w:t xml:space="preserve"> 14</w:t>
            </w:r>
          </w:p>
        </w:tc>
        <w:tc>
          <w:tcPr>
            <w:tcW w:w="1444"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3</w:t>
            </w:r>
          </w:p>
        </w:tc>
      </w:tr>
      <w:tr w:rsidR="00B348F7" w:rsidRPr="00EE2DE7" w:rsidTr="00B348F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0" w:type="dxa"/>
            <w:noWrap/>
          </w:tcPr>
          <w:p w:rsidR="00B348F7" w:rsidRPr="002C0C61" w:rsidRDefault="00B348F7" w:rsidP="00B348F7">
            <w:pPr>
              <w:jc w:val="right"/>
              <w:rPr>
                <w:rFonts w:eastAsia="Times New Roman"/>
                <w:kern w:val="24"/>
                <w:sz w:val="22"/>
                <w:szCs w:val="22"/>
              </w:rPr>
            </w:pPr>
            <w:r w:rsidRPr="002C0C61">
              <w:rPr>
                <w:rFonts w:eastAsia="Times New Roman"/>
                <w:kern w:val="24"/>
                <w:sz w:val="22"/>
                <w:szCs w:val="22"/>
              </w:rPr>
              <w:t>4.</w:t>
            </w:r>
          </w:p>
        </w:tc>
        <w:tc>
          <w:tcPr>
            <w:tcW w:w="1775" w:type="dxa"/>
            <w:noWrap/>
          </w:tcPr>
          <w:p w:rsidR="00B348F7" w:rsidRPr="002C0C61" w:rsidRDefault="00B348F7" w:rsidP="00B348F7">
            <w:pPr>
              <w:cnfStyle w:val="000000010000" w:firstRow="0" w:lastRow="0" w:firstColumn="0" w:lastColumn="0" w:oddVBand="0" w:evenVBand="0" w:oddHBand="0" w:evenHBand="1" w:firstRowFirstColumn="0" w:firstRowLastColumn="0" w:lastRowFirstColumn="0" w:lastRowLastColumn="0"/>
              <w:rPr>
                <w:rFonts w:eastAsia="Times New Roman"/>
                <w:kern w:val="24"/>
                <w:sz w:val="22"/>
                <w:szCs w:val="22"/>
              </w:rPr>
            </w:pPr>
            <w:r w:rsidRPr="002C0C61">
              <w:rPr>
                <w:rFonts w:eastAsia="Times New Roman"/>
                <w:kern w:val="24"/>
                <w:sz w:val="22"/>
                <w:szCs w:val="22"/>
              </w:rPr>
              <w:t>Dhjetor 2017</w:t>
            </w:r>
          </w:p>
        </w:tc>
        <w:tc>
          <w:tcPr>
            <w:tcW w:w="1172"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kern w:val="24"/>
                <w:sz w:val="22"/>
                <w:szCs w:val="22"/>
              </w:rPr>
            </w:pPr>
            <w:r w:rsidRPr="002C0C61">
              <w:rPr>
                <w:rFonts w:eastAsia="Times New Roman"/>
                <w:kern w:val="24"/>
                <w:sz w:val="22"/>
                <w:szCs w:val="22"/>
              </w:rPr>
              <w:t>13</w:t>
            </w:r>
          </w:p>
        </w:tc>
        <w:tc>
          <w:tcPr>
            <w:tcW w:w="2700"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kern w:val="24"/>
                <w:sz w:val="22"/>
                <w:szCs w:val="22"/>
              </w:rPr>
            </w:pPr>
            <w:r w:rsidRPr="002C0C61">
              <w:rPr>
                <w:rFonts w:eastAsia="Times New Roman"/>
                <w:kern w:val="24"/>
                <w:sz w:val="22"/>
                <w:szCs w:val="22"/>
              </w:rPr>
              <w:t>11</w:t>
            </w:r>
          </w:p>
        </w:tc>
        <w:tc>
          <w:tcPr>
            <w:tcW w:w="1444"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kern w:val="24"/>
                <w:sz w:val="22"/>
                <w:szCs w:val="22"/>
              </w:rPr>
            </w:pPr>
            <w:r w:rsidRPr="002C0C61">
              <w:rPr>
                <w:rFonts w:eastAsia="Times New Roman"/>
                <w:kern w:val="24"/>
                <w:sz w:val="22"/>
                <w:szCs w:val="22"/>
              </w:rPr>
              <w:t>0</w:t>
            </w:r>
          </w:p>
        </w:tc>
      </w:tr>
      <w:tr w:rsidR="00B348F7" w:rsidRPr="00EE2DE7" w:rsidTr="00B348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0" w:type="dxa"/>
            <w:noWrap/>
          </w:tcPr>
          <w:p w:rsidR="00B348F7" w:rsidRPr="002C0C61" w:rsidRDefault="00B348F7" w:rsidP="00B348F7">
            <w:pPr>
              <w:jc w:val="right"/>
              <w:rPr>
                <w:rFonts w:eastAsia="Times New Roman"/>
                <w:kern w:val="24"/>
                <w:sz w:val="22"/>
                <w:szCs w:val="22"/>
              </w:rPr>
            </w:pPr>
            <w:r w:rsidRPr="002C0C61">
              <w:rPr>
                <w:rFonts w:eastAsia="Times New Roman"/>
                <w:kern w:val="24"/>
                <w:sz w:val="22"/>
                <w:szCs w:val="22"/>
              </w:rPr>
              <w:t>5.</w:t>
            </w:r>
          </w:p>
        </w:tc>
        <w:tc>
          <w:tcPr>
            <w:tcW w:w="1775" w:type="dxa"/>
            <w:noWrap/>
            <w:hideMark/>
          </w:tcPr>
          <w:p w:rsidR="00B348F7" w:rsidRPr="002C0C61" w:rsidRDefault="00B348F7" w:rsidP="00B348F7">
            <w:pP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Janar 2018</w:t>
            </w:r>
          </w:p>
        </w:tc>
        <w:tc>
          <w:tcPr>
            <w:tcW w:w="1172"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strike/>
                <w:kern w:val="24"/>
                <w:sz w:val="22"/>
                <w:szCs w:val="22"/>
              </w:rPr>
            </w:pPr>
            <w:r w:rsidRPr="002C0C61">
              <w:rPr>
                <w:rFonts w:eastAsia="Times New Roman"/>
                <w:kern w:val="24"/>
                <w:sz w:val="22"/>
                <w:szCs w:val="22"/>
              </w:rPr>
              <w:t>15</w:t>
            </w:r>
          </w:p>
        </w:tc>
        <w:tc>
          <w:tcPr>
            <w:tcW w:w="2700"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strike/>
                <w:kern w:val="24"/>
                <w:sz w:val="22"/>
                <w:szCs w:val="22"/>
              </w:rPr>
            </w:pPr>
            <w:r w:rsidRPr="002C0C61">
              <w:rPr>
                <w:rFonts w:eastAsia="Times New Roman"/>
                <w:kern w:val="24"/>
                <w:sz w:val="22"/>
                <w:szCs w:val="22"/>
              </w:rPr>
              <w:t>10</w:t>
            </w:r>
          </w:p>
        </w:tc>
        <w:tc>
          <w:tcPr>
            <w:tcW w:w="1444"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0</w:t>
            </w:r>
          </w:p>
        </w:tc>
      </w:tr>
      <w:tr w:rsidR="00B348F7" w:rsidRPr="00EE2DE7" w:rsidTr="00B348F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0" w:type="dxa"/>
            <w:noWrap/>
          </w:tcPr>
          <w:p w:rsidR="00B348F7" w:rsidRPr="002C0C61" w:rsidRDefault="00B348F7" w:rsidP="00B348F7">
            <w:pPr>
              <w:jc w:val="right"/>
              <w:rPr>
                <w:rFonts w:eastAsia="Times New Roman"/>
                <w:kern w:val="24"/>
                <w:sz w:val="22"/>
                <w:szCs w:val="22"/>
              </w:rPr>
            </w:pPr>
            <w:r w:rsidRPr="002C0C61">
              <w:rPr>
                <w:rFonts w:eastAsia="Times New Roman"/>
                <w:kern w:val="24"/>
                <w:sz w:val="22"/>
                <w:szCs w:val="22"/>
              </w:rPr>
              <w:t>6.</w:t>
            </w:r>
          </w:p>
        </w:tc>
        <w:tc>
          <w:tcPr>
            <w:tcW w:w="1775" w:type="dxa"/>
            <w:noWrap/>
            <w:hideMark/>
          </w:tcPr>
          <w:p w:rsidR="00B348F7" w:rsidRPr="002C0C61" w:rsidRDefault="00B348F7" w:rsidP="00B348F7">
            <w:pPr>
              <w:cnfStyle w:val="000000010000" w:firstRow="0" w:lastRow="0" w:firstColumn="0" w:lastColumn="0" w:oddVBand="0" w:evenVBand="0" w:oddHBand="0" w:evenHBand="1" w:firstRowFirstColumn="0" w:firstRowLastColumn="0" w:lastRowFirstColumn="0" w:lastRowLastColumn="0"/>
              <w:rPr>
                <w:rFonts w:eastAsia="Times New Roman"/>
                <w:kern w:val="24"/>
                <w:sz w:val="22"/>
                <w:szCs w:val="22"/>
              </w:rPr>
            </w:pPr>
            <w:r w:rsidRPr="002C0C61">
              <w:rPr>
                <w:rFonts w:eastAsia="Times New Roman"/>
                <w:kern w:val="24"/>
                <w:sz w:val="22"/>
                <w:szCs w:val="22"/>
              </w:rPr>
              <w:t>Shkurt 2018</w:t>
            </w:r>
          </w:p>
        </w:tc>
        <w:tc>
          <w:tcPr>
            <w:tcW w:w="1172"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strike/>
                <w:kern w:val="24"/>
                <w:sz w:val="22"/>
                <w:szCs w:val="22"/>
              </w:rPr>
            </w:pPr>
            <w:r w:rsidRPr="002C0C61">
              <w:rPr>
                <w:rFonts w:eastAsia="Times New Roman"/>
                <w:kern w:val="24"/>
                <w:sz w:val="22"/>
                <w:szCs w:val="22"/>
              </w:rPr>
              <w:t>17</w:t>
            </w:r>
          </w:p>
        </w:tc>
        <w:tc>
          <w:tcPr>
            <w:tcW w:w="2700"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strike/>
                <w:kern w:val="24"/>
                <w:sz w:val="22"/>
                <w:szCs w:val="22"/>
              </w:rPr>
            </w:pPr>
            <w:r w:rsidRPr="002C0C61">
              <w:rPr>
                <w:rFonts w:eastAsia="Times New Roman"/>
                <w:kern w:val="24"/>
                <w:sz w:val="22"/>
                <w:szCs w:val="22"/>
              </w:rPr>
              <w:t>10</w:t>
            </w:r>
          </w:p>
        </w:tc>
        <w:tc>
          <w:tcPr>
            <w:tcW w:w="1444"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kern w:val="24"/>
                <w:sz w:val="22"/>
                <w:szCs w:val="22"/>
              </w:rPr>
            </w:pPr>
            <w:r w:rsidRPr="002C0C61">
              <w:rPr>
                <w:rFonts w:eastAsia="Times New Roman"/>
                <w:kern w:val="24"/>
                <w:sz w:val="22"/>
                <w:szCs w:val="22"/>
              </w:rPr>
              <w:t>0</w:t>
            </w:r>
          </w:p>
        </w:tc>
      </w:tr>
      <w:tr w:rsidR="00B348F7" w:rsidRPr="00EE2DE7" w:rsidTr="00B348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0" w:type="dxa"/>
            <w:noWrap/>
          </w:tcPr>
          <w:p w:rsidR="00B348F7" w:rsidRPr="002C0C61" w:rsidRDefault="00B348F7" w:rsidP="00B348F7">
            <w:pPr>
              <w:jc w:val="right"/>
              <w:rPr>
                <w:rFonts w:eastAsia="Times New Roman"/>
                <w:kern w:val="24"/>
                <w:sz w:val="22"/>
                <w:szCs w:val="22"/>
              </w:rPr>
            </w:pPr>
            <w:r w:rsidRPr="002C0C61">
              <w:rPr>
                <w:rFonts w:eastAsia="Times New Roman"/>
                <w:kern w:val="24"/>
                <w:sz w:val="22"/>
                <w:szCs w:val="22"/>
              </w:rPr>
              <w:t>7.</w:t>
            </w:r>
          </w:p>
        </w:tc>
        <w:tc>
          <w:tcPr>
            <w:tcW w:w="1775" w:type="dxa"/>
            <w:noWrap/>
            <w:hideMark/>
          </w:tcPr>
          <w:p w:rsidR="00B348F7" w:rsidRPr="002C0C61" w:rsidRDefault="00B348F7" w:rsidP="00B348F7">
            <w:pP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Mars 2018</w:t>
            </w:r>
          </w:p>
        </w:tc>
        <w:tc>
          <w:tcPr>
            <w:tcW w:w="1172"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strike/>
                <w:kern w:val="24"/>
                <w:sz w:val="22"/>
                <w:szCs w:val="22"/>
              </w:rPr>
            </w:pPr>
            <w:r w:rsidRPr="002C0C61">
              <w:rPr>
                <w:rFonts w:eastAsia="Times New Roman"/>
                <w:kern w:val="24"/>
                <w:sz w:val="22"/>
                <w:szCs w:val="22"/>
              </w:rPr>
              <w:t>18</w:t>
            </w:r>
          </w:p>
        </w:tc>
        <w:tc>
          <w:tcPr>
            <w:tcW w:w="2700"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strike/>
                <w:kern w:val="24"/>
                <w:sz w:val="22"/>
                <w:szCs w:val="22"/>
              </w:rPr>
            </w:pPr>
            <w:r w:rsidRPr="002C0C61">
              <w:rPr>
                <w:rFonts w:eastAsia="Times New Roman"/>
                <w:kern w:val="24"/>
                <w:sz w:val="22"/>
                <w:szCs w:val="22"/>
              </w:rPr>
              <w:t>10</w:t>
            </w:r>
          </w:p>
        </w:tc>
        <w:tc>
          <w:tcPr>
            <w:tcW w:w="1444"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0</w:t>
            </w:r>
          </w:p>
        </w:tc>
      </w:tr>
      <w:tr w:rsidR="00B348F7" w:rsidRPr="00EE2DE7" w:rsidTr="00B348F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0" w:type="dxa"/>
            <w:noWrap/>
          </w:tcPr>
          <w:p w:rsidR="00B348F7" w:rsidRPr="002C0C61" w:rsidRDefault="00B348F7" w:rsidP="00B348F7">
            <w:pPr>
              <w:jc w:val="right"/>
              <w:rPr>
                <w:rFonts w:eastAsia="Times New Roman"/>
                <w:kern w:val="24"/>
                <w:sz w:val="22"/>
                <w:szCs w:val="22"/>
              </w:rPr>
            </w:pPr>
            <w:r w:rsidRPr="002C0C61">
              <w:rPr>
                <w:rFonts w:eastAsia="Times New Roman"/>
                <w:kern w:val="24"/>
                <w:sz w:val="22"/>
                <w:szCs w:val="22"/>
              </w:rPr>
              <w:t>8.</w:t>
            </w:r>
          </w:p>
        </w:tc>
        <w:tc>
          <w:tcPr>
            <w:tcW w:w="1775" w:type="dxa"/>
            <w:noWrap/>
            <w:hideMark/>
          </w:tcPr>
          <w:p w:rsidR="00B348F7" w:rsidRPr="002C0C61" w:rsidRDefault="00B348F7" w:rsidP="00B348F7">
            <w:pPr>
              <w:cnfStyle w:val="000000010000" w:firstRow="0" w:lastRow="0" w:firstColumn="0" w:lastColumn="0" w:oddVBand="0" w:evenVBand="0" w:oddHBand="0" w:evenHBand="1" w:firstRowFirstColumn="0" w:firstRowLastColumn="0" w:lastRowFirstColumn="0" w:lastRowLastColumn="0"/>
              <w:rPr>
                <w:rFonts w:eastAsia="Times New Roman"/>
                <w:kern w:val="24"/>
                <w:sz w:val="22"/>
                <w:szCs w:val="22"/>
              </w:rPr>
            </w:pPr>
            <w:r w:rsidRPr="002C0C61">
              <w:rPr>
                <w:rFonts w:eastAsia="Times New Roman"/>
                <w:kern w:val="24"/>
                <w:sz w:val="22"/>
                <w:szCs w:val="22"/>
              </w:rPr>
              <w:t>Prill 2018</w:t>
            </w:r>
          </w:p>
        </w:tc>
        <w:tc>
          <w:tcPr>
            <w:tcW w:w="1172"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strike/>
                <w:kern w:val="24"/>
                <w:sz w:val="22"/>
                <w:szCs w:val="22"/>
              </w:rPr>
            </w:pPr>
            <w:r w:rsidRPr="002C0C61">
              <w:rPr>
                <w:rFonts w:eastAsia="Times New Roman"/>
                <w:kern w:val="24"/>
                <w:sz w:val="22"/>
                <w:szCs w:val="22"/>
              </w:rPr>
              <w:t>14</w:t>
            </w:r>
          </w:p>
        </w:tc>
        <w:tc>
          <w:tcPr>
            <w:tcW w:w="2700"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strike/>
                <w:kern w:val="24"/>
                <w:sz w:val="22"/>
                <w:szCs w:val="22"/>
              </w:rPr>
            </w:pPr>
            <w:r w:rsidRPr="002C0C61">
              <w:rPr>
                <w:rFonts w:eastAsia="Times New Roman"/>
                <w:kern w:val="24"/>
                <w:sz w:val="22"/>
                <w:szCs w:val="22"/>
              </w:rPr>
              <w:t>3</w:t>
            </w:r>
          </w:p>
        </w:tc>
        <w:tc>
          <w:tcPr>
            <w:tcW w:w="1444"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kern w:val="24"/>
                <w:sz w:val="22"/>
                <w:szCs w:val="22"/>
              </w:rPr>
            </w:pPr>
            <w:r w:rsidRPr="002C0C61">
              <w:rPr>
                <w:rFonts w:eastAsia="Times New Roman"/>
                <w:kern w:val="24"/>
                <w:sz w:val="22"/>
                <w:szCs w:val="22"/>
              </w:rPr>
              <w:t>0</w:t>
            </w:r>
          </w:p>
        </w:tc>
      </w:tr>
      <w:tr w:rsidR="00B348F7" w:rsidRPr="00EE2DE7" w:rsidTr="00B348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0" w:type="dxa"/>
            <w:noWrap/>
          </w:tcPr>
          <w:p w:rsidR="00B348F7" w:rsidRPr="002C0C61" w:rsidRDefault="00B348F7" w:rsidP="00B348F7">
            <w:pPr>
              <w:jc w:val="right"/>
              <w:rPr>
                <w:rFonts w:eastAsia="Times New Roman"/>
                <w:kern w:val="24"/>
                <w:sz w:val="22"/>
                <w:szCs w:val="22"/>
              </w:rPr>
            </w:pPr>
            <w:r w:rsidRPr="002C0C61">
              <w:rPr>
                <w:rFonts w:eastAsia="Times New Roman"/>
                <w:kern w:val="24"/>
                <w:sz w:val="22"/>
                <w:szCs w:val="22"/>
              </w:rPr>
              <w:t>9.</w:t>
            </w:r>
          </w:p>
        </w:tc>
        <w:tc>
          <w:tcPr>
            <w:tcW w:w="1775" w:type="dxa"/>
            <w:noWrap/>
            <w:hideMark/>
          </w:tcPr>
          <w:p w:rsidR="00B348F7" w:rsidRPr="002C0C61" w:rsidRDefault="00B348F7" w:rsidP="00B348F7">
            <w:pP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Maj 2018</w:t>
            </w:r>
          </w:p>
        </w:tc>
        <w:tc>
          <w:tcPr>
            <w:tcW w:w="1172"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strike/>
                <w:kern w:val="24"/>
                <w:sz w:val="22"/>
                <w:szCs w:val="22"/>
              </w:rPr>
            </w:pPr>
            <w:r w:rsidRPr="002C0C61">
              <w:rPr>
                <w:rFonts w:eastAsia="Times New Roman"/>
                <w:kern w:val="24"/>
                <w:sz w:val="22"/>
                <w:szCs w:val="22"/>
              </w:rPr>
              <w:t>17</w:t>
            </w:r>
          </w:p>
        </w:tc>
        <w:tc>
          <w:tcPr>
            <w:tcW w:w="2700"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strike/>
                <w:kern w:val="24"/>
                <w:sz w:val="22"/>
                <w:szCs w:val="22"/>
              </w:rPr>
            </w:pPr>
            <w:r w:rsidRPr="002C0C61">
              <w:rPr>
                <w:rFonts w:eastAsia="Times New Roman"/>
                <w:kern w:val="24"/>
                <w:sz w:val="22"/>
                <w:szCs w:val="22"/>
              </w:rPr>
              <w:t>6</w:t>
            </w:r>
          </w:p>
        </w:tc>
        <w:tc>
          <w:tcPr>
            <w:tcW w:w="1444"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0</w:t>
            </w:r>
          </w:p>
        </w:tc>
      </w:tr>
      <w:tr w:rsidR="00B348F7" w:rsidRPr="00EE2DE7" w:rsidTr="00B348F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0" w:type="dxa"/>
            <w:noWrap/>
          </w:tcPr>
          <w:p w:rsidR="00B348F7" w:rsidRPr="002C0C61" w:rsidRDefault="00B348F7" w:rsidP="00B348F7">
            <w:pPr>
              <w:jc w:val="right"/>
              <w:rPr>
                <w:rFonts w:eastAsia="Times New Roman"/>
                <w:kern w:val="24"/>
                <w:sz w:val="22"/>
                <w:szCs w:val="22"/>
              </w:rPr>
            </w:pPr>
            <w:r w:rsidRPr="002C0C61">
              <w:rPr>
                <w:rFonts w:eastAsia="Times New Roman"/>
                <w:kern w:val="24"/>
                <w:sz w:val="22"/>
                <w:szCs w:val="22"/>
              </w:rPr>
              <w:t>10.</w:t>
            </w:r>
          </w:p>
        </w:tc>
        <w:tc>
          <w:tcPr>
            <w:tcW w:w="1775" w:type="dxa"/>
            <w:noWrap/>
            <w:hideMark/>
          </w:tcPr>
          <w:p w:rsidR="00B348F7" w:rsidRPr="002C0C61" w:rsidRDefault="00B348F7" w:rsidP="00B348F7">
            <w:pPr>
              <w:cnfStyle w:val="000000010000" w:firstRow="0" w:lastRow="0" w:firstColumn="0" w:lastColumn="0" w:oddVBand="0" w:evenVBand="0" w:oddHBand="0" w:evenHBand="1" w:firstRowFirstColumn="0" w:firstRowLastColumn="0" w:lastRowFirstColumn="0" w:lastRowLastColumn="0"/>
              <w:rPr>
                <w:rFonts w:eastAsia="Times New Roman"/>
                <w:kern w:val="24"/>
                <w:sz w:val="22"/>
                <w:szCs w:val="22"/>
              </w:rPr>
            </w:pPr>
            <w:r w:rsidRPr="002C0C61">
              <w:rPr>
                <w:rFonts w:eastAsia="Times New Roman"/>
                <w:kern w:val="24"/>
                <w:sz w:val="22"/>
                <w:szCs w:val="22"/>
              </w:rPr>
              <w:t>Qershor 2018</w:t>
            </w:r>
          </w:p>
        </w:tc>
        <w:tc>
          <w:tcPr>
            <w:tcW w:w="1172"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strike/>
                <w:kern w:val="24"/>
                <w:sz w:val="22"/>
                <w:szCs w:val="22"/>
              </w:rPr>
            </w:pPr>
            <w:r w:rsidRPr="002C0C61">
              <w:rPr>
                <w:rFonts w:eastAsia="Times New Roman"/>
                <w:kern w:val="24"/>
                <w:sz w:val="22"/>
                <w:szCs w:val="22"/>
              </w:rPr>
              <w:t>22</w:t>
            </w:r>
          </w:p>
        </w:tc>
        <w:tc>
          <w:tcPr>
            <w:tcW w:w="2700"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strike/>
                <w:kern w:val="24"/>
                <w:sz w:val="22"/>
                <w:szCs w:val="22"/>
              </w:rPr>
            </w:pPr>
            <w:r w:rsidRPr="002C0C61">
              <w:rPr>
                <w:rFonts w:eastAsia="Times New Roman"/>
                <w:kern w:val="24"/>
                <w:sz w:val="22"/>
                <w:szCs w:val="22"/>
              </w:rPr>
              <w:t>11</w:t>
            </w:r>
          </w:p>
        </w:tc>
        <w:tc>
          <w:tcPr>
            <w:tcW w:w="1444"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kern w:val="24"/>
                <w:sz w:val="22"/>
                <w:szCs w:val="22"/>
              </w:rPr>
            </w:pPr>
            <w:r w:rsidRPr="002C0C61">
              <w:rPr>
                <w:rFonts w:eastAsia="Times New Roman"/>
                <w:kern w:val="24"/>
                <w:sz w:val="22"/>
                <w:szCs w:val="22"/>
              </w:rPr>
              <w:t>0</w:t>
            </w:r>
          </w:p>
        </w:tc>
      </w:tr>
      <w:tr w:rsidR="00B348F7" w:rsidRPr="00EE2DE7" w:rsidTr="00B348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0" w:type="dxa"/>
            <w:noWrap/>
          </w:tcPr>
          <w:p w:rsidR="00B348F7" w:rsidRPr="002C0C61" w:rsidRDefault="00B348F7" w:rsidP="00B348F7">
            <w:pPr>
              <w:jc w:val="right"/>
              <w:rPr>
                <w:rFonts w:eastAsia="Times New Roman"/>
                <w:kern w:val="24"/>
                <w:sz w:val="22"/>
                <w:szCs w:val="22"/>
              </w:rPr>
            </w:pPr>
            <w:r w:rsidRPr="002C0C61">
              <w:rPr>
                <w:rFonts w:eastAsia="Times New Roman"/>
                <w:kern w:val="24"/>
                <w:sz w:val="22"/>
                <w:szCs w:val="22"/>
              </w:rPr>
              <w:t>11.</w:t>
            </w:r>
          </w:p>
        </w:tc>
        <w:tc>
          <w:tcPr>
            <w:tcW w:w="1775" w:type="dxa"/>
            <w:noWrap/>
          </w:tcPr>
          <w:p w:rsidR="00B348F7" w:rsidRPr="002C0C61" w:rsidRDefault="00B348F7" w:rsidP="00B348F7">
            <w:pP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Korrik 2018</w:t>
            </w:r>
          </w:p>
        </w:tc>
        <w:tc>
          <w:tcPr>
            <w:tcW w:w="1172" w:type="dxa"/>
            <w:noWrap/>
          </w:tcPr>
          <w:p w:rsidR="00B348F7" w:rsidRPr="002C0C61" w:rsidRDefault="00B348F7" w:rsidP="00B348F7">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 xml:space="preserve">             6</w:t>
            </w:r>
          </w:p>
        </w:tc>
        <w:tc>
          <w:tcPr>
            <w:tcW w:w="2700"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2</w:t>
            </w:r>
          </w:p>
        </w:tc>
        <w:tc>
          <w:tcPr>
            <w:tcW w:w="1444"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0</w:t>
            </w:r>
          </w:p>
        </w:tc>
      </w:tr>
      <w:tr w:rsidR="00B348F7" w:rsidRPr="00EE2DE7" w:rsidTr="00B348F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0" w:type="dxa"/>
            <w:noWrap/>
            <w:hideMark/>
          </w:tcPr>
          <w:p w:rsidR="00B348F7" w:rsidRPr="002C0C61" w:rsidRDefault="00B348F7" w:rsidP="00B348F7">
            <w:pPr>
              <w:rPr>
                <w:rFonts w:eastAsia="Times New Roman"/>
                <w:kern w:val="24"/>
                <w:sz w:val="22"/>
                <w:szCs w:val="22"/>
              </w:rPr>
            </w:pPr>
            <w:r w:rsidRPr="002C0C61">
              <w:rPr>
                <w:rFonts w:eastAsia="Times New Roman"/>
                <w:kern w:val="24"/>
                <w:sz w:val="22"/>
                <w:szCs w:val="22"/>
              </w:rPr>
              <w:t> </w:t>
            </w:r>
          </w:p>
        </w:tc>
        <w:tc>
          <w:tcPr>
            <w:tcW w:w="1775" w:type="dxa"/>
            <w:noWrap/>
            <w:hideMark/>
          </w:tcPr>
          <w:p w:rsidR="00B348F7" w:rsidRPr="002C0C61" w:rsidRDefault="00B348F7" w:rsidP="00B348F7">
            <w:pPr>
              <w:cnfStyle w:val="000000010000" w:firstRow="0" w:lastRow="0" w:firstColumn="0" w:lastColumn="0" w:oddVBand="0" w:evenVBand="0" w:oddHBand="0" w:evenHBand="1" w:firstRowFirstColumn="0" w:firstRowLastColumn="0" w:lastRowFirstColumn="0" w:lastRowLastColumn="0"/>
              <w:rPr>
                <w:rFonts w:eastAsia="Times New Roman"/>
                <w:kern w:val="24"/>
                <w:sz w:val="22"/>
                <w:szCs w:val="22"/>
              </w:rPr>
            </w:pPr>
            <w:r w:rsidRPr="002C0C61">
              <w:rPr>
                <w:rFonts w:eastAsia="Times New Roman"/>
                <w:kern w:val="24"/>
                <w:sz w:val="22"/>
                <w:szCs w:val="22"/>
              </w:rPr>
              <w:t>TOTAL</w:t>
            </w:r>
          </w:p>
        </w:tc>
        <w:tc>
          <w:tcPr>
            <w:tcW w:w="1172"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b/>
                <w:bCs/>
                <w:kern w:val="24"/>
                <w:sz w:val="22"/>
                <w:szCs w:val="22"/>
              </w:rPr>
            </w:pPr>
            <w:r w:rsidRPr="002C0C61">
              <w:rPr>
                <w:rFonts w:eastAsia="Times New Roman"/>
                <w:b/>
                <w:bCs/>
                <w:kern w:val="24"/>
                <w:sz w:val="22"/>
                <w:szCs w:val="22"/>
              </w:rPr>
              <w:t>123</w:t>
            </w:r>
          </w:p>
        </w:tc>
        <w:tc>
          <w:tcPr>
            <w:tcW w:w="2700"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b/>
                <w:bCs/>
                <w:kern w:val="24"/>
                <w:sz w:val="22"/>
                <w:szCs w:val="22"/>
              </w:rPr>
            </w:pPr>
            <w:r w:rsidRPr="002C0C61">
              <w:rPr>
                <w:rFonts w:eastAsia="Times New Roman"/>
                <w:b/>
                <w:bCs/>
                <w:kern w:val="24"/>
                <w:sz w:val="22"/>
                <w:szCs w:val="22"/>
              </w:rPr>
              <w:t>90</w:t>
            </w:r>
          </w:p>
        </w:tc>
        <w:tc>
          <w:tcPr>
            <w:tcW w:w="1444"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b/>
                <w:bCs/>
                <w:kern w:val="24"/>
                <w:sz w:val="22"/>
                <w:szCs w:val="22"/>
              </w:rPr>
            </w:pPr>
            <w:r w:rsidRPr="002C0C61">
              <w:rPr>
                <w:rFonts w:eastAsia="Times New Roman"/>
                <w:b/>
                <w:bCs/>
                <w:kern w:val="24"/>
                <w:sz w:val="22"/>
                <w:szCs w:val="22"/>
              </w:rPr>
              <w:t>3</w:t>
            </w:r>
          </w:p>
        </w:tc>
      </w:tr>
    </w:tbl>
    <w:p w:rsidR="000559B5" w:rsidRDefault="000559B5" w:rsidP="009D3274">
      <w:pPr>
        <w:spacing w:line="276" w:lineRule="auto"/>
        <w:jc w:val="both"/>
        <w:rPr>
          <w:b/>
          <w:color w:val="CC9966" w:themeColor="accent2"/>
          <w:sz w:val="32"/>
        </w:rPr>
      </w:pPr>
    </w:p>
    <w:p w:rsidR="00B348F7" w:rsidRDefault="002478E2" w:rsidP="002478E2">
      <w:pPr>
        <w:spacing w:line="276" w:lineRule="auto"/>
        <w:rPr>
          <w:rFonts w:eastAsia="Calibri"/>
          <w:i/>
          <w:kern w:val="24"/>
          <w:sz w:val="20"/>
        </w:rPr>
      </w:pPr>
      <w:r>
        <w:rPr>
          <w:b/>
          <w:color w:val="CC9966" w:themeColor="accent2"/>
        </w:rPr>
        <w:t xml:space="preserve">                                  </w:t>
      </w:r>
      <w:r w:rsidRPr="002478E2">
        <w:rPr>
          <w:rFonts w:eastAsia="Calibri"/>
          <w:i/>
          <w:kern w:val="24"/>
          <w:sz w:val="20"/>
        </w:rPr>
        <w:t xml:space="preserve"> </w:t>
      </w:r>
    </w:p>
    <w:p w:rsidR="00B348F7" w:rsidRDefault="00B348F7" w:rsidP="002478E2">
      <w:pPr>
        <w:spacing w:line="276" w:lineRule="auto"/>
        <w:rPr>
          <w:rFonts w:eastAsia="Calibri"/>
          <w:i/>
          <w:kern w:val="24"/>
          <w:sz w:val="20"/>
        </w:rPr>
      </w:pPr>
    </w:p>
    <w:p w:rsidR="00B348F7" w:rsidRDefault="00B348F7" w:rsidP="002478E2">
      <w:pPr>
        <w:spacing w:line="276" w:lineRule="auto"/>
        <w:rPr>
          <w:rFonts w:eastAsia="Calibri"/>
          <w:i/>
          <w:kern w:val="24"/>
          <w:sz w:val="20"/>
        </w:rPr>
      </w:pPr>
    </w:p>
    <w:p w:rsidR="00B348F7" w:rsidRDefault="00B348F7" w:rsidP="002478E2">
      <w:pPr>
        <w:spacing w:line="276" w:lineRule="auto"/>
        <w:rPr>
          <w:rFonts w:eastAsia="Calibri"/>
          <w:i/>
          <w:kern w:val="24"/>
          <w:sz w:val="20"/>
        </w:rPr>
      </w:pPr>
    </w:p>
    <w:p w:rsidR="00B348F7" w:rsidRDefault="00B348F7" w:rsidP="002478E2">
      <w:pPr>
        <w:spacing w:line="276" w:lineRule="auto"/>
        <w:rPr>
          <w:rFonts w:eastAsia="Calibri"/>
          <w:i/>
          <w:kern w:val="24"/>
          <w:sz w:val="20"/>
        </w:rPr>
      </w:pPr>
    </w:p>
    <w:p w:rsidR="00B348F7" w:rsidRDefault="00B348F7" w:rsidP="002478E2">
      <w:pPr>
        <w:spacing w:line="276" w:lineRule="auto"/>
        <w:rPr>
          <w:rFonts w:eastAsia="Calibri"/>
          <w:i/>
          <w:kern w:val="24"/>
          <w:sz w:val="20"/>
        </w:rPr>
      </w:pPr>
    </w:p>
    <w:p w:rsidR="00B348F7" w:rsidRDefault="00B348F7" w:rsidP="002478E2">
      <w:pPr>
        <w:spacing w:line="276" w:lineRule="auto"/>
        <w:rPr>
          <w:rFonts w:eastAsia="Calibri"/>
          <w:i/>
          <w:kern w:val="24"/>
          <w:sz w:val="20"/>
        </w:rPr>
      </w:pPr>
    </w:p>
    <w:p w:rsidR="00B348F7" w:rsidRDefault="00B348F7" w:rsidP="002478E2">
      <w:pPr>
        <w:spacing w:line="276" w:lineRule="auto"/>
        <w:rPr>
          <w:rFonts w:eastAsia="Calibri"/>
          <w:i/>
          <w:kern w:val="24"/>
          <w:sz w:val="20"/>
        </w:rPr>
      </w:pPr>
    </w:p>
    <w:p w:rsidR="00B348F7" w:rsidRDefault="00B348F7" w:rsidP="002478E2">
      <w:pPr>
        <w:spacing w:line="276" w:lineRule="auto"/>
        <w:rPr>
          <w:rFonts w:eastAsia="Calibri"/>
          <w:i/>
          <w:kern w:val="24"/>
          <w:sz w:val="20"/>
        </w:rPr>
      </w:pPr>
    </w:p>
    <w:p w:rsidR="00B348F7" w:rsidRDefault="00B348F7" w:rsidP="002478E2">
      <w:pPr>
        <w:spacing w:line="276" w:lineRule="auto"/>
        <w:rPr>
          <w:rFonts w:eastAsia="Calibri"/>
          <w:i/>
          <w:kern w:val="24"/>
          <w:sz w:val="20"/>
        </w:rPr>
      </w:pPr>
    </w:p>
    <w:p w:rsidR="00B348F7" w:rsidRDefault="00B348F7" w:rsidP="002478E2">
      <w:pPr>
        <w:spacing w:line="276" w:lineRule="auto"/>
        <w:rPr>
          <w:rFonts w:eastAsia="Calibri"/>
          <w:i/>
          <w:kern w:val="24"/>
          <w:sz w:val="20"/>
        </w:rPr>
      </w:pPr>
    </w:p>
    <w:p w:rsidR="00B348F7" w:rsidRDefault="00B348F7" w:rsidP="002478E2">
      <w:pPr>
        <w:spacing w:line="276" w:lineRule="auto"/>
        <w:rPr>
          <w:rFonts w:eastAsia="Calibri"/>
          <w:i/>
          <w:kern w:val="24"/>
          <w:sz w:val="20"/>
        </w:rPr>
      </w:pPr>
    </w:p>
    <w:p w:rsidR="00B348F7" w:rsidRDefault="00B348F7" w:rsidP="002478E2">
      <w:pPr>
        <w:spacing w:line="276" w:lineRule="auto"/>
        <w:rPr>
          <w:rFonts w:eastAsia="Calibri"/>
          <w:i/>
          <w:kern w:val="24"/>
          <w:sz w:val="20"/>
        </w:rPr>
      </w:pPr>
    </w:p>
    <w:p w:rsidR="00B348F7" w:rsidRDefault="00B348F7" w:rsidP="002478E2">
      <w:pPr>
        <w:spacing w:line="276" w:lineRule="auto"/>
        <w:rPr>
          <w:rFonts w:eastAsia="Calibri"/>
          <w:i/>
          <w:kern w:val="24"/>
          <w:sz w:val="20"/>
        </w:rPr>
      </w:pPr>
    </w:p>
    <w:p w:rsidR="00B348F7" w:rsidRDefault="00B348F7" w:rsidP="002478E2">
      <w:pPr>
        <w:spacing w:line="276" w:lineRule="auto"/>
        <w:rPr>
          <w:rFonts w:eastAsia="Calibri"/>
          <w:i/>
          <w:kern w:val="24"/>
          <w:sz w:val="20"/>
        </w:rPr>
      </w:pPr>
    </w:p>
    <w:p w:rsidR="00B348F7" w:rsidRDefault="00B348F7" w:rsidP="002478E2">
      <w:pPr>
        <w:spacing w:line="276" w:lineRule="auto"/>
        <w:rPr>
          <w:rFonts w:eastAsia="Calibri"/>
          <w:i/>
          <w:kern w:val="24"/>
          <w:sz w:val="20"/>
        </w:rPr>
      </w:pPr>
    </w:p>
    <w:p w:rsidR="002478E2" w:rsidRPr="002478E2" w:rsidRDefault="00B348F7" w:rsidP="002478E2">
      <w:pPr>
        <w:spacing w:line="276" w:lineRule="auto"/>
        <w:rPr>
          <w:rFonts w:eastAsia="Calibri"/>
          <w:b/>
          <w:kern w:val="24"/>
          <w:sz w:val="20"/>
        </w:rPr>
      </w:pPr>
      <w:r>
        <w:rPr>
          <w:rFonts w:eastAsia="Calibri"/>
          <w:i/>
          <w:kern w:val="24"/>
          <w:sz w:val="20"/>
        </w:rPr>
        <w:t xml:space="preserve">                          </w:t>
      </w:r>
      <w:r w:rsidR="002478E2" w:rsidRPr="002478E2">
        <w:rPr>
          <w:rFonts w:eastAsia="Calibri"/>
          <w:i/>
          <w:kern w:val="24"/>
          <w:sz w:val="20"/>
        </w:rPr>
        <w:t>Tabela nr. 1 Shpërndarja mujore e aktiviteteve për vitin akademik  2017-2018</w:t>
      </w:r>
    </w:p>
    <w:p w:rsidR="002478E2" w:rsidRPr="00EE2DE7" w:rsidRDefault="002478E2" w:rsidP="002478E2">
      <w:pPr>
        <w:spacing w:line="276" w:lineRule="auto"/>
        <w:rPr>
          <w:rFonts w:eastAsia="Calibri"/>
          <w:b/>
          <w:kern w:val="24"/>
        </w:rPr>
      </w:pPr>
      <w:r>
        <w:rPr>
          <w:rFonts w:eastAsia="Calibri"/>
          <w:b/>
          <w:kern w:val="24"/>
        </w:rPr>
        <w:lastRenderedPageBreak/>
        <w:t xml:space="preserve">                      </w:t>
      </w:r>
      <w:r w:rsidRPr="002478E2">
        <w:rPr>
          <w:rFonts w:eastAsia="Calibri"/>
          <w:b/>
          <w:noProof/>
          <w:kern w:val="24"/>
          <w:lang w:eastAsia="en-US"/>
        </w:rPr>
        <w:drawing>
          <wp:inline distT="0" distB="0" distL="0" distR="0">
            <wp:extent cx="5105400" cy="2533650"/>
            <wp:effectExtent l="0" t="0" r="0" b="0"/>
            <wp:docPr id="16"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2478E2" w:rsidRPr="002478E2" w:rsidRDefault="002478E2" w:rsidP="002478E2">
      <w:pPr>
        <w:spacing w:line="276" w:lineRule="auto"/>
        <w:jc w:val="center"/>
        <w:rPr>
          <w:rFonts w:eastAsia="Calibri"/>
          <w:i/>
          <w:kern w:val="24"/>
        </w:rPr>
      </w:pPr>
      <w:r w:rsidRPr="002478E2">
        <w:rPr>
          <w:rFonts w:eastAsia="Calibri"/>
          <w:i/>
          <w:kern w:val="24"/>
          <w:sz w:val="20"/>
        </w:rPr>
        <w:t>Grafiku nr. 2 Numri i trajnimeve sipas muajve për vitin akademik  2017-201</w:t>
      </w:r>
      <w:r>
        <w:rPr>
          <w:rFonts w:eastAsia="Calibri"/>
          <w:i/>
          <w:kern w:val="24"/>
          <w:sz w:val="20"/>
        </w:rPr>
        <w:t>8</w:t>
      </w:r>
    </w:p>
    <w:p w:rsidR="002478E2" w:rsidRDefault="002478E2" w:rsidP="009D3274">
      <w:pPr>
        <w:tabs>
          <w:tab w:val="left" w:pos="10260"/>
        </w:tabs>
        <w:jc w:val="both"/>
      </w:pPr>
    </w:p>
    <w:p w:rsidR="002478E2" w:rsidRPr="00EE2DE7" w:rsidRDefault="002478E2" w:rsidP="002478E2">
      <w:pPr>
        <w:spacing w:line="276" w:lineRule="auto"/>
        <w:jc w:val="both"/>
        <w:rPr>
          <w:rFonts w:eastAsia="Calibri"/>
          <w:kern w:val="24"/>
        </w:rPr>
      </w:pPr>
      <w:r w:rsidRPr="00EE2DE7">
        <w:rPr>
          <w:rFonts w:eastAsia="Calibri"/>
          <w:kern w:val="24"/>
        </w:rPr>
        <w:t>Grafiku nr. 2 paraqet në pamje vizuale numrin e trajnimeve në çdo muaj të vitit akademik. Bazuar në tabelën nr. 1 si dhe në grafikun nr. 2, vihet re një mbingarkesë e kalendarit dhe programit gjatë muajve qershor (me 33 aktivitete trajnuese në total), muajit mars (me 28 aktivitete trajnuese në total), muajit shkurt (me 27 aktivitete trajnuese në total). Nisur nga mjediset tepër të limituara të Shkollës, për një pjesë të trajnimeve është përdorur salla e gjyqit imitues; auditori i kandidatëve-magjistratë si edhe jan</w:t>
      </w:r>
      <w:r w:rsidRPr="00EE2DE7">
        <w:rPr>
          <w:rFonts w:eastAsia="MS Mincho"/>
          <w:kern w:val="24"/>
        </w:rPr>
        <w:t>ë</w:t>
      </w:r>
      <w:r w:rsidRPr="00EE2DE7">
        <w:rPr>
          <w:rFonts w:eastAsia="Calibri"/>
          <w:kern w:val="24"/>
        </w:rPr>
        <w:t xml:space="preserve"> marrë salla me qira. Në aktivitetet e mbështetura nga donatorët janë përdorur mjedise jashtë Shkollës. </w:t>
      </w:r>
    </w:p>
    <w:p w:rsidR="002478E2" w:rsidRPr="00EE2DE7" w:rsidRDefault="002478E2" w:rsidP="002478E2">
      <w:pPr>
        <w:spacing w:line="276" w:lineRule="auto"/>
        <w:ind w:firstLine="720"/>
        <w:jc w:val="both"/>
        <w:rPr>
          <w:rFonts w:eastAsia="Calibri"/>
          <w:kern w:val="24"/>
        </w:rPr>
      </w:pPr>
      <w:r w:rsidRPr="00EE2DE7">
        <w:rPr>
          <w:rFonts w:eastAsia="Calibri"/>
          <w:kern w:val="24"/>
        </w:rPr>
        <w:t xml:space="preserve">Përgjithësisht, pjesa më e madhe e temave janë ato që ndodhen në variantin e publikuar të PFV-së, por pavarësisht nga kjo, falë elasticitetit dhe hapësirave që krijon programi dhe kalendari, tema të reja u përfshinë si pjesë integrale e tij, duke iu përgjigjur kërkesave të reja dhe bashkëpunimit me partnerët ndërkombëtarë. </w:t>
      </w:r>
    </w:p>
    <w:p w:rsidR="002478E2" w:rsidRPr="00EE2DE7" w:rsidRDefault="002478E2" w:rsidP="002478E2">
      <w:pPr>
        <w:spacing w:line="276" w:lineRule="auto"/>
        <w:ind w:firstLine="720"/>
        <w:jc w:val="both"/>
        <w:rPr>
          <w:rFonts w:eastAsia="Calibri"/>
          <w:kern w:val="24"/>
        </w:rPr>
      </w:pPr>
      <w:r w:rsidRPr="006055F7">
        <w:rPr>
          <w:rFonts w:eastAsia="Calibri"/>
          <w:kern w:val="24"/>
        </w:rPr>
        <w:t>Grafiku nr. 4 synon të japë në mënyrë të detajuar në shifra dhe përqindje frekuentimin e</w:t>
      </w:r>
      <w:r w:rsidRPr="00EE2DE7">
        <w:rPr>
          <w:rFonts w:eastAsia="Calibri"/>
          <w:kern w:val="24"/>
        </w:rPr>
        <w:t xml:space="preserve"> aktiviteteve </w:t>
      </w:r>
      <w:r w:rsidRPr="005605CB">
        <w:rPr>
          <w:rFonts w:eastAsia="Calibri"/>
          <w:kern w:val="24"/>
        </w:rPr>
        <w:t>trajnuese</w:t>
      </w:r>
      <w:r w:rsidRPr="00EE2DE7">
        <w:rPr>
          <w:rFonts w:eastAsia="Calibri"/>
          <w:kern w:val="24"/>
        </w:rPr>
        <w:t xml:space="preserve"> jo vetëm të gjyqtarëve dhe prokurorëve, por edhe të kategorive të tjera, ku përfshihen: oficerë të policisë gjyqësore, kandidatë për magjistratë, juristë, punonjës të administratës gjyqësore etj. Një informacion më të detajuar në lidhje me fushën e trajnimit, temën specifike, kohën e zhvillimit të aktivitetit, numrin e pjesëmarrësve aplikues dhe të atyre që u pajisën me certifikatë, mund ta gjeni në tabelat anekse që i janë bashkëngjitur këtij raporti.</w:t>
      </w:r>
    </w:p>
    <w:p w:rsidR="002478E2" w:rsidRPr="00EE2DE7" w:rsidRDefault="002478E2" w:rsidP="002478E2">
      <w:pPr>
        <w:spacing w:line="276" w:lineRule="auto"/>
        <w:ind w:firstLine="720"/>
        <w:jc w:val="both"/>
        <w:rPr>
          <w:rFonts w:eastAsia="Calibri"/>
          <w:kern w:val="24"/>
        </w:rPr>
      </w:pPr>
      <w:r w:rsidRPr="00EE2DE7">
        <w:rPr>
          <w:rFonts w:eastAsia="Calibri"/>
          <w:kern w:val="24"/>
        </w:rPr>
        <w:t xml:space="preserve">Programi në përmbajtjen e vet përfshin një tematikë shumë të gjerë dhe të larmishme në pjesën më të madhe të fushave të së drejtës dhe të problematikës praktike, por edhe të proceseve të reformës në sistemin e drejtësisë dhe të proceseve të harmonizimit e të përqasjes, të cilat kërkojnë një reagim në kohë të gjyqtarëve dhe prokurorëve me standardet e BE-së. Ky program i larmishëm tematik nxiti pjesëmarrjen e një numri të konsiderueshëm të gjyqtarëve dhe prokurorëve. Grafikët e paraqitur demonstrojnë në mënyrë statistikore frekuentimin e sesioneve trajnuese të vitit akademik 2017-2018. </w:t>
      </w:r>
    </w:p>
    <w:p w:rsidR="00334CDE" w:rsidRDefault="002478E2" w:rsidP="00334CDE">
      <w:pPr>
        <w:spacing w:line="276" w:lineRule="auto"/>
        <w:ind w:firstLine="720"/>
        <w:jc w:val="both"/>
        <w:rPr>
          <w:rFonts w:eastAsia="Calibri"/>
          <w:kern w:val="24"/>
        </w:rPr>
      </w:pPr>
      <w:r w:rsidRPr="00EE2DE7">
        <w:rPr>
          <w:rFonts w:eastAsia="Calibri"/>
          <w:kern w:val="24"/>
        </w:rPr>
        <w:t xml:space="preserve">Aktiviteti trajnues dhe cilësia e tij janë të lidhura ngushtësisht me cilësinë e ekspertizës. Sa i përket grupit të trajnuesve dhe pozicionit profesional të tyre, për këtë na ndihmon </w:t>
      </w:r>
      <w:r w:rsidRPr="005372E3">
        <w:rPr>
          <w:rFonts w:eastAsia="Calibri"/>
          <w:kern w:val="24"/>
        </w:rPr>
        <w:t>grafiku nr.3.</w:t>
      </w:r>
      <w:r w:rsidRPr="00EE2DE7">
        <w:rPr>
          <w:rFonts w:eastAsia="Calibri"/>
          <w:kern w:val="24"/>
        </w:rPr>
        <w:t xml:space="preserve"> Shkolla e Magjistraturës dhe Këshilli Drejtues ka bërë shumë kujdes që të përzgjedhë në cilësinë e ekspertit</w:t>
      </w:r>
      <w:r w:rsidR="009E7CB9">
        <w:rPr>
          <w:rFonts w:eastAsia="Calibri"/>
          <w:kern w:val="24"/>
        </w:rPr>
        <w:t xml:space="preserve"> </w:t>
      </w:r>
      <w:r w:rsidRPr="00EE2DE7">
        <w:rPr>
          <w:rFonts w:eastAsia="Calibri"/>
          <w:kern w:val="24"/>
        </w:rPr>
        <w:t>profesionistët më në zë të fushave të caktuara, por edhe të pajisur me aftësi pedagogjike që</w:t>
      </w:r>
      <w:r w:rsidR="009E7CB9">
        <w:rPr>
          <w:rFonts w:eastAsia="Calibri"/>
          <w:kern w:val="24"/>
        </w:rPr>
        <w:t xml:space="preserve"> kanë të </w:t>
      </w:r>
      <w:r w:rsidR="009E7CB9" w:rsidRPr="00EE2DE7">
        <w:rPr>
          <w:rFonts w:eastAsia="Calibri"/>
          <w:kern w:val="24"/>
        </w:rPr>
        <w:t>bëjnë me formimin profesional.</w:t>
      </w:r>
    </w:p>
    <w:p w:rsidR="00832378" w:rsidRDefault="009E7CB9" w:rsidP="00334CDE">
      <w:pPr>
        <w:spacing w:line="276" w:lineRule="auto"/>
        <w:ind w:firstLine="720"/>
        <w:jc w:val="both"/>
        <w:rPr>
          <w:rFonts w:eastAsia="Calibri"/>
          <w:kern w:val="24"/>
        </w:rPr>
      </w:pPr>
      <w:r w:rsidRPr="009E7CB9">
        <w:rPr>
          <w:b/>
          <w:noProof/>
          <w:color w:val="CC9966" w:themeColor="accent2"/>
          <w:sz w:val="32"/>
          <w:lang w:eastAsia="en-US"/>
        </w:rPr>
        <w:lastRenderedPageBreak/>
        <w:drawing>
          <wp:anchor distT="0" distB="0" distL="114300" distR="114300" simplePos="0" relativeHeight="251733504" behindDoc="0" locked="0" layoutInCell="1" allowOverlap="1">
            <wp:simplePos x="651510" y="830580"/>
            <wp:positionH relativeFrom="margin">
              <wp:align>left</wp:align>
            </wp:positionH>
            <wp:positionV relativeFrom="margin">
              <wp:align>top</wp:align>
            </wp:positionV>
            <wp:extent cx="4118610" cy="2781300"/>
            <wp:effectExtent l="19050" t="0" r="15240" b="0"/>
            <wp:wrapSquare wrapText="bothSides"/>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p>
    <w:p w:rsidR="009E7CB9" w:rsidRPr="00334CDE" w:rsidRDefault="009E7CB9" w:rsidP="00334CDE">
      <w:pPr>
        <w:spacing w:after="200" w:line="276" w:lineRule="auto"/>
        <w:jc w:val="center"/>
        <w:rPr>
          <w:rFonts w:ascii="Bookman Old Style" w:eastAsia="Calibri" w:hAnsi="Bookman Old Style" w:cs="Calibri"/>
          <w:kern w:val="24"/>
          <w:sz w:val="20"/>
          <w:szCs w:val="23"/>
        </w:rPr>
      </w:pPr>
      <w:r w:rsidRPr="005372E3">
        <w:rPr>
          <w:rFonts w:eastAsia="Calibri"/>
          <w:i/>
          <w:kern w:val="24"/>
          <w:sz w:val="20"/>
        </w:rPr>
        <w:t>Grafiku nr.</w:t>
      </w:r>
      <w:r w:rsidRPr="00334CDE">
        <w:rPr>
          <w:rFonts w:eastAsia="Calibri"/>
          <w:i/>
          <w:kern w:val="24"/>
          <w:sz w:val="20"/>
        </w:rPr>
        <w:t>3  Ekspertët shqiptarë sipas kategorive, viti akademik 2017-2018.</w:t>
      </w:r>
    </w:p>
    <w:p w:rsidR="00334CDE" w:rsidRPr="00EE2DE7" w:rsidRDefault="00334CDE" w:rsidP="00334CDE">
      <w:pPr>
        <w:spacing w:line="276" w:lineRule="auto"/>
        <w:jc w:val="both"/>
        <w:rPr>
          <w:rFonts w:eastAsia="Times New Roman"/>
          <w:kern w:val="24"/>
        </w:rPr>
      </w:pPr>
      <w:r w:rsidRPr="00EE2DE7">
        <w:rPr>
          <w:rFonts w:eastAsia="Calibri"/>
          <w:kern w:val="24"/>
        </w:rPr>
        <w:t xml:space="preserve">Kjo është arsyeja që asnjë kandidat-ekspert nuk caktohet pa marrë mendimin e Këshillit Drejtues. Në vijimësi, Shkolla ka bërë kujdes që të përfshijë në listë ekspertë të rinj krahas atyre me përvojë. </w:t>
      </w:r>
      <w:r w:rsidRPr="00EE2DE7">
        <w:rPr>
          <w:rFonts w:eastAsia="Times New Roman"/>
          <w:kern w:val="24"/>
        </w:rPr>
        <w:t xml:space="preserve">Gjithashtu, një vëmendje dhe kujdes i veçantë i kushtohet edhe përzgjedhjes dhe caktimit të lehtësuesve dhe moderatorëve. Pra, në procesin e Formimit Vazhdues aktivizohen edhe moderatorët, që kujdesen për mbarëvajtjen e aktivitetit trajnues në tërësi, organizimin dhe drejtimin e diskutimeve dhe debateve në seminaret e Trajnimit Vazhdues, interaktivitetin e pjesëmarrësve me njëri-tjetrin dhe të tyre me trajnuesit. Gjithashtu, në aktivitetet e Formimit Vazhdues aktivizohen edhe lehtësuesit, të cilët mbështesin ekspertët për përgatitjen e rasteve praktike dhe të pistave të diskutimit. </w:t>
      </w:r>
    </w:p>
    <w:p w:rsidR="00334CDE" w:rsidRDefault="00334CDE" w:rsidP="00334CDE">
      <w:pPr>
        <w:spacing w:line="276" w:lineRule="auto"/>
        <w:ind w:firstLine="720"/>
        <w:jc w:val="both"/>
        <w:rPr>
          <w:rFonts w:eastAsia="Calibri"/>
          <w:kern w:val="24"/>
        </w:rPr>
      </w:pPr>
      <w:r w:rsidRPr="00EE2DE7">
        <w:rPr>
          <w:rFonts w:eastAsia="Calibri"/>
          <w:kern w:val="24"/>
        </w:rPr>
        <w:t xml:space="preserve">Ndërkohë, i njëjti kujdes është kushtuar edhe në rastin e ekspertizës së huaj, e cila ofrohet dhe mbështetet nga partnerët ndërkombëtarë. Nisur nga kujdesi i vazhdueshëm për të pasur sa më shumë profesionistë të zbatimit të së drejtës dhe dhënies së drejtësisë, vihet re që në grafikun e të dhënave lidhur me ekspertizën këta zënë edhe vendin kryesor. Kështu, rreth </w:t>
      </w:r>
      <w:r w:rsidRPr="00EE2DE7">
        <w:rPr>
          <w:rFonts w:eastAsia="Calibri"/>
          <w:b/>
          <w:kern w:val="24"/>
        </w:rPr>
        <w:t>65% vijnë nga gjyqësori dhe prokuroria</w:t>
      </w:r>
      <w:r w:rsidRPr="00EE2DE7">
        <w:rPr>
          <w:rFonts w:eastAsia="Calibri"/>
          <w:kern w:val="24"/>
        </w:rPr>
        <w:t>. Pjesa tjetër janë avokatë, pedagogë etj. Gjithnjë ka një kombinim të ekspertëve duke qasur standardet teorike me ato praktike.</w:t>
      </w:r>
    </w:p>
    <w:p w:rsidR="00334CDE" w:rsidRDefault="00334CDE" w:rsidP="00334CDE">
      <w:pPr>
        <w:spacing w:line="276" w:lineRule="auto"/>
        <w:ind w:firstLine="720"/>
        <w:jc w:val="both"/>
        <w:rPr>
          <w:rFonts w:eastAsia="Calibri"/>
          <w:kern w:val="24"/>
        </w:rPr>
      </w:pPr>
    </w:p>
    <w:p w:rsidR="00A34172" w:rsidRDefault="00334CDE" w:rsidP="009D3274">
      <w:pPr>
        <w:spacing w:line="276" w:lineRule="auto"/>
        <w:jc w:val="both"/>
        <w:rPr>
          <w:b/>
          <w:color w:val="CC9966" w:themeColor="accent2"/>
          <w:sz w:val="32"/>
        </w:rPr>
      </w:pPr>
      <w:r w:rsidRPr="00334CDE">
        <w:rPr>
          <w:b/>
          <w:color w:val="CC9966" w:themeColor="accent2"/>
          <w:sz w:val="32"/>
        </w:rPr>
        <w:t xml:space="preserve">2.3 Organizimi i sesioneve trajnuese dhe rezultatet </w:t>
      </w:r>
    </w:p>
    <w:p w:rsidR="000559B5" w:rsidRDefault="00A34172" w:rsidP="000559B5">
      <w:pPr>
        <w:spacing w:line="276" w:lineRule="auto"/>
        <w:ind w:firstLine="720"/>
        <w:jc w:val="both"/>
        <w:rPr>
          <w:rFonts w:eastAsia="Calibri"/>
          <w:kern w:val="24"/>
        </w:rPr>
      </w:pPr>
      <w:r w:rsidRPr="00A34172">
        <w:rPr>
          <w:b/>
          <w:color w:val="CC9966" w:themeColor="accent2"/>
          <w:sz w:val="28"/>
        </w:rPr>
        <w:t>2.3.1. Auditori</w:t>
      </w:r>
      <w:r w:rsidR="000559B5" w:rsidRPr="000559B5">
        <w:rPr>
          <w:rFonts w:eastAsia="Calibri"/>
          <w:kern w:val="24"/>
        </w:rPr>
        <w:t xml:space="preserve"> </w:t>
      </w:r>
    </w:p>
    <w:p w:rsidR="000559B5" w:rsidRDefault="000559B5" w:rsidP="000559B5">
      <w:pPr>
        <w:spacing w:line="276" w:lineRule="auto"/>
        <w:ind w:firstLine="720"/>
        <w:jc w:val="both"/>
        <w:rPr>
          <w:rFonts w:eastAsia="Calibri"/>
          <w:kern w:val="24"/>
        </w:rPr>
      </w:pPr>
    </w:p>
    <w:p w:rsidR="000559B5" w:rsidRPr="00EE2DE7" w:rsidRDefault="000559B5" w:rsidP="000559B5">
      <w:pPr>
        <w:spacing w:line="276" w:lineRule="auto"/>
        <w:jc w:val="both"/>
        <w:rPr>
          <w:rFonts w:eastAsia="Calibri"/>
          <w:kern w:val="24"/>
        </w:rPr>
      </w:pPr>
      <w:r w:rsidRPr="00EE2DE7">
        <w:rPr>
          <w:rFonts w:eastAsia="Calibri"/>
          <w:kern w:val="24"/>
        </w:rPr>
        <w:t>Për efekt të këtij raportimi të përvitshëm, disa nga informacionet janë thuajse të njëjta. Kjo sepse disa standarde nuk janë risi dhe për më tepër funksionojnë siç duhet, e disa elemente edhe përmirësohen në vijimësi. Për efekte informimi po e paraqesim edhe në vijim:</w:t>
      </w:r>
    </w:p>
    <w:p w:rsidR="000559B5" w:rsidRPr="00EE2DE7" w:rsidRDefault="000559B5" w:rsidP="005C2687">
      <w:pPr>
        <w:numPr>
          <w:ilvl w:val="0"/>
          <w:numId w:val="31"/>
        </w:numPr>
        <w:spacing w:line="276" w:lineRule="auto"/>
        <w:ind w:left="360"/>
        <w:jc w:val="both"/>
        <w:rPr>
          <w:rFonts w:eastAsia="Calibri"/>
          <w:kern w:val="24"/>
        </w:rPr>
      </w:pPr>
      <w:r w:rsidRPr="00EE2DE7">
        <w:rPr>
          <w:rFonts w:eastAsia="Calibri"/>
          <w:kern w:val="24"/>
        </w:rPr>
        <w:t>Tematika e kalendarit vjetor i dërgohet çdo kryetari gjykate dhe prokurorie në nivel rrethi dhe apeli. Bashkë me të, atyre ju bëhet një rikujtesë e detyrimeve që burojnë nga ligji nr. 115/2016, “</w:t>
      </w:r>
      <w:r w:rsidRPr="00EE2DE7">
        <w:rPr>
          <w:rFonts w:eastAsia="Calibri"/>
          <w:i/>
          <w:kern w:val="24"/>
        </w:rPr>
        <w:t>Për organet e qeverisjes së sistemit të drejtësisë</w:t>
      </w:r>
      <w:r w:rsidRPr="00EE2DE7">
        <w:rPr>
          <w:rFonts w:eastAsia="Calibri"/>
          <w:kern w:val="24"/>
        </w:rPr>
        <w:t>”, si edhe ligjit nr. 96/2016, “</w:t>
      </w:r>
      <w:r w:rsidRPr="00EE2DE7">
        <w:rPr>
          <w:rFonts w:eastAsia="Calibri"/>
          <w:i/>
          <w:kern w:val="24"/>
        </w:rPr>
        <w:t>Për statusin e gjyqtarëve dhe prokurorëve në Republikën e Shqipërisë</w:t>
      </w:r>
      <w:r w:rsidRPr="00EE2DE7">
        <w:rPr>
          <w:rFonts w:eastAsia="Calibri"/>
          <w:kern w:val="24"/>
        </w:rPr>
        <w:t xml:space="preserve">” lidhur me përfshirjen e tyre institucionale në procesin e përzgjedhjes së pjesëmarrësve për PFV-në. </w:t>
      </w:r>
    </w:p>
    <w:p w:rsidR="000559B5" w:rsidRPr="00EE2DE7" w:rsidRDefault="000559B5" w:rsidP="005C2687">
      <w:pPr>
        <w:numPr>
          <w:ilvl w:val="0"/>
          <w:numId w:val="31"/>
        </w:numPr>
        <w:spacing w:line="276" w:lineRule="auto"/>
        <w:ind w:left="360"/>
        <w:jc w:val="both"/>
        <w:rPr>
          <w:rFonts w:eastAsia="Calibri"/>
          <w:kern w:val="24"/>
        </w:rPr>
      </w:pPr>
      <w:r w:rsidRPr="00EE2DE7">
        <w:rPr>
          <w:rFonts w:eastAsia="Calibri"/>
          <w:kern w:val="24"/>
        </w:rPr>
        <w:t>Shoqërimi i sa më sipër me një formular aplikimi për çdo gjyqtar e prokuror të gjykatave dhe prokurorive të rretheve dhe të apeleve. Edhe ky formular me rikujtesën, që të bëjnë kujdes të mos përzgjedhin të njëjtin trajnim dhe të mbajnë parasysh detyrimin e nenit 5 të ligjit nr. 96/2016 lidhur me ditët e trajnimit në vit dhe në 5 vjet.</w:t>
      </w:r>
    </w:p>
    <w:p w:rsidR="000559B5" w:rsidRPr="00EE2DE7" w:rsidRDefault="000559B5" w:rsidP="005C2687">
      <w:pPr>
        <w:numPr>
          <w:ilvl w:val="0"/>
          <w:numId w:val="31"/>
        </w:numPr>
        <w:spacing w:line="276" w:lineRule="auto"/>
        <w:ind w:left="360"/>
        <w:jc w:val="both"/>
        <w:rPr>
          <w:rFonts w:eastAsia="Calibri"/>
          <w:kern w:val="24"/>
        </w:rPr>
      </w:pPr>
      <w:r w:rsidRPr="00EE2DE7">
        <w:rPr>
          <w:rFonts w:eastAsia="Calibri"/>
          <w:kern w:val="24"/>
        </w:rPr>
        <w:lastRenderedPageBreak/>
        <w:t>Formularët me përgjigjet e kurseve të përzgjedhura administrohen nga Shkolla, konkretisht nga Sektori i Formimit Vazhdues dhe hartohen listat e pjesëmarrësve për çdo kurs trajnimi.</w:t>
      </w:r>
    </w:p>
    <w:p w:rsidR="000559B5" w:rsidRPr="00EE2DE7" w:rsidRDefault="000559B5" w:rsidP="005C2687">
      <w:pPr>
        <w:numPr>
          <w:ilvl w:val="0"/>
          <w:numId w:val="31"/>
        </w:numPr>
        <w:spacing w:line="276" w:lineRule="auto"/>
        <w:ind w:left="360"/>
        <w:jc w:val="both"/>
        <w:rPr>
          <w:rFonts w:eastAsia="Calibri"/>
          <w:kern w:val="24"/>
        </w:rPr>
      </w:pPr>
      <w:r w:rsidRPr="00EE2DE7">
        <w:rPr>
          <w:rFonts w:eastAsia="Calibri"/>
          <w:kern w:val="24"/>
        </w:rPr>
        <w:t>Përcaktimi i numrit të sesioneve në varësi të numrit të aplikuesve.</w:t>
      </w:r>
    </w:p>
    <w:p w:rsidR="000559B5" w:rsidRPr="00EE2DE7" w:rsidRDefault="000559B5" w:rsidP="005C2687">
      <w:pPr>
        <w:numPr>
          <w:ilvl w:val="0"/>
          <w:numId w:val="31"/>
        </w:numPr>
        <w:spacing w:line="276" w:lineRule="auto"/>
        <w:ind w:left="360"/>
        <w:jc w:val="both"/>
        <w:rPr>
          <w:rFonts w:eastAsia="Calibri"/>
          <w:kern w:val="24"/>
        </w:rPr>
      </w:pPr>
      <w:r w:rsidRPr="00EE2DE7">
        <w:rPr>
          <w:rFonts w:eastAsia="Calibri"/>
          <w:kern w:val="24"/>
        </w:rPr>
        <w:t>Dërgimi i listave për çdo sesion për miratim nga KLGJ-ja për gjyqtarët dhe KLP-ja për prokurorët dhe miratimi i tyre.</w:t>
      </w:r>
    </w:p>
    <w:p w:rsidR="000559B5" w:rsidRPr="00EE2DE7" w:rsidRDefault="000559B5" w:rsidP="000559B5">
      <w:pPr>
        <w:spacing w:line="276" w:lineRule="auto"/>
        <w:ind w:firstLine="720"/>
        <w:jc w:val="both"/>
        <w:rPr>
          <w:rFonts w:eastAsia="Calibri"/>
          <w:kern w:val="24"/>
        </w:rPr>
      </w:pPr>
      <w:r w:rsidRPr="00EE2DE7">
        <w:rPr>
          <w:rFonts w:eastAsia="Calibri"/>
          <w:kern w:val="24"/>
        </w:rPr>
        <w:t>N</w:t>
      </w:r>
      <w:r w:rsidRPr="00EE2DE7">
        <w:rPr>
          <w:rFonts w:eastAsia="MS Mincho"/>
          <w:kern w:val="24"/>
        </w:rPr>
        <w:t>ë shumicën e rasteve</w:t>
      </w:r>
      <w:r w:rsidRPr="00EE2DE7">
        <w:rPr>
          <w:rFonts w:eastAsia="Calibri"/>
          <w:kern w:val="24"/>
        </w:rPr>
        <w:t xml:space="preserve"> aktivitetet trajnuese zhvillohen pranë mjediseve të Shkollës së Magjistraturës, por ka raste që është i domosdosh</w:t>
      </w:r>
      <w:r w:rsidRPr="00EE2DE7">
        <w:rPr>
          <w:rFonts w:eastAsia="MS Mincho"/>
          <w:kern w:val="24"/>
        </w:rPr>
        <w:t>ëm</w:t>
      </w:r>
      <w:r w:rsidRPr="00EE2DE7">
        <w:rPr>
          <w:rFonts w:eastAsia="Calibri"/>
          <w:kern w:val="24"/>
        </w:rPr>
        <w:t xml:space="preserve"> organizimi i sesioneve trajnuese jashtë saj, në rastet kur: a) në të njëjtën ditë ka më tepër se dy aktivitete trajnuese; b) për shkak të përbërjes së auditorit, lind nevoja e zhvillimit të aktiviteteve trajnuese rajonale; c) mbështeten financiarisht nga donatorët. </w:t>
      </w:r>
    </w:p>
    <w:p w:rsidR="000559B5" w:rsidRPr="00EE2DE7" w:rsidRDefault="000559B5" w:rsidP="000559B5">
      <w:pPr>
        <w:spacing w:line="276" w:lineRule="auto"/>
        <w:ind w:firstLine="720"/>
        <w:jc w:val="both"/>
        <w:rPr>
          <w:rFonts w:eastAsia="Calibri"/>
          <w:kern w:val="24"/>
        </w:rPr>
      </w:pPr>
      <w:r w:rsidRPr="00EE2DE7">
        <w:rPr>
          <w:rFonts w:eastAsia="Calibri"/>
          <w:kern w:val="24"/>
        </w:rPr>
        <w:t xml:space="preserve">Në këtë mënyrë, çdo aktivitet trajnues kërkon një bashkëpunim të ngushtë me çdo gjykatë dhe prokurori, përmes kryetarëve/drejtuesve të tyre. Ndërkohë, vetë Shkolla është në gjendje të vlerësojë nevojat e sistemit në tërësi, sipas veçorive të fluksit të çështjeve në çdo gjykatë dhe prokurori, nisur nga specifikat edhe rajonale. </w:t>
      </w:r>
    </w:p>
    <w:p w:rsidR="000559B5" w:rsidRPr="00EE2DE7" w:rsidRDefault="000559B5" w:rsidP="000559B5">
      <w:pPr>
        <w:spacing w:line="276" w:lineRule="auto"/>
        <w:ind w:firstLine="720"/>
        <w:jc w:val="both"/>
        <w:rPr>
          <w:rFonts w:eastAsia="Calibri"/>
          <w:kern w:val="24"/>
        </w:rPr>
      </w:pPr>
      <w:r w:rsidRPr="00EE2DE7">
        <w:rPr>
          <w:rFonts w:eastAsia="Calibri"/>
          <w:kern w:val="24"/>
        </w:rPr>
        <w:t>Në bazë të ligjit nr. 115/2016, “</w:t>
      </w:r>
      <w:r w:rsidRPr="00EE2DE7">
        <w:rPr>
          <w:rFonts w:eastAsia="Calibri"/>
          <w:i/>
          <w:kern w:val="24"/>
        </w:rPr>
        <w:t>Për organet e qeverisjes së sistemit të drejtësisë</w:t>
      </w:r>
      <w:r w:rsidRPr="00EE2DE7">
        <w:rPr>
          <w:rFonts w:eastAsia="Calibri"/>
          <w:kern w:val="24"/>
        </w:rPr>
        <w:t>” dhe ligjit nr. 96/2016, “</w:t>
      </w:r>
      <w:r w:rsidRPr="00EE2DE7">
        <w:rPr>
          <w:rFonts w:eastAsia="Calibri"/>
          <w:i/>
          <w:kern w:val="24"/>
        </w:rPr>
        <w:t>Për statusin e gjyqtarëve dhe prokurorëve në Republikën e Shqipërisë</w:t>
      </w:r>
      <w:r w:rsidRPr="00EE2DE7">
        <w:rPr>
          <w:rFonts w:eastAsia="Calibri"/>
          <w:kern w:val="24"/>
        </w:rPr>
        <w:t>”, kryetarët e gjykatave dhe drejtuesit e prokurorive, ashtu sikundër edhe Këshilli i Lartë Gjyqësor dhe Këshilli i Lartë i Prokurorisë, kanë detyrimin ligjor për të shprehur mendimin e tyre në lidhje me Programin e Formimit Vazhdues. Dhënia e një mendimi të tillë do të ndikonte pozitivisht në tërë procesin e organizimit të sesioneve trajnuese, duke shmangur zvarritjet, shpenzimet dhe duke rritur efektivitetin e këtyre trajnimeve. Kryetarët e gjykatave dhe drejtuesit e prokurorive, duke qenë në kontakt të vazhdueshëm me problematikat e përditshme të drejtësisë (gjyqësor/prokurori), do të krijonin një “urë lidhëse” me Shkollën e Magjistraturës, në funksion të rritjes së efektivitetit të formimit vazhdues të gjyqtarëve dhe të prokurorëve. Në këtë vështrim, Shkolla do të jetë në gjendje të vlerësojë drejt nevojat për trajnim të sistemit në tërësi, duke u fokusuar në ato çështje, që paraqesin problematikat më komplekse në praktikën gjyqësore. Mund të themi, që ky bashkëpunim, ka nevojë të përmirësohet. Në disa takime rajonale me gjykatat e rrethit dhe t</w:t>
      </w:r>
      <w:r w:rsidRPr="00EE2DE7">
        <w:rPr>
          <w:rFonts w:eastAsia="MS Mincho"/>
          <w:kern w:val="24"/>
        </w:rPr>
        <w:t xml:space="preserve">ë </w:t>
      </w:r>
      <w:r w:rsidRPr="00EE2DE7">
        <w:rPr>
          <w:rFonts w:eastAsia="Calibri"/>
          <w:kern w:val="24"/>
        </w:rPr>
        <w:t xml:space="preserve">apelit të zhvilluara gjatë muajit dhjetor, u vlerësua se kjo mënyrë komunikimi është e nevojshme dhe kapërcen informacionet e marra mbi nevojat vetëm përmes mënyrës virtuale, e cila është e rëndësishme të programohet dhe të ketë mbështetjen e duhur financiare. Është shumë e rëndësishme që të gjithë ta ndiejnë trajnimin si një të drejtë, por edhe detyrim, ku secili duhet të japë kontributin e vet. </w:t>
      </w:r>
    </w:p>
    <w:p w:rsidR="000559B5" w:rsidRPr="00EE2DE7" w:rsidRDefault="000559B5" w:rsidP="000559B5">
      <w:pPr>
        <w:spacing w:line="276" w:lineRule="auto"/>
        <w:ind w:firstLine="720"/>
        <w:jc w:val="both"/>
        <w:rPr>
          <w:rFonts w:eastAsia="Calibri"/>
          <w:kern w:val="24"/>
        </w:rPr>
      </w:pPr>
      <w:r w:rsidRPr="00EE2DE7">
        <w:rPr>
          <w:rFonts w:eastAsia="Calibri"/>
          <w:kern w:val="24"/>
        </w:rPr>
        <w:t>Programi, konsiston në ballafaqimin dhe shpërndarjen e eksperiencave sipas niveleve dhe perceptimeve lokale dhe rajonale të ndryshme. Shkolla ka bërë kujdes të veçantë në përfshirjen në listat e aplikuesve të një lloj shpërndarjeje edhe gjeografike të pjesëmarrësve. Herë pas here, organizimi i sesioneve me pjesëmarrës mbi bazë apelesh është bërë i mundshëm. Ndërkohë, ka sesione, të cilat kanë qenë të kombinuara në pjesëmarrje si edhe sesione të modeluara vetëm për gjyqtarë ose vetëm për prokurorë.</w:t>
      </w:r>
    </w:p>
    <w:p w:rsidR="000559B5" w:rsidRPr="00EE2DE7" w:rsidRDefault="000559B5" w:rsidP="000559B5">
      <w:pPr>
        <w:spacing w:line="276" w:lineRule="auto"/>
        <w:ind w:firstLine="720"/>
        <w:jc w:val="both"/>
        <w:rPr>
          <w:rFonts w:eastAsia="Calibri"/>
          <w:kern w:val="24"/>
        </w:rPr>
      </w:pPr>
      <w:r w:rsidRPr="00EE2DE7">
        <w:rPr>
          <w:rFonts w:eastAsia="Calibri"/>
          <w:kern w:val="24"/>
        </w:rPr>
        <w:t xml:space="preserve">Shkolla e Magjistraturës ka bërë kujdes që të pasurojë auditorin e trajnimeve me aktorë të tjerë të sistemit të drejtësisë, si: inspektorë të KLD-së, oficerë të policisë gjyqësore etj., por duke pasur në qendër të vëmendjes grupin për të cilin ka detyrë të hartojë programe trajnuese. </w:t>
      </w:r>
    </w:p>
    <w:p w:rsidR="00A34172" w:rsidRDefault="00A34172" w:rsidP="00A34172">
      <w:pPr>
        <w:spacing w:line="276" w:lineRule="auto"/>
        <w:contextualSpacing/>
        <w:rPr>
          <w:b/>
          <w:color w:val="CC9966" w:themeColor="accent2"/>
          <w:sz w:val="28"/>
        </w:rPr>
      </w:pPr>
    </w:p>
    <w:p w:rsidR="000559B5" w:rsidRPr="00EE2DE7" w:rsidRDefault="000559B5" w:rsidP="000559B5">
      <w:pPr>
        <w:spacing w:line="276" w:lineRule="auto"/>
        <w:jc w:val="both"/>
        <w:rPr>
          <w:rFonts w:ascii="Calibri" w:eastAsia="Calibri" w:hAnsi="Calibri"/>
          <w:i/>
          <w:kern w:val="24"/>
          <w:sz w:val="23"/>
          <w:szCs w:val="23"/>
        </w:rPr>
      </w:pPr>
    </w:p>
    <w:p w:rsidR="000559B5" w:rsidRPr="000559B5" w:rsidRDefault="000559B5" w:rsidP="000559B5">
      <w:pPr>
        <w:spacing w:line="276" w:lineRule="auto"/>
        <w:ind w:firstLine="720"/>
        <w:jc w:val="both"/>
        <w:rPr>
          <w:b/>
          <w:color w:val="CC9966" w:themeColor="accent2"/>
          <w:sz w:val="28"/>
        </w:rPr>
      </w:pPr>
      <w:r w:rsidRPr="000559B5">
        <w:rPr>
          <w:b/>
          <w:color w:val="CC9966" w:themeColor="accent2"/>
          <w:sz w:val="28"/>
        </w:rPr>
        <w:lastRenderedPageBreak/>
        <w:t>2.3.2 Pajisja me certifikatë dhe frekuentimi</w:t>
      </w:r>
    </w:p>
    <w:p w:rsidR="000559B5" w:rsidRDefault="000559B5" w:rsidP="00A34172">
      <w:pPr>
        <w:spacing w:line="276" w:lineRule="auto"/>
        <w:contextualSpacing/>
        <w:rPr>
          <w:b/>
          <w:color w:val="CC9966" w:themeColor="accent2"/>
          <w:sz w:val="28"/>
        </w:rPr>
      </w:pPr>
    </w:p>
    <w:p w:rsidR="000559B5" w:rsidRDefault="000559B5" w:rsidP="000559B5">
      <w:pPr>
        <w:spacing w:line="276" w:lineRule="auto"/>
        <w:ind w:firstLine="720"/>
        <w:jc w:val="both"/>
        <w:rPr>
          <w:rFonts w:eastAsia="Calibri"/>
          <w:kern w:val="24"/>
        </w:rPr>
      </w:pPr>
      <w:r w:rsidRPr="00EE2DE7">
        <w:rPr>
          <w:rFonts w:eastAsia="Calibri"/>
          <w:bCs/>
          <w:kern w:val="24"/>
        </w:rPr>
        <w:t>Në bazë të nenit 272, pika 5 të ligjit nr. 115/2016, “</w:t>
      </w:r>
      <w:r w:rsidRPr="00EE2DE7">
        <w:rPr>
          <w:rFonts w:eastAsia="Calibri"/>
          <w:bCs/>
          <w:i/>
          <w:kern w:val="24"/>
        </w:rPr>
        <w:t>Për organet e qeverisjes së sistemit të drejtësisë</w:t>
      </w:r>
      <w:r w:rsidRPr="00EE2DE7">
        <w:rPr>
          <w:rFonts w:eastAsia="Calibri"/>
          <w:bCs/>
          <w:kern w:val="24"/>
        </w:rPr>
        <w:t>”, g</w:t>
      </w:r>
      <w:r w:rsidRPr="00EE2DE7">
        <w:rPr>
          <w:rFonts w:eastAsia="Calibri"/>
          <w:kern w:val="24"/>
        </w:rPr>
        <w:t>jyqtarët dhe prokurorët që marrin pjesë në Formimin Vazhdues, pajisen me certifikatë, të lëshuar nga Drejtori i Shkollës. Një kopje e certifikatës vendoset në dosjen personale të gjyqtarëve dhe prokurorëve.</w:t>
      </w:r>
    </w:p>
    <w:p w:rsidR="008128BC" w:rsidRPr="00EE2DE7" w:rsidRDefault="008128BC" w:rsidP="000559B5">
      <w:pPr>
        <w:spacing w:line="276" w:lineRule="auto"/>
        <w:ind w:firstLine="720"/>
        <w:jc w:val="both"/>
        <w:rPr>
          <w:rFonts w:eastAsia="Calibri"/>
          <w:kern w:val="24"/>
        </w:rPr>
      </w:pPr>
    </w:p>
    <w:p w:rsidR="000559B5" w:rsidRDefault="008128BC" w:rsidP="00A34172">
      <w:pPr>
        <w:spacing w:line="276" w:lineRule="auto"/>
        <w:contextualSpacing/>
        <w:rPr>
          <w:b/>
          <w:color w:val="CC9966" w:themeColor="accent2"/>
          <w:sz w:val="28"/>
        </w:rPr>
      </w:pPr>
      <w:r>
        <w:rPr>
          <w:b/>
          <w:color w:val="CC9966" w:themeColor="accent2"/>
          <w:sz w:val="28"/>
        </w:rPr>
        <w:t xml:space="preserve">         </w:t>
      </w:r>
      <w:r w:rsidR="000559B5" w:rsidRPr="000559B5">
        <w:rPr>
          <w:b/>
          <w:noProof/>
          <w:color w:val="CC9966" w:themeColor="accent2"/>
          <w:sz w:val="28"/>
          <w:lang w:eastAsia="en-US"/>
        </w:rPr>
        <w:drawing>
          <wp:inline distT="0" distB="0" distL="0" distR="0">
            <wp:extent cx="5486400" cy="2491740"/>
            <wp:effectExtent l="19050" t="0" r="19050" b="381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8128BC" w:rsidRPr="008128BC" w:rsidRDefault="008128BC" w:rsidP="008128BC">
      <w:pPr>
        <w:spacing w:line="276" w:lineRule="auto"/>
        <w:jc w:val="center"/>
        <w:rPr>
          <w:rFonts w:eastAsia="Calibri"/>
          <w:i/>
          <w:kern w:val="24"/>
          <w:sz w:val="20"/>
        </w:rPr>
      </w:pPr>
      <w:r>
        <w:rPr>
          <w:rFonts w:eastAsia="Calibri"/>
          <w:i/>
          <w:kern w:val="24"/>
          <w:sz w:val="20"/>
        </w:rPr>
        <w:t xml:space="preserve"> </w:t>
      </w:r>
      <w:r w:rsidRPr="008128BC">
        <w:rPr>
          <w:rFonts w:eastAsia="Calibri"/>
          <w:i/>
          <w:kern w:val="24"/>
          <w:sz w:val="20"/>
        </w:rPr>
        <w:t>Grafiku nr. 4 Pjesëmarrja sipas kategorive në aktivitetet për vitin 2017-2018.</w:t>
      </w:r>
    </w:p>
    <w:p w:rsidR="008128BC" w:rsidRDefault="008128BC" w:rsidP="008128BC">
      <w:pPr>
        <w:spacing w:line="276" w:lineRule="auto"/>
        <w:ind w:firstLine="720"/>
        <w:jc w:val="both"/>
        <w:rPr>
          <w:rFonts w:eastAsia="Calibri"/>
          <w:kern w:val="24"/>
        </w:rPr>
      </w:pPr>
    </w:p>
    <w:p w:rsidR="008128BC" w:rsidRPr="00EE2DE7" w:rsidRDefault="008128BC" w:rsidP="008128BC">
      <w:pPr>
        <w:spacing w:line="276" w:lineRule="auto"/>
        <w:jc w:val="both"/>
        <w:rPr>
          <w:rFonts w:eastAsia="Calibri"/>
          <w:kern w:val="24"/>
        </w:rPr>
      </w:pPr>
      <w:r w:rsidRPr="00EE2DE7">
        <w:rPr>
          <w:rFonts w:eastAsia="Calibri"/>
          <w:kern w:val="24"/>
        </w:rPr>
        <w:t>Gjyqtarët, prokurorët, oficerët e policisë gjyqësore, si dhe kategori të tjera, që morën pjesë në aktivitetet trajnuese të Programit të Formimit Vazhdues gjatë vitit akademik 2017-2018, në mbarim të tyre u pajisën me certifikatë të posaçme të lëshuar nga Drejtori i Shkollës së Magjistraturës. Certifikata është pjesë e dosjes së gjyqtarit dhe prokurorit, që dëshmon për kualifikimin e tij, pasi ka ndjekur me rigorozitet të gjitha sesionet e aktivitetit trajnues ku ka marr</w:t>
      </w:r>
      <w:r w:rsidRPr="00EE2DE7">
        <w:rPr>
          <w:rFonts w:eastAsia="MS Mincho"/>
          <w:kern w:val="24"/>
        </w:rPr>
        <w:t>ë pjesë</w:t>
      </w:r>
      <w:r w:rsidRPr="00EE2DE7">
        <w:rPr>
          <w:rFonts w:eastAsia="Calibri"/>
          <w:kern w:val="24"/>
        </w:rPr>
        <w:t xml:space="preserve">. </w:t>
      </w:r>
    </w:p>
    <w:p w:rsidR="008128BC" w:rsidRPr="00EE2DE7" w:rsidRDefault="008128BC" w:rsidP="008128BC">
      <w:pPr>
        <w:spacing w:line="276" w:lineRule="auto"/>
        <w:ind w:firstLine="720"/>
        <w:jc w:val="both"/>
        <w:rPr>
          <w:rFonts w:eastAsia="Calibri"/>
          <w:kern w:val="24"/>
        </w:rPr>
      </w:pPr>
      <w:r w:rsidRPr="00EE2DE7">
        <w:rPr>
          <w:rFonts w:eastAsia="Calibri"/>
          <w:kern w:val="24"/>
        </w:rPr>
        <w:t xml:space="preserve">Vetëm pas një frekuentimi të plotë të sesioneve trajnuese (listat për pjesëmarrje janë të përbëra nga sesioni i paradites dhe i pasdites, ku çdo pjesëmarrës është i detyruar që të firmosë prezencën e tij për të vërtetuar ndjekjen në mënyrë të vazhdueshme të aktivitetit në të gjitha sesionet e tij, në rast të kundërt nuk certifikohet), kemi realizuar pajisjen me certifikatë. Kështu, komponenti i frekuentimit është ndjekur me prioritet nga sekretaria shkencore e Formimit Vazhdues, e cila ka mbajtur rekorde të sakta lidhur me këtë çështje. Nuk janë të rralla rastet </w:t>
      </w:r>
      <w:r>
        <w:rPr>
          <w:rFonts w:eastAsia="Calibri"/>
          <w:kern w:val="24"/>
        </w:rPr>
        <w:t>kur</w:t>
      </w:r>
      <w:r w:rsidRPr="00EE2DE7">
        <w:rPr>
          <w:rFonts w:eastAsia="Calibri"/>
          <w:kern w:val="24"/>
        </w:rPr>
        <w:t xml:space="preserve"> frekuentimi ka qenë i ulët, por gjatë vitit akademik 2017-2018 jemi përpjekur që këtë aspekt të trajnimeve ta përmirësojmë dukshëm. Në mënyrë sistematike, Shkolla ka raportuar raste shqetësuese në instancat respektive</w:t>
      </w:r>
      <w:r w:rsidRPr="001D2FF6">
        <w:rPr>
          <w:rFonts w:eastAsia="Calibri"/>
          <w:kern w:val="24"/>
        </w:rPr>
        <w:t xml:space="preserve"> </w:t>
      </w:r>
      <w:r w:rsidRPr="00EE2DE7">
        <w:rPr>
          <w:rFonts w:eastAsia="Calibri"/>
          <w:kern w:val="24"/>
        </w:rPr>
        <w:t xml:space="preserve">për sa më sipër. Por, duhet </w:t>
      </w:r>
      <w:r>
        <w:rPr>
          <w:rFonts w:eastAsia="Calibri"/>
          <w:kern w:val="24"/>
        </w:rPr>
        <w:t>vënë në dukje</w:t>
      </w:r>
      <w:r w:rsidRPr="00EE2DE7">
        <w:rPr>
          <w:rFonts w:eastAsia="Calibri"/>
          <w:kern w:val="24"/>
        </w:rPr>
        <w:t xml:space="preserve"> fakti se, gjatë vitit të fundit nuk kemi pasur raste shqetësuese apo problematika se</w:t>
      </w:r>
      <w:r>
        <w:rPr>
          <w:rFonts w:eastAsia="Calibri"/>
          <w:kern w:val="24"/>
        </w:rPr>
        <w:t>rioze, kjo edhe për shkak të</w:t>
      </w:r>
      <w:r w:rsidRPr="00EE2DE7">
        <w:rPr>
          <w:rFonts w:eastAsia="Calibri"/>
          <w:kern w:val="24"/>
        </w:rPr>
        <w:t xml:space="preserve"> bashkëpunimi</w:t>
      </w:r>
      <w:r>
        <w:rPr>
          <w:rFonts w:eastAsia="Calibri"/>
          <w:kern w:val="24"/>
        </w:rPr>
        <w:t>t</w:t>
      </w:r>
      <w:r w:rsidRPr="00EE2DE7">
        <w:rPr>
          <w:rFonts w:eastAsia="Calibri"/>
          <w:kern w:val="24"/>
        </w:rPr>
        <w:t xml:space="preserve"> më të ngushtë me auditorin pjesëmarrës nëpër sesionet trajnuese </w:t>
      </w:r>
      <w:r>
        <w:rPr>
          <w:rFonts w:eastAsia="Calibri"/>
          <w:kern w:val="24"/>
        </w:rPr>
        <w:t>që kemi zhvilluar</w:t>
      </w:r>
      <w:r w:rsidRPr="00EE2DE7">
        <w:rPr>
          <w:rFonts w:eastAsia="Calibri"/>
          <w:kern w:val="24"/>
        </w:rPr>
        <w:t>. Nga eksperienca e vitit që lamë pas, vërejmë se sistemi i dokumentimit të prezencës së pjesëmarrësve në të gjitha sesionet e aktiviteteve të Programit të Formimit Vazhdues është perfeksionuar, megjitha</w:t>
      </w:r>
      <w:r>
        <w:rPr>
          <w:rFonts w:eastAsia="Calibri"/>
          <w:kern w:val="24"/>
        </w:rPr>
        <w:t>të në këtë aspekt ende ka nevojë për</w:t>
      </w:r>
      <w:r w:rsidRPr="00EE2DE7">
        <w:rPr>
          <w:rFonts w:eastAsia="Calibri"/>
          <w:kern w:val="24"/>
        </w:rPr>
        <w:t xml:space="preserve"> përmirësime. Të njëjtën gjë, mund të themi edhe për sistemin e certifikimit. Është ndjekur pothuajse frekuentimi i çdo pjesëmarrësi dhe mbi këtë bazë është bërë edhe certifikimi. I është dhënë vëmendje maksimale saktësisë së rekordeve që mbahen në sekretarinë shkencore në lidhje me </w:t>
      </w:r>
      <w:r w:rsidRPr="00EE2DE7">
        <w:rPr>
          <w:rFonts w:eastAsia="Calibri"/>
          <w:kern w:val="24"/>
        </w:rPr>
        <w:lastRenderedPageBreak/>
        <w:t>frekuentimin dhe certifikimin e pjesëmarrësve. Kemi treguar rigorozitet dhe përgjegjshmëri të lartë në lëshimin e certifikatave në fund të secilit aktivitet trajnues, duke respektuar procedurën që ndjek institucioni ynë për pajisjen me certifikatë pjesëmarrjeje.</w:t>
      </w:r>
    </w:p>
    <w:p w:rsidR="008128BC" w:rsidRPr="00EE2DE7" w:rsidRDefault="008128BC" w:rsidP="008128BC">
      <w:pPr>
        <w:spacing w:line="276" w:lineRule="auto"/>
        <w:ind w:firstLine="720"/>
        <w:jc w:val="both"/>
        <w:rPr>
          <w:rFonts w:eastAsia="Calibri"/>
          <w:kern w:val="24"/>
        </w:rPr>
      </w:pPr>
      <w:r w:rsidRPr="00EE2DE7">
        <w:rPr>
          <w:rFonts w:eastAsia="Calibri"/>
          <w:kern w:val="24"/>
        </w:rPr>
        <w:t>Dy problematikat që janë shfaqur më dukshëm në lidhje me Programin e Formimit Vazhdues të gjyqtarëve dhe prokurorëve</w:t>
      </w:r>
      <w:r w:rsidRPr="001D2FF6">
        <w:rPr>
          <w:rFonts w:eastAsia="Calibri"/>
          <w:kern w:val="24"/>
        </w:rPr>
        <w:t xml:space="preserve"> </w:t>
      </w:r>
      <w:r w:rsidRPr="00EE2DE7">
        <w:rPr>
          <w:rFonts w:eastAsia="Calibri"/>
          <w:kern w:val="24"/>
        </w:rPr>
        <w:t xml:space="preserve">janë: </w:t>
      </w:r>
    </w:p>
    <w:p w:rsidR="008128BC" w:rsidRPr="00EE2DE7" w:rsidRDefault="008128BC" w:rsidP="005C2687">
      <w:pPr>
        <w:numPr>
          <w:ilvl w:val="0"/>
          <w:numId w:val="32"/>
        </w:numPr>
        <w:spacing w:line="276" w:lineRule="auto"/>
        <w:rPr>
          <w:rFonts w:eastAsia="Calibri"/>
          <w:kern w:val="24"/>
        </w:rPr>
      </w:pPr>
      <w:r w:rsidRPr="00EE2DE7">
        <w:rPr>
          <w:rFonts w:eastAsia="Calibri"/>
          <w:kern w:val="24"/>
        </w:rPr>
        <w:t xml:space="preserve">pjesëmarrja/frekuentimi i sesioneve trajnuese dhe </w:t>
      </w:r>
    </w:p>
    <w:p w:rsidR="008128BC" w:rsidRPr="00EE2DE7" w:rsidRDefault="008128BC" w:rsidP="005C2687">
      <w:pPr>
        <w:numPr>
          <w:ilvl w:val="0"/>
          <w:numId w:val="32"/>
        </w:numPr>
        <w:spacing w:line="276" w:lineRule="auto"/>
        <w:rPr>
          <w:rFonts w:eastAsia="Calibri"/>
          <w:kern w:val="24"/>
        </w:rPr>
      </w:pPr>
      <w:r w:rsidRPr="00EE2DE7">
        <w:rPr>
          <w:rFonts w:eastAsia="Calibri"/>
          <w:kern w:val="24"/>
        </w:rPr>
        <w:t xml:space="preserve">përzgjedhja e ekspertëve vendas. </w:t>
      </w:r>
    </w:p>
    <w:p w:rsidR="008128BC" w:rsidRPr="00EE2DE7" w:rsidRDefault="008128BC" w:rsidP="008128BC">
      <w:pPr>
        <w:spacing w:line="276" w:lineRule="auto"/>
        <w:ind w:firstLine="720"/>
        <w:jc w:val="both"/>
        <w:rPr>
          <w:rFonts w:eastAsia="Calibri"/>
          <w:kern w:val="24"/>
        </w:rPr>
      </w:pPr>
      <w:r w:rsidRPr="00EE2DE7">
        <w:rPr>
          <w:rFonts w:eastAsia="Calibri"/>
          <w:kern w:val="24"/>
        </w:rPr>
        <w:t>Shkolla e Magjistraturës</w:t>
      </w:r>
      <w:r>
        <w:rPr>
          <w:rFonts w:eastAsia="Calibri"/>
          <w:kern w:val="24"/>
        </w:rPr>
        <w:t>,</w:t>
      </w:r>
      <w:r w:rsidRPr="00EE2DE7">
        <w:rPr>
          <w:rFonts w:eastAsia="Calibri"/>
          <w:kern w:val="24"/>
        </w:rPr>
        <w:t xml:space="preserve"> </w:t>
      </w:r>
      <w:r>
        <w:rPr>
          <w:rFonts w:eastAsia="Calibri"/>
          <w:kern w:val="24"/>
        </w:rPr>
        <w:t>n</w:t>
      </w:r>
      <w:r w:rsidRPr="00EE2DE7">
        <w:rPr>
          <w:rFonts w:eastAsia="Calibri"/>
          <w:kern w:val="24"/>
        </w:rPr>
        <w:t>ë lidhje me fre</w:t>
      </w:r>
      <w:r>
        <w:rPr>
          <w:rFonts w:eastAsia="Calibri"/>
          <w:kern w:val="24"/>
        </w:rPr>
        <w:t>kuentimin e sesioneve trajnuese</w:t>
      </w:r>
      <w:r w:rsidRPr="00EE2DE7">
        <w:rPr>
          <w:rFonts w:eastAsia="Calibri"/>
          <w:kern w:val="24"/>
        </w:rPr>
        <w:t xml:space="preserve"> (ndonëse nuk ka asnjë detyrim t’u kujtojë gjyqtarëve dhe prokurorëve se duhet të respektojnë ligjin), ka informuar çdo gjyqtar e prokuror për detyrimin e tyre ligjor, duke nënvizuar periudhën e Formimit Vazhdues për secilin.</w:t>
      </w:r>
    </w:p>
    <w:p w:rsidR="008128BC" w:rsidRPr="00EE2DE7" w:rsidRDefault="008128BC" w:rsidP="008128BC">
      <w:pPr>
        <w:spacing w:line="276" w:lineRule="auto"/>
        <w:ind w:firstLine="720"/>
        <w:jc w:val="both"/>
        <w:rPr>
          <w:rFonts w:eastAsia="Calibri"/>
          <w:kern w:val="24"/>
        </w:rPr>
      </w:pPr>
      <w:r>
        <w:rPr>
          <w:rFonts w:eastAsia="Calibri"/>
          <w:kern w:val="24"/>
        </w:rPr>
        <w:t>Shkolla vlerëson se në këtë drejtim</w:t>
      </w:r>
      <w:r w:rsidRPr="00EE2DE7">
        <w:rPr>
          <w:rFonts w:eastAsia="Calibri"/>
          <w:kern w:val="24"/>
        </w:rPr>
        <w:t xml:space="preserve"> është shumë e rëndësishme të vendoset një “urë komunikimi” e vazhdueshme mes kryetarëve të gjykatave dhe drejtuesve të prokurorive, si përfaqësues të këtyre institucioneve në marrëdhënie me të tretët dhe Shkollës së Magjistraturës. Ajo e ka realizuar këtë objektiv nëpërmjet vendosjes së pikave të kontaktit me çdo gjykatë e prokurori dhe me anë të një shërbimi me kosto sa më të ulët dhe të shpejtë, është vendosur komunikimi i çdo njoftimi lidhur me Formimin Vazhdues me anën e platformës </w:t>
      </w:r>
      <w:r>
        <w:rPr>
          <w:rFonts w:eastAsia="Calibri"/>
          <w:i/>
          <w:kern w:val="24"/>
        </w:rPr>
        <w:t>E</w:t>
      </w:r>
      <w:r w:rsidRPr="00EE2DE7">
        <w:rPr>
          <w:rFonts w:eastAsia="Calibri"/>
          <w:i/>
          <w:kern w:val="24"/>
        </w:rPr>
        <w:t>-learning</w:t>
      </w:r>
      <w:r w:rsidRPr="00EE2DE7">
        <w:rPr>
          <w:rFonts w:eastAsia="Calibri"/>
          <w:kern w:val="24"/>
        </w:rPr>
        <w:t xml:space="preserve"> dhe postës elektronike</w:t>
      </w:r>
      <w:r w:rsidRPr="00EE2DE7">
        <w:rPr>
          <w:rFonts w:eastAsia="Calibri"/>
          <w:color w:val="00B0F0"/>
          <w:kern w:val="24"/>
        </w:rPr>
        <w:t xml:space="preserve">. </w:t>
      </w:r>
      <w:r w:rsidRPr="00EE2DE7">
        <w:rPr>
          <w:rFonts w:eastAsia="Calibri"/>
          <w:kern w:val="24"/>
        </w:rPr>
        <w:t>Përmes këtij komunikimi të vazhdueshëm, Shkolla mund të informohet në lidhje me pretendimet e gjyqtarëve dhe të prokurorëve për nivelin e trajnimeve, për çështjet që paraqesin më shumë interes për t’u trajtuar brenda një sesioni, për probleme të praktikës gjyqësore me të cilat ato ndeshen çdo ditë, me qëllim përditësimin e kalendarit të Formimit Vazhdues dhe pasurimin tij në të ar</w:t>
      </w:r>
      <w:r>
        <w:rPr>
          <w:rFonts w:eastAsia="Calibri"/>
          <w:kern w:val="24"/>
        </w:rPr>
        <w:t>dhmen. Një risi në këtë drejtim</w:t>
      </w:r>
      <w:r w:rsidRPr="00EE2DE7">
        <w:rPr>
          <w:rFonts w:eastAsia="Calibri"/>
          <w:kern w:val="24"/>
        </w:rPr>
        <w:t xml:space="preserve"> është implementimi i platformës </w:t>
      </w:r>
      <w:r>
        <w:rPr>
          <w:rFonts w:eastAsia="Calibri"/>
          <w:i/>
          <w:kern w:val="24"/>
        </w:rPr>
        <w:t>E</w:t>
      </w:r>
      <w:r w:rsidRPr="00EE2DE7">
        <w:rPr>
          <w:rFonts w:eastAsia="Calibri"/>
          <w:i/>
          <w:kern w:val="24"/>
        </w:rPr>
        <w:t>-learning</w:t>
      </w:r>
      <w:r w:rsidRPr="00EE2DE7">
        <w:rPr>
          <w:rFonts w:eastAsia="Calibri"/>
          <w:kern w:val="24"/>
        </w:rPr>
        <w:t>,</w:t>
      </w:r>
      <w:r w:rsidRPr="00EE2DE7">
        <w:rPr>
          <w:rFonts w:eastAsia="Calibri"/>
          <w:color w:val="00B0F0"/>
          <w:kern w:val="24"/>
        </w:rPr>
        <w:t xml:space="preserve"> </w:t>
      </w:r>
      <w:r w:rsidRPr="00EE2DE7">
        <w:rPr>
          <w:rFonts w:eastAsia="Calibri"/>
          <w:kern w:val="24"/>
        </w:rPr>
        <w:t>nëpërmjet të cilës bëhet i mundur aksesi i çdo gjyqtari dhe prokurori, për t’u njohur jo vetëm me temat e kalendarit të trajnimeve, por edhe me materialet që përdoren nga ekspertët/lehtësuesit në çdo trajnim të zhvilluar.</w:t>
      </w:r>
    </w:p>
    <w:p w:rsidR="008128BC" w:rsidRDefault="008128BC" w:rsidP="008128BC">
      <w:pPr>
        <w:spacing w:line="276" w:lineRule="auto"/>
        <w:ind w:firstLine="720"/>
        <w:jc w:val="both"/>
        <w:rPr>
          <w:rFonts w:eastAsia="Calibri"/>
          <w:kern w:val="24"/>
        </w:rPr>
      </w:pPr>
      <w:r w:rsidRPr="00EE2DE7">
        <w:rPr>
          <w:rFonts w:eastAsia="Calibri"/>
          <w:kern w:val="24"/>
        </w:rPr>
        <w:t xml:space="preserve">Pjesëmarrja në Programin e Formimit Vazhdues është pjesë e rëndësishme e sistemit të vlerësimit të gjyqtarëve e prokurorëve, përpos faktit që trajnimet ndikojnë në rritjen e performancës së tyre në ushtrimin e funksionit. Nga kjo pikëpamje, shprehim bindjen se do të kemi edhe mbështetjen e KLGJ-së dhe KLP-së në realizimin sa më efektiv të Programit të Formimit Vazhdues, pasi kjo është në interesin e vetë sistemit të drejtësisë. </w:t>
      </w:r>
    </w:p>
    <w:p w:rsidR="00DE6575" w:rsidRDefault="00DE6575" w:rsidP="00DE6575">
      <w:pPr>
        <w:spacing w:line="276" w:lineRule="auto"/>
        <w:rPr>
          <w:rFonts w:eastAsia="Calibri"/>
          <w:kern w:val="24"/>
        </w:rPr>
      </w:pPr>
    </w:p>
    <w:p w:rsidR="00DE6575" w:rsidRPr="00DE6575" w:rsidRDefault="00DE6575" w:rsidP="00DE6575">
      <w:pPr>
        <w:spacing w:line="276" w:lineRule="auto"/>
        <w:rPr>
          <w:rFonts w:eastAsia="Calibri"/>
          <w:i/>
          <w:kern w:val="24"/>
          <w:sz w:val="20"/>
        </w:rPr>
      </w:pPr>
      <w:r w:rsidRPr="00DE6575">
        <w:rPr>
          <w:rFonts w:eastAsia="Calibri"/>
          <w:noProof/>
          <w:kern w:val="24"/>
          <w:sz w:val="18"/>
          <w:lang w:eastAsia="en-US"/>
        </w:rPr>
        <w:drawing>
          <wp:anchor distT="0" distB="0" distL="114300" distR="114300" simplePos="0" relativeHeight="251734528" behindDoc="0" locked="0" layoutInCell="1" allowOverlap="1">
            <wp:simplePos x="0" y="0"/>
            <wp:positionH relativeFrom="margin">
              <wp:align>left</wp:align>
            </wp:positionH>
            <wp:positionV relativeFrom="margin">
              <wp:posOffset>5977890</wp:posOffset>
            </wp:positionV>
            <wp:extent cx="3345180" cy="2308860"/>
            <wp:effectExtent l="19050" t="0" r="26670" b="0"/>
            <wp:wrapSquare wrapText="bothSides"/>
            <wp:docPr id="3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anchor>
        </w:drawing>
      </w:r>
      <w:r>
        <w:rPr>
          <w:rFonts w:eastAsia="Calibri"/>
          <w:i/>
          <w:kern w:val="24"/>
        </w:rPr>
        <w:t xml:space="preserve">                                                                                                                                                                          </w:t>
      </w:r>
      <w:r w:rsidRPr="00DE6575">
        <w:rPr>
          <w:rFonts w:eastAsia="Calibri"/>
          <w:i/>
          <w:kern w:val="24"/>
        </w:rPr>
        <w:t xml:space="preserve"> </w:t>
      </w:r>
      <w:r w:rsidRPr="00DE6575">
        <w:rPr>
          <w:rFonts w:eastAsia="Calibri"/>
          <w:i/>
          <w:kern w:val="24"/>
          <w:sz w:val="20"/>
        </w:rPr>
        <w:t xml:space="preserve">Grafiku nr. 5 Frekuentimi i rregullt i aktiviteteve me pasojë certifikimin ose jo të kategorisë gjyqtarë, </w:t>
      </w:r>
    </w:p>
    <w:p w:rsidR="00DE6575" w:rsidRPr="00DE6575" w:rsidRDefault="00DE6575" w:rsidP="00DE6575">
      <w:pPr>
        <w:spacing w:line="276" w:lineRule="auto"/>
        <w:rPr>
          <w:rFonts w:eastAsia="Calibri"/>
          <w:i/>
          <w:kern w:val="24"/>
          <w:sz w:val="20"/>
        </w:rPr>
      </w:pPr>
      <w:r w:rsidRPr="00DE6575">
        <w:rPr>
          <w:rFonts w:eastAsia="Calibri"/>
          <w:i/>
          <w:kern w:val="24"/>
          <w:sz w:val="20"/>
        </w:rPr>
        <w:t>viti akademik 2017-2018</w:t>
      </w:r>
    </w:p>
    <w:p w:rsidR="008128BC" w:rsidRPr="00A811C4" w:rsidRDefault="008128BC" w:rsidP="008128BC">
      <w:pPr>
        <w:spacing w:line="276" w:lineRule="auto"/>
        <w:jc w:val="both"/>
        <w:rPr>
          <w:rFonts w:eastAsia="Calibri"/>
          <w:kern w:val="24"/>
          <w:sz w:val="18"/>
        </w:rPr>
      </w:pPr>
    </w:p>
    <w:p w:rsidR="008128BC" w:rsidRPr="00A34172" w:rsidRDefault="008128BC" w:rsidP="00A34172">
      <w:pPr>
        <w:spacing w:line="276" w:lineRule="auto"/>
        <w:contextualSpacing/>
        <w:rPr>
          <w:b/>
          <w:color w:val="CC9966" w:themeColor="accent2"/>
          <w:sz w:val="28"/>
        </w:rPr>
      </w:pPr>
    </w:p>
    <w:p w:rsidR="009D3274" w:rsidRDefault="009D3274" w:rsidP="009D3274">
      <w:pPr>
        <w:tabs>
          <w:tab w:val="left" w:pos="10260"/>
        </w:tabs>
        <w:jc w:val="both"/>
      </w:pPr>
    </w:p>
    <w:p w:rsidR="00DE6575" w:rsidRDefault="00DE6575" w:rsidP="009D3274">
      <w:pPr>
        <w:tabs>
          <w:tab w:val="left" w:pos="10260"/>
        </w:tabs>
        <w:jc w:val="both"/>
      </w:pPr>
    </w:p>
    <w:p w:rsidR="00DE6575" w:rsidRDefault="00DE6575" w:rsidP="009D3274">
      <w:pPr>
        <w:tabs>
          <w:tab w:val="left" w:pos="10260"/>
        </w:tabs>
        <w:jc w:val="both"/>
      </w:pPr>
    </w:p>
    <w:p w:rsidR="00DE6575" w:rsidRDefault="00DE6575" w:rsidP="009D3274">
      <w:pPr>
        <w:tabs>
          <w:tab w:val="left" w:pos="10260"/>
        </w:tabs>
        <w:jc w:val="both"/>
      </w:pPr>
    </w:p>
    <w:p w:rsidR="00DE6575" w:rsidRDefault="00DE6575" w:rsidP="009D3274">
      <w:pPr>
        <w:tabs>
          <w:tab w:val="left" w:pos="10260"/>
        </w:tabs>
        <w:jc w:val="both"/>
      </w:pPr>
    </w:p>
    <w:p w:rsidR="00DE6575" w:rsidRDefault="00DE6575" w:rsidP="009D3274">
      <w:pPr>
        <w:tabs>
          <w:tab w:val="left" w:pos="10260"/>
        </w:tabs>
        <w:jc w:val="both"/>
      </w:pPr>
    </w:p>
    <w:p w:rsidR="00DE6575" w:rsidRDefault="00A62BF0" w:rsidP="009D3274">
      <w:pPr>
        <w:tabs>
          <w:tab w:val="left" w:pos="10260"/>
        </w:tabs>
        <w:jc w:val="both"/>
      </w:pPr>
      <w:r>
        <w:rPr>
          <w:noProof/>
          <w:lang w:eastAsia="en-US"/>
        </w:rPr>
        <w:lastRenderedPageBreak/>
        <w:drawing>
          <wp:anchor distT="0" distB="0" distL="114300" distR="114300" simplePos="0" relativeHeight="251735552" behindDoc="0" locked="0" layoutInCell="1" allowOverlap="1">
            <wp:simplePos x="0" y="0"/>
            <wp:positionH relativeFrom="margin">
              <wp:align>right</wp:align>
            </wp:positionH>
            <wp:positionV relativeFrom="margin">
              <wp:align>top</wp:align>
            </wp:positionV>
            <wp:extent cx="3227070" cy="2430780"/>
            <wp:effectExtent l="19050" t="0" r="11430" b="7620"/>
            <wp:wrapSquare wrapText="bothSides"/>
            <wp:docPr id="33"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anchor>
        </w:drawing>
      </w:r>
    </w:p>
    <w:p w:rsidR="00A62BF0" w:rsidRPr="00A62BF0" w:rsidRDefault="00A62BF0" w:rsidP="00A62BF0">
      <w:pPr>
        <w:spacing w:line="276" w:lineRule="auto"/>
        <w:jc w:val="center"/>
        <w:rPr>
          <w:rFonts w:eastAsia="Calibri"/>
          <w:i/>
          <w:kern w:val="24"/>
          <w:sz w:val="20"/>
        </w:rPr>
      </w:pPr>
      <w:r w:rsidRPr="00A62BF0">
        <w:rPr>
          <w:rFonts w:eastAsia="Calibri"/>
          <w:i/>
          <w:kern w:val="24"/>
          <w:sz w:val="20"/>
        </w:rPr>
        <w:t>Grafiku nr. 6 Frekuentimi i rregullt i aktiviteteve me pasojë certifikimin ose jo të kategorisë prokurorë,</w:t>
      </w:r>
    </w:p>
    <w:p w:rsidR="00A62BF0" w:rsidRPr="00A62BF0" w:rsidRDefault="00A62BF0" w:rsidP="00A62BF0">
      <w:pPr>
        <w:spacing w:line="276" w:lineRule="auto"/>
        <w:jc w:val="center"/>
        <w:rPr>
          <w:rFonts w:eastAsia="Calibri"/>
          <w:i/>
          <w:kern w:val="24"/>
          <w:sz w:val="20"/>
        </w:rPr>
      </w:pPr>
      <w:r w:rsidRPr="00A62BF0">
        <w:rPr>
          <w:rFonts w:eastAsia="Calibri"/>
          <w:i/>
          <w:kern w:val="24"/>
          <w:sz w:val="20"/>
        </w:rPr>
        <w:t>viti akademik 2017-2018</w:t>
      </w:r>
    </w:p>
    <w:p w:rsidR="00A62BF0" w:rsidRDefault="00A62BF0" w:rsidP="009D3274">
      <w:pPr>
        <w:tabs>
          <w:tab w:val="left" w:pos="10260"/>
        </w:tabs>
        <w:jc w:val="both"/>
      </w:pPr>
    </w:p>
    <w:p w:rsidR="00B348F7" w:rsidRPr="00EE2DE7" w:rsidRDefault="00B348F7" w:rsidP="00B348F7">
      <w:pPr>
        <w:spacing w:line="276" w:lineRule="auto"/>
        <w:jc w:val="both"/>
        <w:rPr>
          <w:rFonts w:eastAsia="Calibri"/>
          <w:kern w:val="24"/>
          <w:szCs w:val="23"/>
        </w:rPr>
      </w:pPr>
      <w:r>
        <w:rPr>
          <w:rFonts w:eastAsia="Calibri"/>
          <w:kern w:val="24"/>
          <w:szCs w:val="23"/>
        </w:rPr>
        <w:t>Në grafikët nr. 5</w:t>
      </w:r>
      <w:r w:rsidRPr="00EE2DE7">
        <w:rPr>
          <w:rFonts w:eastAsia="Calibri"/>
          <w:kern w:val="24"/>
          <w:szCs w:val="23"/>
        </w:rPr>
        <w:t xml:space="preserve"> dhe</w:t>
      </w:r>
      <w:r>
        <w:rPr>
          <w:rFonts w:eastAsia="Calibri"/>
          <w:kern w:val="24"/>
          <w:szCs w:val="23"/>
        </w:rPr>
        <w:t xml:space="preserve"> nr. 6</w:t>
      </w:r>
      <w:r w:rsidRPr="00EE2DE7">
        <w:rPr>
          <w:rFonts w:eastAsia="Calibri"/>
          <w:kern w:val="24"/>
          <w:szCs w:val="23"/>
        </w:rPr>
        <w:t xml:space="preserve"> vihet re se frekuentimi i sesioneve trajnuese për tema/kurse nga ana e gjyqtarëve/prokurorëve i llogaritur në numër total, është përkatësisht 1992 (njëmijë e nëntëqind e nëntëdhjetë e dy) </w:t>
      </w:r>
      <w:r w:rsidRPr="0069377A">
        <w:rPr>
          <w:rFonts w:eastAsia="Calibri"/>
          <w:kern w:val="24"/>
          <w:szCs w:val="23"/>
        </w:rPr>
        <w:t>gjyqtarë dhe 1501 (njëmijë e pesëqind e një) prokurorë.</w:t>
      </w:r>
      <w:r w:rsidRPr="00EE2DE7">
        <w:rPr>
          <w:rFonts w:eastAsia="Calibri"/>
          <w:kern w:val="24"/>
          <w:szCs w:val="23"/>
        </w:rPr>
        <w:t xml:space="preserve"> Pra, vihet re se edhe pse frekuentimi në tema/kurse nga gjyqtarët është në 1992 (njëmijë e nëntëqind e nëntëdhjetë e dy), certifikimi bie në 1509 (njëmijë e pesëqind</w:t>
      </w:r>
      <w:r>
        <w:rPr>
          <w:rFonts w:eastAsia="Calibri"/>
          <w:kern w:val="24"/>
          <w:szCs w:val="23"/>
        </w:rPr>
        <w:t xml:space="preserve"> e nëntë), kjo për shkak të mos</w:t>
      </w:r>
      <w:r w:rsidRPr="00EE2DE7">
        <w:rPr>
          <w:rFonts w:eastAsia="Calibri"/>
          <w:kern w:val="24"/>
          <w:szCs w:val="23"/>
        </w:rPr>
        <w:t>qëndrimit në mënyrë permanente gjatë gjithë kohëzgjatjes së aktivitetit. Po e njëjta situatë, paraqitet edhe për prokurorët, ku frekuentimi në tema/kurse është dukshëm më i ulët, pra në 1501 (njëmijë e pesëqind e një)  të ardhur, ndërsa certifikimi për tema/kurse shkon në 1124 (njëmijë e njëqind e njëzet e katër).</w:t>
      </w:r>
    </w:p>
    <w:p w:rsidR="00B348F7" w:rsidRPr="00EE2DE7" w:rsidRDefault="00B348F7" w:rsidP="00B348F7">
      <w:pPr>
        <w:spacing w:line="276" w:lineRule="auto"/>
        <w:jc w:val="both"/>
        <w:rPr>
          <w:rFonts w:eastAsia="Calibri"/>
          <w:kern w:val="24"/>
          <w:szCs w:val="23"/>
        </w:rPr>
      </w:pPr>
    </w:p>
    <w:p w:rsidR="00B348F7" w:rsidRDefault="00B348F7" w:rsidP="00B348F7">
      <w:pPr>
        <w:spacing w:after="200" w:line="276" w:lineRule="auto"/>
        <w:jc w:val="both"/>
        <w:rPr>
          <w:rFonts w:eastAsia="Calibri"/>
          <w:kern w:val="24"/>
          <w:szCs w:val="23"/>
        </w:rPr>
      </w:pPr>
      <w:r w:rsidRPr="00EE2DE7">
        <w:rPr>
          <w:rFonts w:eastAsia="Calibri"/>
          <w:kern w:val="24"/>
          <w:szCs w:val="23"/>
        </w:rPr>
        <w:t>Pjesëmarrja dhe certifikimi sipas muajve paraqitet në tabel</w:t>
      </w:r>
      <w:r w:rsidRPr="00EE2DE7">
        <w:rPr>
          <w:rFonts w:eastAsia="MS Mincho"/>
          <w:kern w:val="24"/>
        </w:rPr>
        <w:t>ë</w:t>
      </w:r>
      <w:r w:rsidRPr="00EE2DE7">
        <w:rPr>
          <w:rFonts w:eastAsia="Calibri"/>
          <w:kern w:val="24"/>
          <w:szCs w:val="23"/>
        </w:rPr>
        <w:t xml:space="preserve"> si më poshtë:</w:t>
      </w:r>
    </w:p>
    <w:tbl>
      <w:tblPr>
        <w:tblStyle w:val="LightGrid-Accent11"/>
        <w:tblW w:w="9576" w:type="dxa"/>
        <w:tblLook w:val="04A0" w:firstRow="1" w:lastRow="0" w:firstColumn="1" w:lastColumn="0" w:noHBand="0" w:noVBand="1"/>
      </w:tblPr>
      <w:tblGrid>
        <w:gridCol w:w="1914"/>
        <w:gridCol w:w="1915"/>
        <w:gridCol w:w="1915"/>
        <w:gridCol w:w="1916"/>
        <w:gridCol w:w="1916"/>
      </w:tblGrid>
      <w:tr w:rsidR="00B348F7" w:rsidRPr="00EE2DE7" w:rsidTr="00B348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4" w:type="dxa"/>
          </w:tcPr>
          <w:p w:rsidR="00B348F7" w:rsidRPr="0069377A" w:rsidRDefault="00B348F7" w:rsidP="002737A9">
            <w:pPr>
              <w:jc w:val="center"/>
              <w:rPr>
                <w:rFonts w:ascii="Calibri" w:eastAsia="Calibri" w:hAnsi="Calibri" w:cs="Times New Roman"/>
                <w:b w:val="0"/>
                <w:sz w:val="23"/>
                <w:szCs w:val="23"/>
              </w:rPr>
            </w:pPr>
            <w:r w:rsidRPr="0069377A">
              <w:rPr>
                <w:rFonts w:ascii="Calibri" w:eastAsia="Calibri" w:hAnsi="Calibri" w:cs="Times New Roman"/>
                <w:b w:val="0"/>
                <w:sz w:val="23"/>
                <w:szCs w:val="23"/>
              </w:rPr>
              <w:t>Muaji</w:t>
            </w:r>
          </w:p>
        </w:tc>
        <w:tc>
          <w:tcPr>
            <w:tcW w:w="1915" w:type="dxa"/>
          </w:tcPr>
          <w:p w:rsidR="00B348F7" w:rsidRPr="0069377A" w:rsidRDefault="00B348F7" w:rsidP="002737A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sz w:val="23"/>
                <w:szCs w:val="23"/>
              </w:rPr>
            </w:pPr>
            <w:r w:rsidRPr="0069377A">
              <w:rPr>
                <w:rFonts w:ascii="Calibri" w:eastAsia="Calibri" w:hAnsi="Calibri" w:cs="Times New Roman"/>
                <w:b w:val="0"/>
                <w:sz w:val="23"/>
                <w:szCs w:val="23"/>
              </w:rPr>
              <w:t>Gjyqtar</w:t>
            </w:r>
            <w:r w:rsidRPr="0069377A">
              <w:rPr>
                <w:rFonts w:ascii="Times New Roman" w:eastAsia="MS Mincho" w:hAnsi="Times New Roman" w:cs="Times New Roman"/>
                <w:b w:val="0"/>
              </w:rPr>
              <w:t>ë</w:t>
            </w:r>
            <w:r w:rsidRPr="0069377A">
              <w:rPr>
                <w:rFonts w:ascii="Calibri" w:eastAsia="Calibri" w:hAnsi="Calibri" w:cs="Times New Roman"/>
                <w:b w:val="0"/>
                <w:sz w:val="23"/>
                <w:szCs w:val="23"/>
              </w:rPr>
              <w:t xml:space="preserve"> pjes</w:t>
            </w:r>
            <w:r w:rsidRPr="0069377A">
              <w:rPr>
                <w:rFonts w:ascii="Times New Roman" w:eastAsia="MS Mincho" w:hAnsi="Times New Roman" w:cs="Times New Roman"/>
                <w:b w:val="0"/>
              </w:rPr>
              <w:t>ë</w:t>
            </w:r>
            <w:r w:rsidRPr="0069377A">
              <w:rPr>
                <w:rFonts w:ascii="Calibri" w:eastAsia="Calibri" w:hAnsi="Calibri" w:cs="Times New Roman"/>
                <w:b w:val="0"/>
                <w:sz w:val="23"/>
                <w:szCs w:val="23"/>
              </w:rPr>
              <w:t>marr</w:t>
            </w:r>
            <w:r w:rsidRPr="0069377A">
              <w:rPr>
                <w:rFonts w:ascii="Times New Roman" w:eastAsia="MS Mincho" w:hAnsi="Times New Roman" w:cs="Times New Roman"/>
                <w:b w:val="0"/>
              </w:rPr>
              <w:t>ë</w:t>
            </w:r>
            <w:r w:rsidRPr="0069377A">
              <w:rPr>
                <w:rFonts w:ascii="Calibri" w:eastAsia="Calibri" w:hAnsi="Calibri" w:cs="Times New Roman"/>
                <w:b w:val="0"/>
                <w:sz w:val="23"/>
                <w:szCs w:val="23"/>
              </w:rPr>
              <w:t>s</w:t>
            </w:r>
          </w:p>
        </w:tc>
        <w:tc>
          <w:tcPr>
            <w:tcW w:w="1915" w:type="dxa"/>
          </w:tcPr>
          <w:p w:rsidR="00B348F7" w:rsidRPr="0069377A" w:rsidRDefault="00B348F7" w:rsidP="002737A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sz w:val="23"/>
                <w:szCs w:val="23"/>
              </w:rPr>
            </w:pPr>
            <w:r w:rsidRPr="0069377A">
              <w:rPr>
                <w:rFonts w:ascii="Calibri" w:eastAsia="Calibri" w:hAnsi="Calibri" w:cs="Times New Roman"/>
                <w:b w:val="0"/>
                <w:sz w:val="23"/>
                <w:szCs w:val="23"/>
              </w:rPr>
              <w:t>Gjyqtar</w:t>
            </w:r>
            <w:r w:rsidRPr="0069377A">
              <w:rPr>
                <w:rFonts w:ascii="Times New Roman" w:eastAsia="MS Mincho" w:hAnsi="Times New Roman" w:cs="Times New Roman"/>
                <w:b w:val="0"/>
              </w:rPr>
              <w:t>ë</w:t>
            </w:r>
          </w:p>
          <w:p w:rsidR="00B348F7" w:rsidRPr="0069377A" w:rsidRDefault="00B348F7" w:rsidP="002737A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sz w:val="23"/>
                <w:szCs w:val="23"/>
              </w:rPr>
            </w:pPr>
            <w:r w:rsidRPr="0069377A">
              <w:rPr>
                <w:rFonts w:ascii="Calibri" w:eastAsia="Calibri" w:hAnsi="Calibri" w:cs="Times New Roman"/>
                <w:b w:val="0"/>
                <w:sz w:val="23"/>
                <w:szCs w:val="23"/>
              </w:rPr>
              <w:t>t</w:t>
            </w:r>
            <w:r w:rsidRPr="0069377A">
              <w:rPr>
                <w:rFonts w:ascii="Times New Roman" w:eastAsia="MS Mincho" w:hAnsi="Times New Roman" w:cs="Times New Roman"/>
                <w:b w:val="0"/>
              </w:rPr>
              <w:t>ë</w:t>
            </w:r>
            <w:r w:rsidRPr="0069377A">
              <w:rPr>
                <w:rFonts w:ascii="Calibri" w:eastAsia="Calibri" w:hAnsi="Calibri" w:cs="Times New Roman"/>
                <w:b w:val="0"/>
                <w:sz w:val="23"/>
                <w:szCs w:val="23"/>
              </w:rPr>
              <w:t xml:space="preserve"> certifikuar</w:t>
            </w:r>
          </w:p>
        </w:tc>
        <w:tc>
          <w:tcPr>
            <w:tcW w:w="1916" w:type="dxa"/>
          </w:tcPr>
          <w:p w:rsidR="00B348F7" w:rsidRPr="0069377A" w:rsidRDefault="00B348F7" w:rsidP="002737A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sz w:val="23"/>
                <w:szCs w:val="23"/>
              </w:rPr>
            </w:pPr>
            <w:r w:rsidRPr="0069377A">
              <w:rPr>
                <w:rFonts w:ascii="Calibri" w:eastAsia="Calibri" w:hAnsi="Calibri" w:cs="Times New Roman"/>
                <w:b w:val="0"/>
                <w:sz w:val="23"/>
                <w:szCs w:val="23"/>
              </w:rPr>
              <w:t>Prokuror</w:t>
            </w:r>
            <w:r w:rsidRPr="0069377A">
              <w:rPr>
                <w:rFonts w:ascii="Times New Roman" w:eastAsia="MS Mincho" w:hAnsi="Times New Roman" w:cs="Times New Roman"/>
                <w:b w:val="0"/>
              </w:rPr>
              <w:t>ë</w:t>
            </w:r>
          </w:p>
          <w:p w:rsidR="00B348F7" w:rsidRPr="0069377A" w:rsidRDefault="00B348F7" w:rsidP="002737A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sz w:val="23"/>
                <w:szCs w:val="23"/>
              </w:rPr>
            </w:pPr>
            <w:r w:rsidRPr="0069377A">
              <w:rPr>
                <w:rFonts w:ascii="Calibri" w:eastAsia="Calibri" w:hAnsi="Calibri" w:cs="Times New Roman"/>
                <w:b w:val="0"/>
                <w:sz w:val="23"/>
                <w:szCs w:val="23"/>
              </w:rPr>
              <w:t>Pjes</w:t>
            </w:r>
            <w:r w:rsidRPr="0069377A">
              <w:rPr>
                <w:rFonts w:ascii="Times New Roman" w:eastAsia="MS Mincho" w:hAnsi="Times New Roman" w:cs="Times New Roman"/>
                <w:b w:val="0"/>
              </w:rPr>
              <w:t>ë</w:t>
            </w:r>
            <w:r w:rsidRPr="0069377A">
              <w:rPr>
                <w:rFonts w:ascii="Calibri" w:eastAsia="Calibri" w:hAnsi="Calibri" w:cs="Times New Roman"/>
                <w:b w:val="0"/>
                <w:sz w:val="23"/>
                <w:szCs w:val="23"/>
              </w:rPr>
              <w:t>marr</w:t>
            </w:r>
            <w:r w:rsidRPr="0069377A">
              <w:rPr>
                <w:rFonts w:ascii="Times New Roman" w:eastAsia="MS Mincho" w:hAnsi="Times New Roman" w:cs="Times New Roman"/>
                <w:b w:val="0"/>
              </w:rPr>
              <w:t>ë</w:t>
            </w:r>
            <w:r w:rsidRPr="0069377A">
              <w:rPr>
                <w:rFonts w:ascii="Calibri" w:eastAsia="Calibri" w:hAnsi="Calibri" w:cs="Times New Roman"/>
                <w:b w:val="0"/>
                <w:sz w:val="23"/>
                <w:szCs w:val="23"/>
              </w:rPr>
              <w:t>s</w:t>
            </w:r>
          </w:p>
        </w:tc>
        <w:tc>
          <w:tcPr>
            <w:tcW w:w="1916" w:type="dxa"/>
          </w:tcPr>
          <w:p w:rsidR="00B348F7" w:rsidRPr="0069377A" w:rsidRDefault="00B348F7" w:rsidP="002737A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sz w:val="23"/>
                <w:szCs w:val="23"/>
              </w:rPr>
            </w:pPr>
            <w:r w:rsidRPr="0069377A">
              <w:rPr>
                <w:rFonts w:ascii="Calibri" w:eastAsia="Calibri" w:hAnsi="Calibri" w:cs="Times New Roman"/>
                <w:b w:val="0"/>
                <w:sz w:val="23"/>
                <w:szCs w:val="23"/>
              </w:rPr>
              <w:t>Prokuror</w:t>
            </w:r>
            <w:r w:rsidRPr="0069377A">
              <w:rPr>
                <w:rFonts w:ascii="Times New Roman" w:eastAsia="MS Mincho" w:hAnsi="Times New Roman" w:cs="Times New Roman"/>
                <w:b w:val="0"/>
              </w:rPr>
              <w:t>ë</w:t>
            </w:r>
          </w:p>
          <w:p w:rsidR="00B348F7" w:rsidRPr="0069377A" w:rsidRDefault="00B348F7" w:rsidP="002737A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sz w:val="23"/>
                <w:szCs w:val="23"/>
              </w:rPr>
            </w:pPr>
            <w:r w:rsidRPr="0069377A">
              <w:rPr>
                <w:rFonts w:ascii="Calibri" w:eastAsia="Calibri" w:hAnsi="Calibri" w:cs="Times New Roman"/>
                <w:b w:val="0"/>
                <w:sz w:val="23"/>
                <w:szCs w:val="23"/>
              </w:rPr>
              <w:t>t</w:t>
            </w:r>
            <w:r w:rsidRPr="0069377A">
              <w:rPr>
                <w:rFonts w:ascii="Times New Roman" w:eastAsia="MS Mincho" w:hAnsi="Times New Roman" w:cs="Times New Roman"/>
                <w:b w:val="0"/>
              </w:rPr>
              <w:t>ë</w:t>
            </w:r>
            <w:r w:rsidRPr="0069377A">
              <w:rPr>
                <w:rFonts w:ascii="Calibri" w:eastAsia="Calibri" w:hAnsi="Calibri" w:cs="Times New Roman"/>
                <w:b w:val="0"/>
                <w:sz w:val="23"/>
                <w:szCs w:val="23"/>
              </w:rPr>
              <w:t xml:space="preserve"> certifikuar</w:t>
            </w:r>
          </w:p>
        </w:tc>
      </w:tr>
      <w:tr w:rsidR="00B348F7" w:rsidRPr="00EE2DE7" w:rsidTr="00B348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4" w:type="dxa"/>
          </w:tcPr>
          <w:p w:rsidR="00B348F7" w:rsidRPr="00EE2DE7" w:rsidRDefault="00B348F7" w:rsidP="002737A9">
            <w:pPr>
              <w:rPr>
                <w:rFonts w:ascii="Calibri" w:eastAsia="Calibri" w:hAnsi="Calibri" w:cs="Times New Roman"/>
                <w:sz w:val="23"/>
                <w:szCs w:val="23"/>
              </w:rPr>
            </w:pPr>
            <w:r w:rsidRPr="00EE2DE7">
              <w:rPr>
                <w:rFonts w:ascii="Calibri" w:eastAsia="Calibri" w:hAnsi="Calibri" w:cs="Times New Roman"/>
                <w:sz w:val="23"/>
                <w:szCs w:val="23"/>
              </w:rPr>
              <w:t>Janar  2018</w:t>
            </w:r>
          </w:p>
        </w:tc>
        <w:tc>
          <w:tcPr>
            <w:tcW w:w="1915"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249</w:t>
            </w:r>
          </w:p>
        </w:tc>
        <w:tc>
          <w:tcPr>
            <w:tcW w:w="1915"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123</w:t>
            </w:r>
          </w:p>
        </w:tc>
        <w:tc>
          <w:tcPr>
            <w:tcW w:w="1916"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273</w:t>
            </w:r>
          </w:p>
        </w:tc>
        <w:tc>
          <w:tcPr>
            <w:tcW w:w="1916"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177</w:t>
            </w:r>
          </w:p>
        </w:tc>
      </w:tr>
      <w:tr w:rsidR="00B348F7" w:rsidRPr="00EE2DE7" w:rsidTr="00B348F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4" w:type="dxa"/>
          </w:tcPr>
          <w:p w:rsidR="00B348F7" w:rsidRPr="00EE2DE7" w:rsidRDefault="00B348F7" w:rsidP="002737A9">
            <w:pPr>
              <w:rPr>
                <w:rFonts w:ascii="Calibri" w:eastAsia="Calibri" w:hAnsi="Calibri" w:cs="Times New Roman"/>
                <w:sz w:val="23"/>
                <w:szCs w:val="23"/>
              </w:rPr>
            </w:pPr>
            <w:r w:rsidRPr="00EE2DE7">
              <w:rPr>
                <w:rFonts w:ascii="Calibri" w:eastAsia="Calibri" w:hAnsi="Calibri" w:cs="Times New Roman"/>
                <w:sz w:val="23"/>
                <w:szCs w:val="23"/>
              </w:rPr>
              <w:t>Shkurt 2018</w:t>
            </w:r>
          </w:p>
        </w:tc>
        <w:tc>
          <w:tcPr>
            <w:tcW w:w="1915"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278</w:t>
            </w:r>
          </w:p>
        </w:tc>
        <w:tc>
          <w:tcPr>
            <w:tcW w:w="1915"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210</w:t>
            </w:r>
          </w:p>
        </w:tc>
        <w:tc>
          <w:tcPr>
            <w:tcW w:w="1916"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162</w:t>
            </w:r>
          </w:p>
        </w:tc>
        <w:tc>
          <w:tcPr>
            <w:tcW w:w="1916"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100</w:t>
            </w:r>
          </w:p>
        </w:tc>
      </w:tr>
      <w:tr w:rsidR="00B348F7" w:rsidRPr="00EE2DE7" w:rsidTr="00B348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4" w:type="dxa"/>
          </w:tcPr>
          <w:p w:rsidR="00B348F7" w:rsidRPr="00EE2DE7" w:rsidRDefault="00B348F7" w:rsidP="002737A9">
            <w:pPr>
              <w:rPr>
                <w:rFonts w:ascii="Calibri" w:eastAsia="Calibri" w:hAnsi="Calibri" w:cs="Times New Roman"/>
                <w:sz w:val="23"/>
                <w:szCs w:val="23"/>
              </w:rPr>
            </w:pPr>
            <w:r w:rsidRPr="00EE2DE7">
              <w:rPr>
                <w:rFonts w:ascii="Calibri" w:eastAsia="Calibri" w:hAnsi="Calibri" w:cs="Times New Roman"/>
                <w:sz w:val="23"/>
                <w:szCs w:val="23"/>
              </w:rPr>
              <w:t>Mars 2018</w:t>
            </w:r>
          </w:p>
        </w:tc>
        <w:tc>
          <w:tcPr>
            <w:tcW w:w="1915"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237</w:t>
            </w:r>
          </w:p>
        </w:tc>
        <w:tc>
          <w:tcPr>
            <w:tcW w:w="1915"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192</w:t>
            </w:r>
          </w:p>
        </w:tc>
        <w:tc>
          <w:tcPr>
            <w:tcW w:w="1916"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207</w:t>
            </w:r>
          </w:p>
        </w:tc>
        <w:tc>
          <w:tcPr>
            <w:tcW w:w="1916"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177</w:t>
            </w:r>
          </w:p>
        </w:tc>
      </w:tr>
      <w:tr w:rsidR="00B348F7" w:rsidRPr="00EE2DE7" w:rsidTr="00B348F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4" w:type="dxa"/>
          </w:tcPr>
          <w:p w:rsidR="00B348F7" w:rsidRPr="00EE2DE7" w:rsidRDefault="00B348F7" w:rsidP="002737A9">
            <w:pPr>
              <w:rPr>
                <w:rFonts w:ascii="Calibri" w:eastAsia="Calibri" w:hAnsi="Calibri" w:cs="Times New Roman"/>
                <w:sz w:val="23"/>
                <w:szCs w:val="23"/>
              </w:rPr>
            </w:pPr>
            <w:r w:rsidRPr="00EE2DE7">
              <w:rPr>
                <w:rFonts w:ascii="Calibri" w:eastAsia="Calibri" w:hAnsi="Calibri" w:cs="Times New Roman"/>
                <w:sz w:val="23"/>
                <w:szCs w:val="23"/>
              </w:rPr>
              <w:t>Prill 2018</w:t>
            </w:r>
          </w:p>
        </w:tc>
        <w:tc>
          <w:tcPr>
            <w:tcW w:w="1915"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147</w:t>
            </w:r>
          </w:p>
        </w:tc>
        <w:tc>
          <w:tcPr>
            <w:tcW w:w="1915"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130</w:t>
            </w:r>
          </w:p>
        </w:tc>
        <w:tc>
          <w:tcPr>
            <w:tcW w:w="1916"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130</w:t>
            </w:r>
          </w:p>
        </w:tc>
        <w:tc>
          <w:tcPr>
            <w:tcW w:w="1916"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111</w:t>
            </w:r>
          </w:p>
        </w:tc>
      </w:tr>
      <w:tr w:rsidR="00B348F7" w:rsidRPr="00EE2DE7" w:rsidTr="00B348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4" w:type="dxa"/>
          </w:tcPr>
          <w:p w:rsidR="00B348F7" w:rsidRPr="00EE2DE7" w:rsidRDefault="00B348F7" w:rsidP="002737A9">
            <w:pPr>
              <w:rPr>
                <w:rFonts w:ascii="Calibri" w:eastAsia="Calibri" w:hAnsi="Calibri" w:cs="Times New Roman"/>
                <w:sz w:val="23"/>
                <w:szCs w:val="23"/>
              </w:rPr>
            </w:pPr>
            <w:r w:rsidRPr="00EE2DE7">
              <w:rPr>
                <w:rFonts w:ascii="Calibri" w:eastAsia="Calibri" w:hAnsi="Calibri" w:cs="Times New Roman"/>
                <w:sz w:val="23"/>
                <w:szCs w:val="23"/>
              </w:rPr>
              <w:t>Maj 2018</w:t>
            </w:r>
          </w:p>
        </w:tc>
        <w:tc>
          <w:tcPr>
            <w:tcW w:w="1915"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159</w:t>
            </w:r>
          </w:p>
        </w:tc>
        <w:tc>
          <w:tcPr>
            <w:tcW w:w="1915"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142</w:t>
            </w:r>
          </w:p>
        </w:tc>
        <w:tc>
          <w:tcPr>
            <w:tcW w:w="1916"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77</w:t>
            </w:r>
          </w:p>
        </w:tc>
        <w:tc>
          <w:tcPr>
            <w:tcW w:w="1916"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59</w:t>
            </w:r>
          </w:p>
        </w:tc>
      </w:tr>
      <w:tr w:rsidR="00B348F7" w:rsidRPr="00EE2DE7" w:rsidTr="00B348F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4" w:type="dxa"/>
          </w:tcPr>
          <w:p w:rsidR="00B348F7" w:rsidRPr="00EE2DE7" w:rsidRDefault="00B348F7" w:rsidP="002737A9">
            <w:pPr>
              <w:rPr>
                <w:rFonts w:ascii="Calibri" w:eastAsia="Calibri" w:hAnsi="Calibri" w:cs="Times New Roman"/>
                <w:sz w:val="23"/>
                <w:szCs w:val="23"/>
              </w:rPr>
            </w:pPr>
            <w:r w:rsidRPr="00EE2DE7">
              <w:rPr>
                <w:rFonts w:ascii="Calibri" w:eastAsia="Calibri" w:hAnsi="Calibri" w:cs="Times New Roman"/>
                <w:sz w:val="23"/>
                <w:szCs w:val="23"/>
              </w:rPr>
              <w:t>Qershor 2018</w:t>
            </w:r>
          </w:p>
        </w:tc>
        <w:tc>
          <w:tcPr>
            <w:tcW w:w="1915"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242</w:t>
            </w:r>
          </w:p>
        </w:tc>
        <w:tc>
          <w:tcPr>
            <w:tcW w:w="1915"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209</w:t>
            </w:r>
          </w:p>
        </w:tc>
        <w:tc>
          <w:tcPr>
            <w:tcW w:w="1916"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165</w:t>
            </w:r>
          </w:p>
        </w:tc>
        <w:tc>
          <w:tcPr>
            <w:tcW w:w="1916"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124</w:t>
            </w:r>
          </w:p>
        </w:tc>
      </w:tr>
      <w:tr w:rsidR="00B348F7" w:rsidRPr="00EE2DE7" w:rsidTr="00B348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4" w:type="dxa"/>
          </w:tcPr>
          <w:p w:rsidR="00B348F7" w:rsidRPr="00EE2DE7" w:rsidRDefault="00B348F7" w:rsidP="002737A9">
            <w:pPr>
              <w:rPr>
                <w:rFonts w:ascii="Calibri" w:eastAsia="Calibri" w:hAnsi="Calibri" w:cs="Times New Roman"/>
                <w:sz w:val="23"/>
                <w:szCs w:val="23"/>
              </w:rPr>
            </w:pPr>
            <w:r w:rsidRPr="00EE2DE7">
              <w:rPr>
                <w:rFonts w:ascii="Calibri" w:eastAsia="Calibri" w:hAnsi="Calibri" w:cs="Times New Roman"/>
                <w:sz w:val="23"/>
                <w:szCs w:val="23"/>
              </w:rPr>
              <w:t>Korrik 2018</w:t>
            </w:r>
          </w:p>
        </w:tc>
        <w:tc>
          <w:tcPr>
            <w:tcW w:w="1915"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49</w:t>
            </w:r>
          </w:p>
        </w:tc>
        <w:tc>
          <w:tcPr>
            <w:tcW w:w="1915"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45</w:t>
            </w:r>
          </w:p>
        </w:tc>
        <w:tc>
          <w:tcPr>
            <w:tcW w:w="1916"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34</w:t>
            </w:r>
          </w:p>
        </w:tc>
        <w:tc>
          <w:tcPr>
            <w:tcW w:w="1916"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29</w:t>
            </w:r>
          </w:p>
        </w:tc>
      </w:tr>
      <w:tr w:rsidR="00B348F7" w:rsidRPr="00EE2DE7" w:rsidTr="00B348F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4" w:type="dxa"/>
          </w:tcPr>
          <w:p w:rsidR="00B348F7" w:rsidRPr="00B348F7" w:rsidRDefault="00B348F7" w:rsidP="002737A9">
            <w:pPr>
              <w:rPr>
                <w:rFonts w:ascii="Calibri" w:eastAsia="Calibri" w:hAnsi="Calibri" w:cs="Times New Roman"/>
                <w:sz w:val="20"/>
                <w:szCs w:val="23"/>
              </w:rPr>
            </w:pPr>
            <w:r w:rsidRPr="00B348F7">
              <w:rPr>
                <w:rFonts w:ascii="Calibri" w:eastAsia="Calibri" w:hAnsi="Calibri" w:cs="Times New Roman"/>
                <w:sz w:val="20"/>
                <w:szCs w:val="23"/>
              </w:rPr>
              <w:t xml:space="preserve">Nëntor –dhjetor                   </w:t>
            </w:r>
          </w:p>
          <w:p w:rsidR="00B348F7" w:rsidRPr="00EE2DE7" w:rsidRDefault="00B348F7" w:rsidP="002737A9">
            <w:pPr>
              <w:rPr>
                <w:rFonts w:ascii="Calibri" w:eastAsia="Calibri" w:hAnsi="Calibri" w:cs="Times New Roman"/>
                <w:sz w:val="23"/>
                <w:szCs w:val="23"/>
              </w:rPr>
            </w:pPr>
            <w:r w:rsidRPr="00B348F7">
              <w:rPr>
                <w:rFonts w:ascii="Calibri" w:eastAsia="Calibri" w:hAnsi="Calibri" w:cs="Times New Roman"/>
                <w:sz w:val="20"/>
                <w:szCs w:val="23"/>
              </w:rPr>
              <w:t xml:space="preserve">                2017</w:t>
            </w:r>
          </w:p>
        </w:tc>
        <w:tc>
          <w:tcPr>
            <w:tcW w:w="1915"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523</w:t>
            </w:r>
          </w:p>
        </w:tc>
        <w:tc>
          <w:tcPr>
            <w:tcW w:w="1915"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360</w:t>
            </w:r>
          </w:p>
        </w:tc>
        <w:tc>
          <w:tcPr>
            <w:tcW w:w="1916"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370</w:t>
            </w:r>
          </w:p>
        </w:tc>
        <w:tc>
          <w:tcPr>
            <w:tcW w:w="1916"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276</w:t>
            </w:r>
          </w:p>
        </w:tc>
      </w:tr>
      <w:tr w:rsidR="00B348F7" w:rsidRPr="00EE2DE7" w:rsidTr="00B348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4" w:type="dxa"/>
          </w:tcPr>
          <w:p w:rsidR="00B348F7" w:rsidRPr="00EE2DE7" w:rsidRDefault="00B348F7" w:rsidP="002737A9">
            <w:pPr>
              <w:rPr>
                <w:rFonts w:ascii="Calibri" w:eastAsia="Calibri" w:hAnsi="Calibri" w:cs="Times New Roman"/>
                <w:sz w:val="23"/>
                <w:szCs w:val="23"/>
              </w:rPr>
            </w:pPr>
            <w:r w:rsidRPr="00EE2DE7">
              <w:rPr>
                <w:rFonts w:ascii="Calibri" w:eastAsia="Calibri" w:hAnsi="Calibri" w:cs="Times New Roman"/>
                <w:sz w:val="23"/>
                <w:szCs w:val="23"/>
              </w:rPr>
              <w:t>Tetor      2017</w:t>
            </w:r>
          </w:p>
        </w:tc>
        <w:tc>
          <w:tcPr>
            <w:tcW w:w="1915"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75</w:t>
            </w:r>
          </w:p>
        </w:tc>
        <w:tc>
          <w:tcPr>
            <w:tcW w:w="1915"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66</w:t>
            </w:r>
          </w:p>
        </w:tc>
        <w:tc>
          <w:tcPr>
            <w:tcW w:w="1916"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81</w:t>
            </w:r>
          </w:p>
        </w:tc>
        <w:tc>
          <w:tcPr>
            <w:tcW w:w="1916"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69</w:t>
            </w:r>
          </w:p>
        </w:tc>
      </w:tr>
      <w:tr w:rsidR="00B348F7" w:rsidRPr="00EE2DE7" w:rsidTr="00B348F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4" w:type="dxa"/>
          </w:tcPr>
          <w:p w:rsidR="00B348F7" w:rsidRPr="00EE2DE7" w:rsidRDefault="00B348F7" w:rsidP="002737A9">
            <w:pPr>
              <w:rPr>
                <w:rFonts w:ascii="Calibri" w:eastAsia="Calibri" w:hAnsi="Calibri" w:cs="Times New Roman"/>
                <w:sz w:val="23"/>
                <w:szCs w:val="23"/>
              </w:rPr>
            </w:pPr>
            <w:r w:rsidRPr="00EE2DE7">
              <w:rPr>
                <w:rFonts w:ascii="Calibri" w:eastAsia="Calibri" w:hAnsi="Calibri" w:cs="Times New Roman"/>
                <w:sz w:val="23"/>
                <w:szCs w:val="23"/>
              </w:rPr>
              <w:t>Shtator  2017</w:t>
            </w:r>
          </w:p>
        </w:tc>
        <w:tc>
          <w:tcPr>
            <w:tcW w:w="1915"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33</w:t>
            </w:r>
          </w:p>
        </w:tc>
        <w:tc>
          <w:tcPr>
            <w:tcW w:w="1915"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32</w:t>
            </w:r>
          </w:p>
        </w:tc>
        <w:tc>
          <w:tcPr>
            <w:tcW w:w="1916"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2</w:t>
            </w:r>
          </w:p>
        </w:tc>
        <w:tc>
          <w:tcPr>
            <w:tcW w:w="1916"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2</w:t>
            </w:r>
          </w:p>
        </w:tc>
      </w:tr>
      <w:tr w:rsidR="00B348F7" w:rsidRPr="00EE2DE7" w:rsidTr="00B348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4" w:type="dxa"/>
          </w:tcPr>
          <w:p w:rsidR="00B348F7" w:rsidRPr="00EE2DE7" w:rsidRDefault="00B348F7" w:rsidP="002737A9">
            <w:pPr>
              <w:rPr>
                <w:rFonts w:ascii="Calibri" w:eastAsia="Calibri" w:hAnsi="Calibri" w:cs="Times New Roman"/>
                <w:sz w:val="23"/>
                <w:szCs w:val="23"/>
              </w:rPr>
            </w:pPr>
            <w:r w:rsidRPr="00EE2DE7">
              <w:rPr>
                <w:rFonts w:ascii="Calibri" w:eastAsia="Calibri" w:hAnsi="Calibri" w:cs="Times New Roman"/>
                <w:sz w:val="23"/>
                <w:szCs w:val="23"/>
              </w:rPr>
              <w:t>Total</w:t>
            </w:r>
            <w:r>
              <w:rPr>
                <w:rFonts w:ascii="Calibri" w:eastAsia="Calibri" w:hAnsi="Calibri" w:cs="Times New Roman"/>
                <w:sz w:val="23"/>
                <w:szCs w:val="23"/>
              </w:rPr>
              <w:t xml:space="preserve">i </w:t>
            </w:r>
          </w:p>
        </w:tc>
        <w:tc>
          <w:tcPr>
            <w:tcW w:w="1915"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1992</w:t>
            </w:r>
          </w:p>
        </w:tc>
        <w:tc>
          <w:tcPr>
            <w:tcW w:w="1915"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1509</w:t>
            </w:r>
          </w:p>
        </w:tc>
        <w:tc>
          <w:tcPr>
            <w:tcW w:w="1916"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1501</w:t>
            </w:r>
          </w:p>
        </w:tc>
        <w:tc>
          <w:tcPr>
            <w:tcW w:w="1916"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1124</w:t>
            </w:r>
          </w:p>
        </w:tc>
      </w:tr>
    </w:tbl>
    <w:p w:rsidR="00B348F7" w:rsidRPr="00B348F7" w:rsidRDefault="00B348F7" w:rsidP="00B348F7">
      <w:pPr>
        <w:spacing w:after="200" w:line="276" w:lineRule="auto"/>
        <w:jc w:val="both"/>
        <w:rPr>
          <w:rFonts w:eastAsia="Calibri"/>
          <w:i/>
          <w:kern w:val="24"/>
          <w:sz w:val="20"/>
        </w:rPr>
      </w:pPr>
      <w:r>
        <w:rPr>
          <w:rFonts w:eastAsia="Calibri"/>
          <w:i/>
          <w:kern w:val="24"/>
          <w:sz w:val="20"/>
        </w:rPr>
        <w:t xml:space="preserve">                                               </w:t>
      </w:r>
      <w:r w:rsidRPr="00B348F7">
        <w:rPr>
          <w:rFonts w:eastAsia="Calibri"/>
          <w:i/>
          <w:kern w:val="24"/>
          <w:sz w:val="20"/>
        </w:rPr>
        <w:t>Tabela nr.2 Pjesëmarrja dhe certifikimi sipas muajve</w:t>
      </w:r>
    </w:p>
    <w:p w:rsidR="00B348F7" w:rsidRPr="003E7455" w:rsidRDefault="00B348F7" w:rsidP="003E7455">
      <w:pPr>
        <w:spacing w:line="276" w:lineRule="auto"/>
        <w:jc w:val="both"/>
        <w:rPr>
          <w:b/>
          <w:color w:val="CC9966" w:themeColor="accent2"/>
        </w:rPr>
      </w:pPr>
      <w:r w:rsidRPr="003E7455">
        <w:rPr>
          <w:b/>
          <w:color w:val="CC9966" w:themeColor="accent2"/>
        </w:rPr>
        <w:t>Këtë vit akademik të dhënat janë mbajtur në mënyrë manuale dhe digjitale.</w:t>
      </w:r>
    </w:p>
    <w:p w:rsidR="00B348F7" w:rsidRPr="00EE2DE7" w:rsidRDefault="00B348F7" w:rsidP="00B348F7">
      <w:pPr>
        <w:spacing w:line="276" w:lineRule="auto"/>
        <w:ind w:firstLine="720"/>
        <w:jc w:val="both"/>
        <w:rPr>
          <w:rFonts w:eastAsia="Calibri"/>
          <w:kern w:val="24"/>
          <w:szCs w:val="23"/>
        </w:rPr>
      </w:pPr>
    </w:p>
    <w:p w:rsidR="00B348F7" w:rsidRPr="002A5C07" w:rsidRDefault="00B348F7" w:rsidP="00B348F7">
      <w:pPr>
        <w:spacing w:line="276" w:lineRule="auto"/>
        <w:ind w:firstLine="720"/>
        <w:jc w:val="both"/>
        <w:rPr>
          <w:rFonts w:eastAsia="Calibri"/>
          <w:kern w:val="24"/>
          <w:szCs w:val="23"/>
        </w:rPr>
      </w:pPr>
      <w:r w:rsidRPr="00EE2DE7">
        <w:rPr>
          <w:rFonts w:eastAsia="Calibri"/>
          <w:kern w:val="24"/>
          <w:szCs w:val="23"/>
        </w:rPr>
        <w:t>Por, si risi, në këtë pjesë, vlen</w:t>
      </w:r>
      <w:r w:rsidRPr="00EE2DE7">
        <w:rPr>
          <w:rFonts w:eastAsia="Calibri"/>
          <w:b/>
          <w:kern w:val="24"/>
          <w:szCs w:val="23"/>
        </w:rPr>
        <w:t xml:space="preserve"> </w:t>
      </w:r>
      <w:r w:rsidRPr="002A5C07">
        <w:rPr>
          <w:rFonts w:eastAsia="Calibri"/>
          <w:kern w:val="24"/>
          <w:szCs w:val="23"/>
        </w:rPr>
        <w:t xml:space="preserve">të përmendim, implementimin e platformës E-learning, nëpërmjet të cilës, ndër të tjera, synohet të realizohet mbajtja e të dhënave në mënyrë elektronike. Kjo platformë, do të përmirësojë, jo vetëm cilësinë e dhënies së informacionit nga sekretaria e FV-së, por edhe do të lehtësojë marrjen e informacionit nga gjyqtarë/prokurorë (dhe jo vetëm) në lidhje me trajnimet që do të realizohen dhe materialet e përdorura në çdo trajnim. </w:t>
      </w:r>
    </w:p>
    <w:p w:rsidR="00B348F7" w:rsidRPr="00EE2DE7" w:rsidRDefault="00B348F7" w:rsidP="003E7455">
      <w:pPr>
        <w:spacing w:line="276" w:lineRule="auto"/>
        <w:ind w:firstLine="720"/>
        <w:jc w:val="both"/>
        <w:rPr>
          <w:rFonts w:eastAsia="Calibri"/>
          <w:kern w:val="24"/>
          <w:szCs w:val="23"/>
        </w:rPr>
      </w:pPr>
      <w:r w:rsidRPr="00EE2DE7">
        <w:rPr>
          <w:rFonts w:eastAsia="Calibri"/>
          <w:kern w:val="24"/>
          <w:szCs w:val="23"/>
        </w:rPr>
        <w:lastRenderedPageBreak/>
        <w:t xml:space="preserve">Sikurse vihet re, në një sërë rastesh, numri i frekuentimit të temave/kurseve nga gjyqtarët që kanë aplikuar për një sesion trajnues, është i ndryshëm nga numri i atyre që kanë ardhur në sesion dhe i ndryshëm nga ai i atyre që kanë frekuentuar rregullisht, aq sa për t’u pajisur me certifikatë. Është pothuajse sa gjysma e atyre që kanë ftesë ose më saktë e atyre që kanë aplikuar e janë pajisur me certifikatë. Po e njëjta situatë paraqitet me prokurorët. </w:t>
      </w:r>
    </w:p>
    <w:p w:rsidR="00B348F7" w:rsidRDefault="00B348F7" w:rsidP="00B348F7">
      <w:pPr>
        <w:spacing w:line="276" w:lineRule="auto"/>
        <w:ind w:firstLine="720"/>
        <w:jc w:val="both"/>
        <w:rPr>
          <w:rFonts w:eastAsia="Calibri"/>
          <w:kern w:val="24"/>
          <w:szCs w:val="23"/>
        </w:rPr>
      </w:pPr>
      <w:r w:rsidRPr="00EE2DE7">
        <w:rPr>
          <w:rFonts w:eastAsia="Calibri"/>
          <w:kern w:val="24"/>
          <w:szCs w:val="23"/>
        </w:rPr>
        <w:t xml:space="preserve">Gjithsesi, pjesëmarrja e gjyqtarëve/prokurorëve në këto veprimtari trajnuese është e kënaqshme. Një pjesë e tyre edhe pse vijnë nga rrethe të largëta, e frekuentojnë me </w:t>
      </w:r>
      <w:r>
        <w:rPr>
          <w:rFonts w:eastAsia="Calibri"/>
          <w:kern w:val="24"/>
          <w:szCs w:val="23"/>
        </w:rPr>
        <w:t>interes</w:t>
      </w:r>
      <w:r w:rsidRPr="00EE2DE7">
        <w:rPr>
          <w:rFonts w:eastAsia="Calibri"/>
          <w:kern w:val="24"/>
          <w:szCs w:val="23"/>
        </w:rPr>
        <w:t xml:space="preserve"> aktivitetin. </w:t>
      </w:r>
    </w:p>
    <w:p w:rsidR="003E7455" w:rsidRPr="00EE2DE7" w:rsidRDefault="003E7455" w:rsidP="00B348F7">
      <w:pPr>
        <w:spacing w:line="276" w:lineRule="auto"/>
        <w:ind w:firstLine="720"/>
        <w:jc w:val="both"/>
        <w:rPr>
          <w:rFonts w:eastAsia="Calibri"/>
          <w:kern w:val="24"/>
          <w:szCs w:val="23"/>
        </w:rPr>
      </w:pPr>
    </w:p>
    <w:p w:rsidR="003E7455" w:rsidRDefault="003E7455" w:rsidP="003E7455">
      <w:pPr>
        <w:spacing w:line="276" w:lineRule="auto"/>
        <w:jc w:val="center"/>
        <w:rPr>
          <w:rFonts w:eastAsia="Calibri"/>
          <w:i/>
          <w:kern w:val="24"/>
        </w:rPr>
      </w:pPr>
      <w:r w:rsidRPr="003E7455">
        <w:rPr>
          <w:rFonts w:eastAsia="Calibri"/>
          <w:noProof/>
          <w:kern w:val="24"/>
          <w:lang w:eastAsia="en-US"/>
        </w:rPr>
        <w:drawing>
          <wp:inline distT="0" distB="0" distL="0" distR="0">
            <wp:extent cx="3996690" cy="2423160"/>
            <wp:effectExtent l="19050" t="0" r="22860" b="0"/>
            <wp:docPr id="34"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Pr="003E7455">
        <w:rPr>
          <w:rFonts w:eastAsia="Calibri"/>
          <w:i/>
          <w:kern w:val="24"/>
        </w:rPr>
        <w:t xml:space="preserve"> </w:t>
      </w:r>
    </w:p>
    <w:p w:rsidR="003E7455" w:rsidRDefault="003E7455" w:rsidP="003E7455">
      <w:pPr>
        <w:spacing w:line="276" w:lineRule="auto"/>
        <w:jc w:val="center"/>
        <w:rPr>
          <w:rFonts w:eastAsia="Calibri"/>
          <w:i/>
          <w:kern w:val="24"/>
          <w:sz w:val="20"/>
        </w:rPr>
      </w:pPr>
      <w:r w:rsidRPr="003E7455">
        <w:rPr>
          <w:rFonts w:eastAsia="Calibri"/>
          <w:i/>
          <w:kern w:val="24"/>
          <w:sz w:val="20"/>
        </w:rPr>
        <w:t>Grafiku nr.7 Grafik krahasues në përqindje të përbërjes së auditorit me gjyqtar</w:t>
      </w:r>
      <w:r w:rsidRPr="003E7455">
        <w:rPr>
          <w:rFonts w:eastAsia="Calibri"/>
          <w:i/>
          <w:kern w:val="24"/>
          <w:sz w:val="20"/>
          <w:szCs w:val="23"/>
        </w:rPr>
        <w:t>ë</w:t>
      </w:r>
      <w:r w:rsidRPr="003E7455">
        <w:rPr>
          <w:rFonts w:eastAsia="Calibri"/>
          <w:i/>
          <w:kern w:val="24"/>
          <w:sz w:val="20"/>
        </w:rPr>
        <w:t xml:space="preserve"> dhe prokurorë për vitin akademik  2017-2018.</w:t>
      </w:r>
    </w:p>
    <w:p w:rsidR="003E7455" w:rsidRPr="00EE2DE7" w:rsidRDefault="003E7455" w:rsidP="003E7455">
      <w:pPr>
        <w:spacing w:line="276" w:lineRule="auto"/>
        <w:jc w:val="center"/>
        <w:rPr>
          <w:rFonts w:eastAsia="Calibri"/>
          <w:i/>
          <w:kern w:val="24"/>
        </w:rPr>
      </w:pPr>
    </w:p>
    <w:p w:rsidR="003E7455" w:rsidRPr="00EE2DE7" w:rsidRDefault="003E7455" w:rsidP="003E7455">
      <w:pPr>
        <w:spacing w:line="276" w:lineRule="auto"/>
        <w:ind w:firstLine="720"/>
        <w:jc w:val="both"/>
        <w:rPr>
          <w:rFonts w:eastAsia="Calibri"/>
          <w:kern w:val="24"/>
        </w:rPr>
      </w:pPr>
      <w:r w:rsidRPr="00EE2DE7">
        <w:rPr>
          <w:rFonts w:eastAsia="Calibri"/>
          <w:kern w:val="24"/>
        </w:rPr>
        <w:t>Në hartimin e listave për çdo aktivitet, numri i aplikuesve mesatarisht shkon nga një minimum prej 25 (njëzet e pesë) deri në një maksimum prej 55 (pesëdhjet</w:t>
      </w:r>
      <w:r w:rsidRPr="00EE2DE7">
        <w:rPr>
          <w:rFonts w:eastAsia="MS Mincho"/>
          <w:kern w:val="24"/>
        </w:rPr>
        <w:t>ë</w:t>
      </w:r>
      <w:r w:rsidRPr="00EE2DE7">
        <w:rPr>
          <w:rFonts w:eastAsia="Calibri"/>
          <w:kern w:val="24"/>
        </w:rPr>
        <w:t xml:space="preserve"> e pesë) gjyqtarë/prokurorë. Kuptohet, me përjashtim të rasteve kur kërkesat janë më të ulëta apo më të larta. Por, nuk duhet lënë pa p</w:t>
      </w:r>
      <w:r w:rsidRPr="00EE2DE7">
        <w:rPr>
          <w:rFonts w:eastAsia="MS Mincho"/>
          <w:kern w:val="24"/>
        </w:rPr>
        <w:t>ë</w:t>
      </w:r>
      <w:r w:rsidRPr="00EE2DE7">
        <w:rPr>
          <w:rFonts w:eastAsia="Calibri"/>
          <w:kern w:val="24"/>
        </w:rPr>
        <w:t>rmendur fakti se jo të gjithë ata që ftojmë dhe konfirmojnë më pas pjesëmarrjen, janë frekuentues. Kjo bën që, ditën e aktivitetit, numri i tyre të shkojë deri në një mesatare prej 15 (pesëmbëdhjetë) gjyqtarë/prokurorë.</w:t>
      </w:r>
    </w:p>
    <w:p w:rsidR="003E7455" w:rsidRPr="00EE2DE7" w:rsidRDefault="003E7455" w:rsidP="003E7455">
      <w:pPr>
        <w:spacing w:line="276" w:lineRule="auto"/>
        <w:ind w:firstLine="720"/>
        <w:jc w:val="both"/>
        <w:rPr>
          <w:rFonts w:eastAsia="Calibri"/>
          <w:kern w:val="24"/>
        </w:rPr>
      </w:pPr>
      <w:r w:rsidRPr="00EE2DE7">
        <w:rPr>
          <w:rFonts w:eastAsia="Calibri"/>
          <w:kern w:val="24"/>
        </w:rPr>
        <w:t xml:space="preserve">Konstatojmë, se ka disa gjyqtarë e prokurorë që nuk kanë aplikuar asnjëherë dhe nuk kanë marrë pjesë në asnjë sesion trajnues. Këta pa dyshim përbëjnë një grup të kufizuar, por ky fenomen, qoftë edhe në përmasa të tilla të reduktuara, duhet të konsiderohet seriozisht nga KLGJ-ja dhe KLP-ja. </w:t>
      </w:r>
    </w:p>
    <w:p w:rsidR="003E7455" w:rsidRPr="00EE2DE7" w:rsidRDefault="003E7455" w:rsidP="003E7455">
      <w:pPr>
        <w:spacing w:line="276" w:lineRule="auto"/>
        <w:ind w:firstLine="720"/>
        <w:jc w:val="both"/>
        <w:rPr>
          <w:rFonts w:eastAsia="Calibri"/>
          <w:kern w:val="24"/>
        </w:rPr>
      </w:pPr>
      <w:r w:rsidRPr="00EE2DE7">
        <w:rPr>
          <w:rFonts w:eastAsia="Calibri"/>
          <w:kern w:val="24"/>
        </w:rPr>
        <w:t>Me ndryshimet që janë bërë në legjislacion, Formimi Vazhdues është bërë i detyrueshëm për të gjithë gjyqtarët dhe prokurorët, në të njëjtën kohë edhe për subjektet e tjera të parashikuara në ligj, çka nënkupton faktin se konfirmimi dhe marrja pjesë në sesionet trajnuese është tashmë një detyrim ligjor për të gjithë.</w:t>
      </w:r>
    </w:p>
    <w:p w:rsidR="003E7455" w:rsidRPr="00EE2DE7" w:rsidRDefault="003E7455" w:rsidP="003E7455">
      <w:pPr>
        <w:spacing w:line="276" w:lineRule="auto"/>
        <w:ind w:firstLine="720"/>
        <w:jc w:val="both"/>
        <w:rPr>
          <w:rFonts w:eastAsia="Calibri"/>
          <w:kern w:val="24"/>
        </w:rPr>
      </w:pPr>
      <w:r w:rsidRPr="00EE2DE7">
        <w:rPr>
          <w:rFonts w:eastAsia="Calibri"/>
          <w:kern w:val="24"/>
        </w:rPr>
        <w:t>Në këto kushte, Shkolla e Magjistraturës, në bashkëpunim me KLGJ-në dhe KLP-në, do të vijojë të angazhohet për të siguruar një pjesëmarrje më të madhe në aktivitetet trajnuese nga ana e gjyqtarëve dhe prokurorëve.</w:t>
      </w:r>
    </w:p>
    <w:p w:rsidR="003E7455" w:rsidRPr="00EE2DE7" w:rsidRDefault="003E7455" w:rsidP="003E7455">
      <w:pPr>
        <w:spacing w:line="276" w:lineRule="auto"/>
        <w:ind w:firstLine="720"/>
        <w:jc w:val="both"/>
        <w:rPr>
          <w:rFonts w:eastAsia="Calibri"/>
          <w:kern w:val="24"/>
        </w:rPr>
      </w:pPr>
      <w:r w:rsidRPr="00EE2DE7">
        <w:rPr>
          <w:rFonts w:eastAsia="Calibri"/>
          <w:kern w:val="24"/>
        </w:rPr>
        <w:t>Në raste të veçanta Shkolla e Magjistraturës ka informuar Prokurorinë e Përgjithshme dhe KLD-në lidhur me problemet në frekuentim nga individë të caktuar.</w:t>
      </w:r>
    </w:p>
    <w:p w:rsidR="003E7455" w:rsidRPr="00EE2DE7" w:rsidRDefault="003E7455" w:rsidP="003E7455">
      <w:pPr>
        <w:spacing w:line="276" w:lineRule="auto"/>
        <w:ind w:firstLine="720"/>
        <w:jc w:val="both"/>
        <w:rPr>
          <w:rFonts w:eastAsia="Calibri"/>
          <w:kern w:val="24"/>
        </w:rPr>
      </w:pPr>
      <w:r w:rsidRPr="00EE2DE7">
        <w:rPr>
          <w:rFonts w:eastAsia="Calibri"/>
          <w:kern w:val="24"/>
        </w:rPr>
        <w:lastRenderedPageBreak/>
        <w:t>Disa të dhëna statistikore mbi përmbushjen e detyrimit ligjor për pjesëmarrjen në trajnime për gjyqtarë dhe prokurorë për vitin akademik 2017-2018, po i pasqyrojmë si më poshtë përmes një tabele dhe një grafiku:</w:t>
      </w:r>
    </w:p>
    <w:p w:rsidR="003E7455" w:rsidRDefault="003E7455" w:rsidP="003E7455">
      <w:pPr>
        <w:spacing w:line="276" w:lineRule="auto"/>
        <w:ind w:firstLine="720"/>
        <w:jc w:val="both"/>
        <w:rPr>
          <w:rFonts w:eastAsia="Calibri"/>
          <w:kern w:val="24"/>
        </w:rPr>
      </w:pPr>
    </w:p>
    <w:tbl>
      <w:tblPr>
        <w:tblStyle w:val="MediumList2-Accent2"/>
        <w:tblW w:w="5339" w:type="dxa"/>
        <w:tblLook w:val="04A0" w:firstRow="1" w:lastRow="0" w:firstColumn="1" w:lastColumn="0" w:noHBand="0" w:noVBand="1"/>
      </w:tblPr>
      <w:tblGrid>
        <w:gridCol w:w="1523"/>
        <w:gridCol w:w="1785"/>
        <w:gridCol w:w="2031"/>
      </w:tblGrid>
      <w:tr w:rsidR="003E7455" w:rsidRPr="00EE2DE7" w:rsidTr="008D2205">
        <w:trPr>
          <w:cnfStyle w:val="100000000000" w:firstRow="1" w:lastRow="0" w:firstColumn="0" w:lastColumn="0" w:oddVBand="0" w:evenVBand="0" w:oddHBand="0" w:evenHBand="0" w:firstRowFirstColumn="0" w:firstRowLastColumn="0" w:lastRowFirstColumn="0" w:lastRowLastColumn="0"/>
          <w:trHeight w:val="237"/>
        </w:trPr>
        <w:tc>
          <w:tcPr>
            <w:cnfStyle w:val="001000000100" w:firstRow="0" w:lastRow="0" w:firstColumn="1" w:lastColumn="0" w:oddVBand="0" w:evenVBand="0" w:oddHBand="0" w:evenHBand="0" w:firstRowFirstColumn="1" w:firstRowLastColumn="0" w:lastRowFirstColumn="0" w:lastRowLastColumn="0"/>
            <w:tcW w:w="1523" w:type="dxa"/>
            <w:noWrap/>
            <w:hideMark/>
          </w:tcPr>
          <w:p w:rsidR="003E7455" w:rsidRPr="00EE2DE7" w:rsidRDefault="003E7455" w:rsidP="00C86726">
            <w:pPr>
              <w:jc w:val="center"/>
              <w:rPr>
                <w:rFonts w:ascii="Bookman Old Style" w:eastAsia="Times New Roman" w:hAnsi="Bookman Old Style" w:cs="Times New Roman"/>
                <w:b/>
                <w:bCs/>
                <w:kern w:val="24"/>
                <w:sz w:val="23"/>
                <w:szCs w:val="23"/>
              </w:rPr>
            </w:pPr>
            <w:r w:rsidRPr="00EE2DE7">
              <w:rPr>
                <w:rFonts w:ascii="Bookman Old Style" w:eastAsia="Times New Roman" w:hAnsi="Bookman Old Style" w:cs="Times New Roman"/>
                <w:b/>
                <w:bCs/>
                <w:kern w:val="24"/>
                <w:sz w:val="23"/>
                <w:szCs w:val="23"/>
              </w:rPr>
              <w:t>Ditët</w:t>
            </w:r>
          </w:p>
        </w:tc>
        <w:tc>
          <w:tcPr>
            <w:tcW w:w="1785" w:type="dxa"/>
            <w:noWrap/>
            <w:hideMark/>
          </w:tcPr>
          <w:p w:rsidR="003E7455" w:rsidRPr="00EE2DE7" w:rsidRDefault="003E7455" w:rsidP="00C86726">
            <w:pPr>
              <w:jc w:val="center"/>
              <w:cnfStyle w:val="100000000000" w:firstRow="1" w:lastRow="0" w:firstColumn="0" w:lastColumn="0" w:oddVBand="0" w:evenVBand="0" w:oddHBand="0" w:evenHBand="0" w:firstRowFirstColumn="0" w:firstRowLastColumn="0" w:lastRowFirstColumn="0" w:lastRowLastColumn="0"/>
              <w:rPr>
                <w:rFonts w:ascii="Bookman Old Style" w:eastAsia="Times New Roman" w:hAnsi="Bookman Old Style" w:cs="Times New Roman"/>
                <w:b/>
                <w:bCs/>
                <w:kern w:val="24"/>
                <w:sz w:val="23"/>
                <w:szCs w:val="23"/>
              </w:rPr>
            </w:pPr>
            <w:r w:rsidRPr="00EE2DE7">
              <w:rPr>
                <w:rFonts w:ascii="Bookman Old Style" w:eastAsia="Times New Roman" w:hAnsi="Bookman Old Style" w:cs="Times New Roman"/>
                <w:b/>
                <w:bCs/>
                <w:kern w:val="24"/>
                <w:sz w:val="23"/>
                <w:szCs w:val="23"/>
              </w:rPr>
              <w:t>Gjyqtarë</w:t>
            </w:r>
          </w:p>
        </w:tc>
        <w:tc>
          <w:tcPr>
            <w:tcW w:w="2031" w:type="dxa"/>
            <w:noWrap/>
            <w:hideMark/>
          </w:tcPr>
          <w:p w:rsidR="003E7455" w:rsidRPr="00EE2DE7" w:rsidRDefault="003E7455" w:rsidP="00C86726">
            <w:pPr>
              <w:jc w:val="center"/>
              <w:cnfStyle w:val="100000000000" w:firstRow="1" w:lastRow="0" w:firstColumn="0" w:lastColumn="0" w:oddVBand="0" w:evenVBand="0" w:oddHBand="0" w:evenHBand="0" w:firstRowFirstColumn="0" w:firstRowLastColumn="0" w:lastRowFirstColumn="0" w:lastRowLastColumn="0"/>
              <w:rPr>
                <w:rFonts w:ascii="Bookman Old Style" w:eastAsia="Times New Roman" w:hAnsi="Bookman Old Style" w:cs="Times New Roman"/>
                <w:b/>
                <w:bCs/>
                <w:kern w:val="24"/>
                <w:sz w:val="23"/>
                <w:szCs w:val="23"/>
              </w:rPr>
            </w:pPr>
            <w:r w:rsidRPr="00EE2DE7">
              <w:rPr>
                <w:rFonts w:ascii="Bookman Old Style" w:eastAsia="Times New Roman" w:hAnsi="Bookman Old Style" w:cs="Times New Roman"/>
                <w:b/>
                <w:bCs/>
                <w:kern w:val="24"/>
                <w:sz w:val="23"/>
                <w:szCs w:val="23"/>
              </w:rPr>
              <w:t>Prokurorë</w:t>
            </w:r>
          </w:p>
        </w:tc>
      </w:tr>
      <w:tr w:rsidR="003E7455" w:rsidRPr="00EE2DE7" w:rsidTr="008D2205">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523" w:type="dxa"/>
            <w:noWrap/>
          </w:tcPr>
          <w:p w:rsidR="003E7455" w:rsidRPr="00EE2DE7" w:rsidRDefault="003E7455" w:rsidP="00C86726">
            <w:pPr>
              <w:jc w:val="center"/>
              <w:rPr>
                <w:rFonts w:ascii="Bookman Old Style" w:eastAsia="Times New Roman" w:hAnsi="Bookman Old Style" w:cs="Times New Roman"/>
                <w:bCs/>
                <w:kern w:val="24"/>
                <w:sz w:val="23"/>
                <w:szCs w:val="23"/>
              </w:rPr>
            </w:pPr>
            <w:r w:rsidRPr="00EE2DE7">
              <w:rPr>
                <w:rFonts w:ascii="Bookman Old Style" w:eastAsia="Times New Roman" w:hAnsi="Bookman Old Style" w:cs="Times New Roman"/>
                <w:bCs/>
                <w:kern w:val="24"/>
                <w:sz w:val="23"/>
                <w:szCs w:val="23"/>
              </w:rPr>
              <w:t>0 ditë</w:t>
            </w:r>
          </w:p>
        </w:tc>
        <w:tc>
          <w:tcPr>
            <w:tcW w:w="1785" w:type="dxa"/>
            <w:noWrap/>
          </w:tcPr>
          <w:p w:rsidR="003E7455" w:rsidRPr="00EE2DE7" w:rsidRDefault="003E7455" w:rsidP="00C86726">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bCs/>
                <w:strike/>
                <w:kern w:val="24"/>
                <w:sz w:val="23"/>
                <w:szCs w:val="23"/>
              </w:rPr>
            </w:pPr>
            <w:r w:rsidRPr="00EE2DE7">
              <w:rPr>
                <w:rFonts w:ascii="Bookman Old Style" w:eastAsia="Times New Roman" w:hAnsi="Bookman Old Style" w:cs="Times New Roman"/>
                <w:bCs/>
                <w:kern w:val="24"/>
                <w:sz w:val="23"/>
                <w:szCs w:val="23"/>
              </w:rPr>
              <w:t>15</w:t>
            </w:r>
          </w:p>
        </w:tc>
        <w:tc>
          <w:tcPr>
            <w:tcW w:w="2031" w:type="dxa"/>
            <w:noWrap/>
          </w:tcPr>
          <w:p w:rsidR="003E7455" w:rsidRPr="00EE2DE7" w:rsidRDefault="003E7455" w:rsidP="00C86726">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bCs/>
                <w:strike/>
                <w:kern w:val="24"/>
                <w:sz w:val="23"/>
                <w:szCs w:val="23"/>
              </w:rPr>
            </w:pPr>
            <w:r w:rsidRPr="00EE2DE7">
              <w:rPr>
                <w:rFonts w:ascii="Bookman Old Style" w:eastAsia="Times New Roman" w:hAnsi="Bookman Old Style" w:cs="Times New Roman"/>
                <w:bCs/>
                <w:kern w:val="24"/>
                <w:sz w:val="23"/>
                <w:szCs w:val="23"/>
              </w:rPr>
              <w:t>10</w:t>
            </w:r>
          </w:p>
        </w:tc>
      </w:tr>
      <w:tr w:rsidR="003E7455" w:rsidRPr="00EE2DE7" w:rsidTr="008D2205">
        <w:trPr>
          <w:trHeight w:val="411"/>
        </w:trPr>
        <w:tc>
          <w:tcPr>
            <w:cnfStyle w:val="001000000000" w:firstRow="0" w:lastRow="0" w:firstColumn="1" w:lastColumn="0" w:oddVBand="0" w:evenVBand="0" w:oddHBand="0" w:evenHBand="0" w:firstRowFirstColumn="0" w:firstRowLastColumn="0" w:lastRowFirstColumn="0" w:lastRowLastColumn="0"/>
            <w:tcW w:w="1523" w:type="dxa"/>
            <w:noWrap/>
            <w:hideMark/>
          </w:tcPr>
          <w:p w:rsidR="003E7455" w:rsidRPr="00EE2DE7" w:rsidRDefault="003E7455" w:rsidP="00C86726">
            <w:pPr>
              <w:jc w:val="center"/>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0-1dit</w:t>
            </w:r>
            <w:r w:rsidRPr="00EE2DE7">
              <w:rPr>
                <w:rFonts w:ascii="Times New Roman" w:eastAsia="MS Mincho" w:hAnsi="Times New Roman" w:cs="Times New Roman"/>
                <w:kern w:val="24"/>
              </w:rPr>
              <w:t>ë</w:t>
            </w:r>
          </w:p>
        </w:tc>
        <w:tc>
          <w:tcPr>
            <w:tcW w:w="1785" w:type="dxa"/>
            <w:noWrap/>
            <w:hideMark/>
          </w:tcPr>
          <w:p w:rsidR="003E7455" w:rsidRPr="00EE2DE7" w:rsidRDefault="003E7455" w:rsidP="00C86726">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20</w:t>
            </w:r>
          </w:p>
        </w:tc>
        <w:tc>
          <w:tcPr>
            <w:tcW w:w="2031" w:type="dxa"/>
            <w:noWrap/>
            <w:hideMark/>
          </w:tcPr>
          <w:p w:rsidR="003E7455" w:rsidRPr="00EE2DE7" w:rsidRDefault="003E7455" w:rsidP="00C86726">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strike/>
                <w:kern w:val="24"/>
                <w:sz w:val="23"/>
                <w:szCs w:val="23"/>
              </w:rPr>
            </w:pPr>
            <w:r w:rsidRPr="00EE2DE7">
              <w:rPr>
                <w:rFonts w:ascii="Bookman Old Style" w:eastAsia="Times New Roman" w:hAnsi="Bookman Old Style" w:cs="Times New Roman"/>
                <w:kern w:val="24"/>
                <w:sz w:val="23"/>
                <w:szCs w:val="23"/>
              </w:rPr>
              <w:t>21</w:t>
            </w:r>
          </w:p>
        </w:tc>
      </w:tr>
      <w:tr w:rsidR="003E7455" w:rsidRPr="00EE2DE7" w:rsidTr="008D2205">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523" w:type="dxa"/>
            <w:noWrap/>
            <w:hideMark/>
          </w:tcPr>
          <w:p w:rsidR="003E7455" w:rsidRPr="00EE2DE7" w:rsidRDefault="003E7455" w:rsidP="00C86726">
            <w:pPr>
              <w:jc w:val="center"/>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1-3 ditë</w:t>
            </w:r>
          </w:p>
        </w:tc>
        <w:tc>
          <w:tcPr>
            <w:tcW w:w="1785" w:type="dxa"/>
            <w:noWrap/>
            <w:hideMark/>
          </w:tcPr>
          <w:p w:rsidR="003E7455" w:rsidRPr="00EE2DE7" w:rsidRDefault="003E7455" w:rsidP="00C86726">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150</w:t>
            </w:r>
          </w:p>
        </w:tc>
        <w:tc>
          <w:tcPr>
            <w:tcW w:w="2031" w:type="dxa"/>
            <w:noWrap/>
            <w:hideMark/>
          </w:tcPr>
          <w:p w:rsidR="003E7455" w:rsidRPr="00EE2DE7" w:rsidRDefault="003E7455" w:rsidP="00C86726">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strike/>
                <w:kern w:val="24"/>
                <w:sz w:val="23"/>
                <w:szCs w:val="23"/>
              </w:rPr>
            </w:pPr>
            <w:r w:rsidRPr="00EE2DE7">
              <w:rPr>
                <w:rFonts w:ascii="Bookman Old Style" w:eastAsia="Times New Roman" w:hAnsi="Bookman Old Style" w:cs="Times New Roman"/>
                <w:kern w:val="24"/>
                <w:sz w:val="23"/>
                <w:szCs w:val="23"/>
              </w:rPr>
              <w:t>100</w:t>
            </w:r>
          </w:p>
        </w:tc>
      </w:tr>
      <w:tr w:rsidR="003E7455" w:rsidRPr="00EE2DE7" w:rsidTr="008D2205">
        <w:trPr>
          <w:trHeight w:val="237"/>
        </w:trPr>
        <w:tc>
          <w:tcPr>
            <w:cnfStyle w:val="001000000000" w:firstRow="0" w:lastRow="0" w:firstColumn="1" w:lastColumn="0" w:oddVBand="0" w:evenVBand="0" w:oddHBand="0" w:evenHBand="0" w:firstRowFirstColumn="0" w:firstRowLastColumn="0" w:lastRowFirstColumn="0" w:lastRowLastColumn="0"/>
            <w:tcW w:w="1523" w:type="dxa"/>
            <w:noWrap/>
            <w:hideMark/>
          </w:tcPr>
          <w:p w:rsidR="003E7455" w:rsidRPr="00EE2DE7" w:rsidRDefault="003E7455" w:rsidP="00C86726">
            <w:pPr>
              <w:jc w:val="center"/>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3-5 ditë</w:t>
            </w:r>
          </w:p>
        </w:tc>
        <w:tc>
          <w:tcPr>
            <w:tcW w:w="1785" w:type="dxa"/>
            <w:noWrap/>
            <w:hideMark/>
          </w:tcPr>
          <w:p w:rsidR="003E7455" w:rsidRPr="00EE2DE7" w:rsidRDefault="003E7455" w:rsidP="00C86726">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140</w:t>
            </w:r>
          </w:p>
        </w:tc>
        <w:tc>
          <w:tcPr>
            <w:tcW w:w="2031" w:type="dxa"/>
            <w:noWrap/>
            <w:hideMark/>
          </w:tcPr>
          <w:p w:rsidR="003E7455" w:rsidRPr="00EE2DE7" w:rsidRDefault="003E7455" w:rsidP="00C86726">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120</w:t>
            </w:r>
          </w:p>
        </w:tc>
      </w:tr>
      <w:tr w:rsidR="003E7455" w:rsidRPr="00EE2DE7" w:rsidTr="008D2205">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523" w:type="dxa"/>
            <w:noWrap/>
            <w:hideMark/>
          </w:tcPr>
          <w:p w:rsidR="003E7455" w:rsidRPr="00EE2DE7" w:rsidRDefault="003E7455" w:rsidP="00C86726">
            <w:pPr>
              <w:jc w:val="center"/>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5-10 ditë</w:t>
            </w:r>
          </w:p>
        </w:tc>
        <w:tc>
          <w:tcPr>
            <w:tcW w:w="1785" w:type="dxa"/>
            <w:noWrap/>
            <w:hideMark/>
          </w:tcPr>
          <w:p w:rsidR="003E7455" w:rsidRPr="00EE2DE7" w:rsidRDefault="003E7455" w:rsidP="00C86726">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125</w:t>
            </w:r>
          </w:p>
        </w:tc>
        <w:tc>
          <w:tcPr>
            <w:tcW w:w="2031" w:type="dxa"/>
            <w:noWrap/>
            <w:hideMark/>
          </w:tcPr>
          <w:p w:rsidR="003E7455" w:rsidRPr="00EE2DE7" w:rsidRDefault="003E7455" w:rsidP="00C86726">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98</w:t>
            </w:r>
          </w:p>
        </w:tc>
      </w:tr>
      <w:tr w:rsidR="003E7455" w:rsidRPr="00EE2DE7" w:rsidTr="008D2205">
        <w:trPr>
          <w:trHeight w:val="237"/>
        </w:trPr>
        <w:tc>
          <w:tcPr>
            <w:cnfStyle w:val="001000000000" w:firstRow="0" w:lastRow="0" w:firstColumn="1" w:lastColumn="0" w:oddVBand="0" w:evenVBand="0" w:oddHBand="0" w:evenHBand="0" w:firstRowFirstColumn="0" w:firstRowLastColumn="0" w:lastRowFirstColumn="0" w:lastRowLastColumn="0"/>
            <w:tcW w:w="1523" w:type="dxa"/>
            <w:noWrap/>
            <w:hideMark/>
          </w:tcPr>
          <w:p w:rsidR="003E7455" w:rsidRPr="00EE2DE7" w:rsidRDefault="003E7455" w:rsidP="00C86726">
            <w:pPr>
              <w:jc w:val="center"/>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10-20 ditë</w:t>
            </w:r>
          </w:p>
        </w:tc>
        <w:tc>
          <w:tcPr>
            <w:tcW w:w="1785" w:type="dxa"/>
            <w:noWrap/>
            <w:hideMark/>
          </w:tcPr>
          <w:p w:rsidR="003E7455" w:rsidRPr="00EE2DE7" w:rsidRDefault="003E7455" w:rsidP="00C86726">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34</w:t>
            </w:r>
          </w:p>
        </w:tc>
        <w:tc>
          <w:tcPr>
            <w:tcW w:w="2031" w:type="dxa"/>
            <w:noWrap/>
            <w:hideMark/>
          </w:tcPr>
          <w:p w:rsidR="003E7455" w:rsidRPr="00EE2DE7" w:rsidRDefault="003E7455" w:rsidP="00C86726">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7</w:t>
            </w:r>
          </w:p>
        </w:tc>
      </w:tr>
      <w:tr w:rsidR="003E7455" w:rsidRPr="00EE2DE7" w:rsidTr="008D2205">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523" w:type="dxa"/>
            <w:noWrap/>
            <w:hideMark/>
          </w:tcPr>
          <w:p w:rsidR="003E7455" w:rsidRPr="00EE2DE7" w:rsidRDefault="003E7455" w:rsidP="00C86726">
            <w:pPr>
              <w:jc w:val="center"/>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mbi 20 ditë</w:t>
            </w:r>
          </w:p>
        </w:tc>
        <w:tc>
          <w:tcPr>
            <w:tcW w:w="1785" w:type="dxa"/>
            <w:noWrap/>
            <w:hideMark/>
          </w:tcPr>
          <w:p w:rsidR="003E7455" w:rsidRPr="00EE2DE7" w:rsidRDefault="003E7455" w:rsidP="00C86726">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2</w:t>
            </w:r>
          </w:p>
        </w:tc>
        <w:tc>
          <w:tcPr>
            <w:tcW w:w="2031" w:type="dxa"/>
            <w:noWrap/>
            <w:hideMark/>
          </w:tcPr>
          <w:p w:rsidR="003E7455" w:rsidRPr="00EE2DE7" w:rsidRDefault="003E7455" w:rsidP="00C86726">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1</w:t>
            </w:r>
          </w:p>
        </w:tc>
      </w:tr>
    </w:tbl>
    <w:p w:rsidR="00C86726" w:rsidRDefault="00C86726" w:rsidP="003E7455">
      <w:pPr>
        <w:spacing w:line="276" w:lineRule="auto"/>
        <w:jc w:val="center"/>
        <w:rPr>
          <w:rFonts w:eastAsia="Calibri"/>
          <w:i/>
          <w:kern w:val="24"/>
          <w:sz w:val="20"/>
        </w:rPr>
      </w:pPr>
    </w:p>
    <w:p w:rsidR="00C86726" w:rsidRDefault="003E7455" w:rsidP="00C86726">
      <w:pPr>
        <w:spacing w:line="276" w:lineRule="auto"/>
        <w:jc w:val="center"/>
        <w:rPr>
          <w:rFonts w:eastAsia="Calibri"/>
          <w:i/>
          <w:kern w:val="24"/>
          <w:sz w:val="20"/>
        </w:rPr>
      </w:pPr>
      <w:r w:rsidRPr="00C86726">
        <w:rPr>
          <w:rFonts w:eastAsia="Calibri"/>
          <w:i/>
          <w:kern w:val="24"/>
          <w:sz w:val="20"/>
        </w:rPr>
        <w:t>Tabela nr. 3. Ditët e pjesëmarrjes (në total) në aktivitetet trajnuese për çdo gjyqtar dhe prokuror për vitin akademik 2017-2018</w:t>
      </w:r>
    </w:p>
    <w:p w:rsidR="00C86726" w:rsidRDefault="00C86726" w:rsidP="00C86726">
      <w:pPr>
        <w:spacing w:line="276" w:lineRule="auto"/>
        <w:jc w:val="center"/>
        <w:rPr>
          <w:rFonts w:eastAsia="Calibri"/>
          <w:i/>
          <w:kern w:val="24"/>
          <w:sz w:val="20"/>
        </w:rPr>
      </w:pPr>
    </w:p>
    <w:p w:rsidR="00C86726" w:rsidRDefault="00C86726" w:rsidP="00C86726">
      <w:pPr>
        <w:spacing w:line="276" w:lineRule="auto"/>
        <w:jc w:val="center"/>
        <w:rPr>
          <w:rFonts w:eastAsia="Calibri"/>
          <w:i/>
          <w:kern w:val="24"/>
          <w:sz w:val="20"/>
        </w:rPr>
      </w:pPr>
    </w:p>
    <w:p w:rsidR="00C86726" w:rsidRDefault="00C86726" w:rsidP="00C86726">
      <w:pPr>
        <w:spacing w:line="276" w:lineRule="auto"/>
        <w:jc w:val="center"/>
        <w:rPr>
          <w:rFonts w:eastAsia="Calibri"/>
          <w:i/>
          <w:kern w:val="24"/>
          <w:sz w:val="20"/>
        </w:rPr>
      </w:pPr>
    </w:p>
    <w:p w:rsidR="00C86726" w:rsidRDefault="00C86726" w:rsidP="00C86726">
      <w:pPr>
        <w:spacing w:line="276" w:lineRule="auto"/>
        <w:jc w:val="center"/>
        <w:rPr>
          <w:rFonts w:eastAsia="Calibri"/>
          <w:i/>
          <w:kern w:val="24"/>
          <w:sz w:val="20"/>
        </w:rPr>
      </w:pPr>
    </w:p>
    <w:p w:rsidR="00C86726" w:rsidRDefault="00C86726" w:rsidP="00C86726">
      <w:pPr>
        <w:spacing w:line="276" w:lineRule="auto"/>
        <w:jc w:val="center"/>
        <w:rPr>
          <w:rFonts w:eastAsia="Calibri"/>
          <w:i/>
          <w:kern w:val="24"/>
          <w:sz w:val="20"/>
        </w:rPr>
      </w:pPr>
    </w:p>
    <w:p w:rsidR="00C86726" w:rsidRDefault="00C86726" w:rsidP="00C86726">
      <w:pPr>
        <w:spacing w:line="276" w:lineRule="auto"/>
        <w:jc w:val="center"/>
        <w:rPr>
          <w:rFonts w:eastAsia="Calibri"/>
          <w:i/>
          <w:kern w:val="24"/>
          <w:sz w:val="20"/>
        </w:rPr>
      </w:pPr>
    </w:p>
    <w:p w:rsidR="00C86726" w:rsidRDefault="00C86726" w:rsidP="00C86726">
      <w:pPr>
        <w:spacing w:line="276" w:lineRule="auto"/>
        <w:jc w:val="center"/>
        <w:rPr>
          <w:rFonts w:eastAsia="Calibri"/>
          <w:i/>
          <w:kern w:val="24"/>
          <w:sz w:val="20"/>
        </w:rPr>
      </w:pPr>
    </w:p>
    <w:p w:rsidR="00C86726" w:rsidRDefault="00C86726" w:rsidP="00C86726">
      <w:pPr>
        <w:spacing w:line="276" w:lineRule="auto"/>
        <w:jc w:val="center"/>
        <w:rPr>
          <w:rFonts w:eastAsia="Calibri"/>
          <w:i/>
          <w:kern w:val="24"/>
          <w:sz w:val="20"/>
        </w:rPr>
      </w:pPr>
    </w:p>
    <w:p w:rsidR="00C86726" w:rsidRDefault="00C86726" w:rsidP="00C86726">
      <w:pPr>
        <w:spacing w:line="276" w:lineRule="auto"/>
        <w:jc w:val="center"/>
        <w:rPr>
          <w:rFonts w:eastAsia="Calibri"/>
          <w:i/>
          <w:kern w:val="24"/>
          <w:sz w:val="20"/>
        </w:rPr>
      </w:pPr>
    </w:p>
    <w:p w:rsidR="00C86726" w:rsidRDefault="00C86726" w:rsidP="00C86726">
      <w:pPr>
        <w:spacing w:line="276" w:lineRule="auto"/>
        <w:jc w:val="center"/>
        <w:rPr>
          <w:rFonts w:eastAsia="Calibri"/>
          <w:i/>
          <w:kern w:val="24"/>
          <w:sz w:val="20"/>
        </w:rPr>
      </w:pPr>
    </w:p>
    <w:p w:rsidR="00C86726" w:rsidRDefault="00C86726" w:rsidP="00C86726">
      <w:pPr>
        <w:spacing w:line="276" w:lineRule="auto"/>
        <w:jc w:val="center"/>
        <w:rPr>
          <w:rFonts w:eastAsia="Calibri"/>
          <w:i/>
          <w:kern w:val="24"/>
          <w:sz w:val="20"/>
        </w:rPr>
      </w:pPr>
    </w:p>
    <w:p w:rsidR="00C86726" w:rsidRPr="00C86726" w:rsidRDefault="00C86726" w:rsidP="00755BAF">
      <w:pPr>
        <w:spacing w:line="276" w:lineRule="auto"/>
        <w:rPr>
          <w:rFonts w:eastAsia="Calibri"/>
          <w:i/>
          <w:kern w:val="24"/>
          <w:sz w:val="20"/>
        </w:rPr>
      </w:pPr>
      <w:r>
        <w:rPr>
          <w:rFonts w:eastAsia="Calibri"/>
          <w:noProof/>
          <w:kern w:val="24"/>
          <w:lang w:eastAsia="en-US"/>
        </w:rPr>
        <w:drawing>
          <wp:anchor distT="0" distB="0" distL="114300" distR="114300" simplePos="0" relativeHeight="251736576" behindDoc="0" locked="0" layoutInCell="1" allowOverlap="1">
            <wp:simplePos x="0" y="0"/>
            <wp:positionH relativeFrom="margin">
              <wp:align>right</wp:align>
            </wp:positionH>
            <wp:positionV relativeFrom="margin">
              <wp:align>center</wp:align>
            </wp:positionV>
            <wp:extent cx="4884420" cy="2697480"/>
            <wp:effectExtent l="19050" t="0" r="11430" b="7620"/>
            <wp:wrapSquare wrapText="bothSides"/>
            <wp:docPr id="35"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anchor>
        </w:drawing>
      </w:r>
    </w:p>
    <w:p w:rsidR="00C86726" w:rsidRPr="00C86726" w:rsidRDefault="00C86726" w:rsidP="00C86726">
      <w:pPr>
        <w:spacing w:line="276" w:lineRule="auto"/>
        <w:rPr>
          <w:rFonts w:eastAsia="Calibri"/>
          <w:i/>
          <w:kern w:val="24"/>
          <w:sz w:val="20"/>
        </w:rPr>
      </w:pPr>
      <w:r w:rsidRPr="00C86726">
        <w:rPr>
          <w:rFonts w:eastAsia="Calibri"/>
          <w:i/>
          <w:kern w:val="24"/>
          <w:sz w:val="20"/>
        </w:rPr>
        <w:t>Grafiku nr. 8 Ditët e trajnimit për kategoritë gjyqtar dhe prokuror për vitin akademik 2017-2018</w:t>
      </w:r>
    </w:p>
    <w:p w:rsidR="00B348F7" w:rsidRDefault="00B348F7" w:rsidP="009D3274">
      <w:pPr>
        <w:tabs>
          <w:tab w:val="left" w:pos="10260"/>
        </w:tabs>
        <w:jc w:val="both"/>
      </w:pPr>
    </w:p>
    <w:p w:rsidR="00C86726" w:rsidRDefault="00C86726" w:rsidP="009D3274">
      <w:pPr>
        <w:tabs>
          <w:tab w:val="left" w:pos="10260"/>
        </w:tabs>
        <w:jc w:val="both"/>
      </w:pPr>
    </w:p>
    <w:p w:rsidR="00755BAF" w:rsidRDefault="00755BAF" w:rsidP="009D3274">
      <w:pPr>
        <w:tabs>
          <w:tab w:val="left" w:pos="10260"/>
        </w:tabs>
        <w:jc w:val="both"/>
      </w:pPr>
    </w:p>
    <w:tbl>
      <w:tblPr>
        <w:tblStyle w:val="MediumList2-Accent2"/>
        <w:tblW w:w="3024" w:type="dxa"/>
        <w:tblInd w:w="3624" w:type="dxa"/>
        <w:tblLook w:val="04A0" w:firstRow="1" w:lastRow="0" w:firstColumn="1" w:lastColumn="0" w:noHBand="0" w:noVBand="1"/>
      </w:tblPr>
      <w:tblGrid>
        <w:gridCol w:w="1512"/>
        <w:gridCol w:w="1512"/>
      </w:tblGrid>
      <w:tr w:rsidR="00C86726" w:rsidRPr="00A06BA5" w:rsidTr="008B30BD">
        <w:trPr>
          <w:cnfStyle w:val="100000000000" w:firstRow="1" w:lastRow="0" w:firstColumn="0" w:lastColumn="0" w:oddVBand="0" w:evenVBand="0" w:oddHBand="0" w:evenHBand="0" w:firstRowFirstColumn="0" w:firstRowLastColumn="0" w:lastRowFirstColumn="0" w:lastRowLastColumn="0"/>
          <w:trHeight w:val="261"/>
        </w:trPr>
        <w:tc>
          <w:tcPr>
            <w:cnfStyle w:val="001000000100" w:firstRow="0" w:lastRow="0" w:firstColumn="1" w:lastColumn="0" w:oddVBand="0" w:evenVBand="0" w:oddHBand="0" w:evenHBand="0" w:firstRowFirstColumn="1" w:firstRowLastColumn="0" w:lastRowFirstColumn="0" w:lastRowLastColumn="0"/>
            <w:tcW w:w="1512" w:type="dxa"/>
            <w:noWrap/>
            <w:hideMark/>
          </w:tcPr>
          <w:p w:rsidR="00C86726" w:rsidRPr="00A06BA5" w:rsidRDefault="00C86726" w:rsidP="002737A9">
            <w:pPr>
              <w:rPr>
                <w:rFonts w:ascii="Times New Roman" w:eastAsia="Times New Roman" w:hAnsi="Times New Roman" w:cs="Times New Roman"/>
                <w:b/>
                <w:bCs/>
                <w:kern w:val="24"/>
                <w:sz w:val="23"/>
                <w:szCs w:val="23"/>
              </w:rPr>
            </w:pPr>
            <w:r w:rsidRPr="00A06BA5">
              <w:rPr>
                <w:rFonts w:ascii="Times New Roman" w:eastAsia="Times New Roman" w:hAnsi="Times New Roman" w:cs="Times New Roman"/>
                <w:b/>
                <w:bCs/>
                <w:kern w:val="24"/>
                <w:sz w:val="23"/>
                <w:szCs w:val="23"/>
              </w:rPr>
              <w:t>Ditët</w:t>
            </w:r>
          </w:p>
        </w:tc>
        <w:tc>
          <w:tcPr>
            <w:tcW w:w="1512" w:type="dxa"/>
          </w:tcPr>
          <w:p w:rsidR="00C86726" w:rsidRPr="00A06BA5" w:rsidRDefault="00C86726" w:rsidP="002737A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24"/>
                <w:sz w:val="23"/>
                <w:szCs w:val="23"/>
              </w:rPr>
            </w:pPr>
            <w:r w:rsidRPr="00A06BA5">
              <w:rPr>
                <w:rFonts w:ascii="Times New Roman" w:eastAsia="Times New Roman" w:hAnsi="Times New Roman" w:cs="Times New Roman"/>
                <w:b/>
                <w:bCs/>
                <w:kern w:val="24"/>
                <w:sz w:val="23"/>
                <w:szCs w:val="23"/>
              </w:rPr>
              <w:t>Prokurorë</w:t>
            </w:r>
          </w:p>
        </w:tc>
      </w:tr>
      <w:tr w:rsidR="00C86726" w:rsidRPr="00A06BA5" w:rsidTr="008B30BD">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512" w:type="dxa"/>
            <w:noWrap/>
            <w:hideMark/>
          </w:tcPr>
          <w:p w:rsidR="00C86726" w:rsidRPr="00A06BA5" w:rsidRDefault="00C86726" w:rsidP="002737A9">
            <w:pPr>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0 dit</w:t>
            </w:r>
            <w:r w:rsidRPr="00A06BA5">
              <w:rPr>
                <w:rFonts w:ascii="Times New Roman" w:eastAsia="MS Mincho" w:hAnsi="Times New Roman" w:cs="Times New Roman"/>
                <w:kern w:val="24"/>
              </w:rPr>
              <w:t>ë</w:t>
            </w:r>
          </w:p>
        </w:tc>
        <w:tc>
          <w:tcPr>
            <w:tcW w:w="1512" w:type="dxa"/>
          </w:tcPr>
          <w:p w:rsidR="00C86726" w:rsidRPr="00A06BA5" w:rsidRDefault="00C86726" w:rsidP="002737A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trike/>
                <w:kern w:val="24"/>
                <w:sz w:val="23"/>
                <w:szCs w:val="23"/>
              </w:rPr>
            </w:pPr>
            <w:r w:rsidRPr="00A06BA5">
              <w:rPr>
                <w:rFonts w:ascii="Times New Roman" w:eastAsia="Times New Roman" w:hAnsi="Times New Roman" w:cs="Times New Roman"/>
                <w:bCs/>
                <w:kern w:val="24"/>
                <w:sz w:val="23"/>
                <w:szCs w:val="23"/>
              </w:rPr>
              <w:t>10</w:t>
            </w:r>
          </w:p>
        </w:tc>
      </w:tr>
      <w:tr w:rsidR="00C86726" w:rsidRPr="00A06BA5" w:rsidTr="008B30BD">
        <w:trPr>
          <w:trHeight w:val="261"/>
        </w:trPr>
        <w:tc>
          <w:tcPr>
            <w:cnfStyle w:val="001000000000" w:firstRow="0" w:lastRow="0" w:firstColumn="1" w:lastColumn="0" w:oddVBand="0" w:evenVBand="0" w:oddHBand="0" w:evenHBand="0" w:firstRowFirstColumn="0" w:firstRowLastColumn="0" w:lastRowFirstColumn="0" w:lastRowLastColumn="0"/>
            <w:tcW w:w="1512" w:type="dxa"/>
            <w:noWrap/>
            <w:hideMark/>
          </w:tcPr>
          <w:p w:rsidR="00C86726" w:rsidRPr="00A06BA5" w:rsidRDefault="00C86726" w:rsidP="002737A9">
            <w:pPr>
              <w:rPr>
                <w:rFonts w:ascii="Times New Roman" w:eastAsia="Times New Roman" w:hAnsi="Times New Roman" w:cs="Times New Roman"/>
                <w:kern w:val="24"/>
                <w:sz w:val="23"/>
                <w:szCs w:val="23"/>
              </w:rPr>
            </w:pPr>
            <w:r>
              <w:rPr>
                <w:rFonts w:ascii="Times New Roman" w:eastAsia="Times New Roman" w:hAnsi="Times New Roman" w:cs="Times New Roman"/>
                <w:kern w:val="24"/>
                <w:sz w:val="23"/>
                <w:szCs w:val="23"/>
              </w:rPr>
              <w:t xml:space="preserve"> </w:t>
            </w:r>
            <w:r w:rsidRPr="00A06BA5">
              <w:rPr>
                <w:rFonts w:ascii="Times New Roman" w:eastAsia="Times New Roman" w:hAnsi="Times New Roman" w:cs="Times New Roman"/>
                <w:kern w:val="24"/>
                <w:sz w:val="23"/>
                <w:szCs w:val="23"/>
              </w:rPr>
              <w:t>0-1 ditë</w:t>
            </w:r>
          </w:p>
        </w:tc>
        <w:tc>
          <w:tcPr>
            <w:tcW w:w="1512" w:type="dxa"/>
          </w:tcPr>
          <w:p w:rsidR="00C86726" w:rsidRPr="00A06BA5" w:rsidRDefault="00C86726" w:rsidP="002737A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trike/>
                <w:kern w:val="24"/>
                <w:sz w:val="23"/>
                <w:szCs w:val="23"/>
              </w:rPr>
            </w:pPr>
            <w:r w:rsidRPr="00A06BA5">
              <w:rPr>
                <w:rFonts w:ascii="Times New Roman" w:eastAsia="Times New Roman" w:hAnsi="Times New Roman" w:cs="Times New Roman"/>
                <w:kern w:val="24"/>
                <w:sz w:val="23"/>
                <w:szCs w:val="23"/>
              </w:rPr>
              <w:t>21</w:t>
            </w:r>
          </w:p>
        </w:tc>
      </w:tr>
      <w:tr w:rsidR="00C86726" w:rsidRPr="00A06BA5" w:rsidTr="008B30BD">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512" w:type="dxa"/>
            <w:noWrap/>
            <w:hideMark/>
          </w:tcPr>
          <w:p w:rsidR="00C86726" w:rsidRPr="00A06BA5" w:rsidRDefault="00C86726" w:rsidP="002737A9">
            <w:pPr>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1-3 ditë</w:t>
            </w:r>
          </w:p>
        </w:tc>
        <w:tc>
          <w:tcPr>
            <w:tcW w:w="1512" w:type="dxa"/>
          </w:tcPr>
          <w:p w:rsidR="00C86726" w:rsidRPr="00A06BA5" w:rsidRDefault="00C86726" w:rsidP="002737A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trike/>
                <w:kern w:val="24"/>
                <w:sz w:val="23"/>
                <w:szCs w:val="23"/>
              </w:rPr>
            </w:pPr>
            <w:r w:rsidRPr="00A06BA5">
              <w:rPr>
                <w:rFonts w:ascii="Times New Roman" w:eastAsia="Times New Roman" w:hAnsi="Times New Roman" w:cs="Times New Roman"/>
                <w:kern w:val="24"/>
                <w:sz w:val="23"/>
                <w:szCs w:val="23"/>
              </w:rPr>
              <w:t>100</w:t>
            </w:r>
          </w:p>
        </w:tc>
      </w:tr>
      <w:tr w:rsidR="00C86726" w:rsidRPr="00A06BA5" w:rsidTr="008B30BD">
        <w:trPr>
          <w:trHeight w:val="261"/>
        </w:trPr>
        <w:tc>
          <w:tcPr>
            <w:cnfStyle w:val="001000000000" w:firstRow="0" w:lastRow="0" w:firstColumn="1" w:lastColumn="0" w:oddVBand="0" w:evenVBand="0" w:oddHBand="0" w:evenHBand="0" w:firstRowFirstColumn="0" w:firstRowLastColumn="0" w:lastRowFirstColumn="0" w:lastRowLastColumn="0"/>
            <w:tcW w:w="1512" w:type="dxa"/>
            <w:noWrap/>
            <w:hideMark/>
          </w:tcPr>
          <w:p w:rsidR="00C86726" w:rsidRPr="00A06BA5" w:rsidRDefault="00C86726" w:rsidP="002737A9">
            <w:pPr>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3-5 ditë</w:t>
            </w:r>
          </w:p>
        </w:tc>
        <w:tc>
          <w:tcPr>
            <w:tcW w:w="1512" w:type="dxa"/>
          </w:tcPr>
          <w:p w:rsidR="00C86726" w:rsidRPr="00A06BA5" w:rsidRDefault="00C86726" w:rsidP="002737A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120</w:t>
            </w:r>
          </w:p>
        </w:tc>
      </w:tr>
      <w:tr w:rsidR="00C86726" w:rsidRPr="00A06BA5" w:rsidTr="008B30BD">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512" w:type="dxa"/>
            <w:noWrap/>
            <w:hideMark/>
          </w:tcPr>
          <w:p w:rsidR="00C86726" w:rsidRPr="00A06BA5" w:rsidRDefault="00C86726" w:rsidP="002737A9">
            <w:pPr>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5-10 ditë</w:t>
            </w:r>
          </w:p>
        </w:tc>
        <w:tc>
          <w:tcPr>
            <w:tcW w:w="1512" w:type="dxa"/>
          </w:tcPr>
          <w:p w:rsidR="00C86726" w:rsidRPr="00A06BA5" w:rsidRDefault="00C86726" w:rsidP="002737A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98</w:t>
            </w:r>
          </w:p>
        </w:tc>
      </w:tr>
      <w:tr w:rsidR="00C86726" w:rsidRPr="00A06BA5" w:rsidTr="008B30BD">
        <w:trPr>
          <w:trHeight w:val="261"/>
        </w:trPr>
        <w:tc>
          <w:tcPr>
            <w:cnfStyle w:val="001000000000" w:firstRow="0" w:lastRow="0" w:firstColumn="1" w:lastColumn="0" w:oddVBand="0" w:evenVBand="0" w:oddHBand="0" w:evenHBand="0" w:firstRowFirstColumn="0" w:firstRowLastColumn="0" w:lastRowFirstColumn="0" w:lastRowLastColumn="0"/>
            <w:tcW w:w="1512" w:type="dxa"/>
            <w:noWrap/>
            <w:hideMark/>
          </w:tcPr>
          <w:p w:rsidR="00C86726" w:rsidRPr="00A06BA5" w:rsidRDefault="00C86726" w:rsidP="002737A9">
            <w:pPr>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10-20 ditë</w:t>
            </w:r>
          </w:p>
        </w:tc>
        <w:tc>
          <w:tcPr>
            <w:tcW w:w="1512" w:type="dxa"/>
          </w:tcPr>
          <w:p w:rsidR="00C86726" w:rsidRPr="00A06BA5" w:rsidRDefault="00C86726" w:rsidP="002737A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7</w:t>
            </w:r>
          </w:p>
        </w:tc>
      </w:tr>
      <w:tr w:rsidR="00C86726" w:rsidRPr="00A06BA5" w:rsidTr="008B30BD">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512" w:type="dxa"/>
            <w:noWrap/>
          </w:tcPr>
          <w:p w:rsidR="00C86726" w:rsidRPr="00A06BA5" w:rsidRDefault="00C86726" w:rsidP="002737A9">
            <w:pPr>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mbi 20 ditë</w:t>
            </w:r>
          </w:p>
        </w:tc>
        <w:tc>
          <w:tcPr>
            <w:tcW w:w="1512" w:type="dxa"/>
          </w:tcPr>
          <w:p w:rsidR="00C86726" w:rsidRPr="00A06BA5" w:rsidRDefault="00C86726" w:rsidP="002737A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1</w:t>
            </w:r>
          </w:p>
        </w:tc>
      </w:tr>
    </w:tbl>
    <w:p w:rsidR="00B348F7" w:rsidRDefault="00B348F7" w:rsidP="009D3274">
      <w:pPr>
        <w:tabs>
          <w:tab w:val="left" w:pos="10260"/>
        </w:tabs>
        <w:jc w:val="both"/>
      </w:pPr>
    </w:p>
    <w:p w:rsidR="00C86726" w:rsidRPr="00C86726" w:rsidRDefault="00C86726" w:rsidP="00C86726">
      <w:pPr>
        <w:tabs>
          <w:tab w:val="left" w:pos="7320"/>
        </w:tabs>
        <w:spacing w:after="200" w:line="276" w:lineRule="auto"/>
        <w:rPr>
          <w:rFonts w:eastAsia="Calibri"/>
          <w:i/>
          <w:kern w:val="24"/>
          <w:sz w:val="20"/>
        </w:rPr>
      </w:pPr>
      <w:r w:rsidRPr="00C86726">
        <w:rPr>
          <w:rFonts w:eastAsia="Calibri"/>
          <w:i/>
          <w:kern w:val="24"/>
          <w:sz w:val="20"/>
        </w:rPr>
        <w:t>Tabela nr. 4 Ditët e trajnimit për çdo prokuror pjesëmarrës në sesionet trajnuese për vitin akademik 2017-2018</w:t>
      </w:r>
    </w:p>
    <w:p w:rsidR="00B348F7" w:rsidRDefault="00C86726" w:rsidP="009D3274">
      <w:pPr>
        <w:tabs>
          <w:tab w:val="left" w:pos="10260"/>
        </w:tabs>
        <w:jc w:val="both"/>
      </w:pPr>
      <w:r w:rsidRPr="00C86726">
        <w:rPr>
          <w:noProof/>
          <w:lang w:eastAsia="en-US"/>
        </w:rPr>
        <w:lastRenderedPageBreak/>
        <w:drawing>
          <wp:anchor distT="0" distB="0" distL="114300" distR="114300" simplePos="0" relativeHeight="251737600" behindDoc="0" locked="0" layoutInCell="1" allowOverlap="1">
            <wp:simplePos x="651510" y="632460"/>
            <wp:positionH relativeFrom="margin">
              <wp:align>left</wp:align>
            </wp:positionH>
            <wp:positionV relativeFrom="margin">
              <wp:align>top</wp:align>
            </wp:positionV>
            <wp:extent cx="4758690" cy="2461260"/>
            <wp:effectExtent l="19050" t="0" r="22860" b="0"/>
            <wp:wrapSquare wrapText="bothSides"/>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anchor>
        </w:drawing>
      </w:r>
    </w:p>
    <w:p w:rsidR="008B30BD" w:rsidRPr="008B30BD" w:rsidRDefault="008B30BD" w:rsidP="008B30BD">
      <w:pPr>
        <w:spacing w:line="276" w:lineRule="auto"/>
        <w:rPr>
          <w:rFonts w:eastAsia="Calibri"/>
          <w:i/>
          <w:kern w:val="24"/>
          <w:sz w:val="20"/>
        </w:rPr>
      </w:pPr>
      <w:r w:rsidRPr="008B30BD">
        <w:rPr>
          <w:rFonts w:eastAsia="Calibri"/>
          <w:i/>
          <w:kern w:val="24"/>
          <w:sz w:val="20"/>
        </w:rPr>
        <w:t>Grafiku nr. 9 Ditët e trajnimit (totali i tyre) për kategorinë prokuror për vitin akademik  2017-2018</w:t>
      </w:r>
    </w:p>
    <w:p w:rsidR="008B30BD" w:rsidRDefault="008B30BD" w:rsidP="008B30BD">
      <w:pPr>
        <w:tabs>
          <w:tab w:val="left" w:pos="1000"/>
          <w:tab w:val="left" w:pos="7400"/>
        </w:tabs>
        <w:spacing w:after="200" w:line="276" w:lineRule="auto"/>
        <w:rPr>
          <w:rFonts w:ascii="Bookman Old Style" w:eastAsia="Calibri" w:hAnsi="Bookman Old Style" w:cs="Calibri"/>
          <w:b/>
          <w:kern w:val="24"/>
          <w:sz w:val="8"/>
          <w:szCs w:val="20"/>
          <w:u w:val="single"/>
        </w:rPr>
      </w:pPr>
    </w:p>
    <w:p w:rsidR="008B30BD" w:rsidRDefault="008B30BD" w:rsidP="008B30BD">
      <w:pPr>
        <w:tabs>
          <w:tab w:val="left" w:pos="1000"/>
          <w:tab w:val="left" w:pos="7400"/>
        </w:tabs>
        <w:spacing w:after="200" w:line="276" w:lineRule="auto"/>
        <w:rPr>
          <w:rFonts w:ascii="Bookman Old Style" w:eastAsia="Calibri" w:hAnsi="Bookman Old Style" w:cs="Calibri"/>
          <w:b/>
          <w:kern w:val="24"/>
          <w:sz w:val="8"/>
          <w:szCs w:val="20"/>
          <w:u w:val="single"/>
        </w:rPr>
      </w:pPr>
    </w:p>
    <w:p w:rsidR="008B30BD" w:rsidRDefault="008B30BD" w:rsidP="008B30BD">
      <w:pPr>
        <w:tabs>
          <w:tab w:val="left" w:pos="1000"/>
          <w:tab w:val="left" w:pos="7400"/>
        </w:tabs>
        <w:spacing w:after="200" w:line="276" w:lineRule="auto"/>
        <w:rPr>
          <w:rFonts w:ascii="Bookman Old Style" w:eastAsia="Calibri" w:hAnsi="Bookman Old Style" w:cs="Calibri"/>
          <w:b/>
          <w:kern w:val="24"/>
          <w:sz w:val="8"/>
          <w:szCs w:val="20"/>
          <w:u w:val="single"/>
        </w:rPr>
      </w:pPr>
    </w:p>
    <w:p w:rsidR="008B30BD" w:rsidRDefault="008B30BD" w:rsidP="008B30BD">
      <w:pPr>
        <w:tabs>
          <w:tab w:val="left" w:pos="1000"/>
          <w:tab w:val="left" w:pos="7400"/>
        </w:tabs>
        <w:spacing w:after="200" w:line="276" w:lineRule="auto"/>
        <w:rPr>
          <w:rFonts w:ascii="Bookman Old Style" w:eastAsia="Calibri" w:hAnsi="Bookman Old Style" w:cs="Calibri"/>
          <w:b/>
          <w:kern w:val="24"/>
          <w:sz w:val="8"/>
          <w:szCs w:val="20"/>
          <w:u w:val="single"/>
        </w:rPr>
      </w:pPr>
    </w:p>
    <w:p w:rsidR="008B30BD" w:rsidRDefault="008B30BD" w:rsidP="008B30BD">
      <w:pPr>
        <w:tabs>
          <w:tab w:val="left" w:pos="1000"/>
          <w:tab w:val="left" w:pos="7400"/>
        </w:tabs>
        <w:spacing w:after="200" w:line="276" w:lineRule="auto"/>
        <w:rPr>
          <w:rFonts w:ascii="Bookman Old Style" w:eastAsia="Calibri" w:hAnsi="Bookman Old Style" w:cs="Calibri"/>
          <w:b/>
          <w:kern w:val="24"/>
          <w:sz w:val="8"/>
          <w:szCs w:val="20"/>
          <w:u w:val="single"/>
        </w:rPr>
      </w:pPr>
    </w:p>
    <w:p w:rsidR="008B30BD" w:rsidRDefault="008B30BD" w:rsidP="008B30BD">
      <w:pPr>
        <w:tabs>
          <w:tab w:val="left" w:pos="1000"/>
          <w:tab w:val="left" w:pos="7400"/>
        </w:tabs>
        <w:spacing w:after="200" w:line="276" w:lineRule="auto"/>
        <w:rPr>
          <w:rFonts w:ascii="Bookman Old Style" w:eastAsia="Calibri" w:hAnsi="Bookman Old Style" w:cs="Calibri"/>
          <w:b/>
          <w:kern w:val="24"/>
          <w:sz w:val="8"/>
          <w:szCs w:val="20"/>
          <w:u w:val="single"/>
        </w:rPr>
      </w:pPr>
    </w:p>
    <w:p w:rsidR="008B30BD" w:rsidRDefault="008B30BD" w:rsidP="008B30BD">
      <w:pPr>
        <w:tabs>
          <w:tab w:val="left" w:pos="1000"/>
          <w:tab w:val="left" w:pos="7400"/>
        </w:tabs>
        <w:spacing w:after="200" w:line="276" w:lineRule="auto"/>
        <w:rPr>
          <w:rFonts w:ascii="Bookman Old Style" w:eastAsia="Calibri" w:hAnsi="Bookman Old Style" w:cs="Calibri"/>
          <w:b/>
          <w:kern w:val="24"/>
          <w:sz w:val="8"/>
          <w:szCs w:val="20"/>
          <w:u w:val="single"/>
        </w:rPr>
      </w:pPr>
    </w:p>
    <w:p w:rsidR="008B30BD" w:rsidRDefault="008B30BD" w:rsidP="008B30BD">
      <w:pPr>
        <w:tabs>
          <w:tab w:val="left" w:pos="1000"/>
          <w:tab w:val="left" w:pos="7400"/>
        </w:tabs>
        <w:spacing w:after="200" w:line="276" w:lineRule="auto"/>
        <w:rPr>
          <w:rFonts w:ascii="Bookman Old Style" w:eastAsia="Calibri" w:hAnsi="Bookman Old Style" w:cs="Calibri"/>
          <w:b/>
          <w:kern w:val="24"/>
          <w:sz w:val="8"/>
          <w:szCs w:val="20"/>
          <w:u w:val="single"/>
        </w:rPr>
      </w:pPr>
    </w:p>
    <w:p w:rsidR="008B30BD" w:rsidRDefault="008B30BD" w:rsidP="008B30BD">
      <w:pPr>
        <w:tabs>
          <w:tab w:val="left" w:pos="1000"/>
          <w:tab w:val="left" w:pos="7400"/>
        </w:tabs>
        <w:spacing w:after="200" w:line="276" w:lineRule="auto"/>
        <w:rPr>
          <w:rFonts w:ascii="Bookman Old Style" w:eastAsia="Calibri" w:hAnsi="Bookman Old Style" w:cs="Calibri"/>
          <w:b/>
          <w:kern w:val="24"/>
          <w:sz w:val="8"/>
          <w:szCs w:val="20"/>
          <w:u w:val="single"/>
        </w:rPr>
      </w:pPr>
    </w:p>
    <w:tbl>
      <w:tblPr>
        <w:tblStyle w:val="MediumList2-Accent2"/>
        <w:tblpPr w:leftFromText="180" w:rightFromText="180" w:vertAnchor="text" w:horzAnchor="margin" w:tblpXSpec="right" w:tblpY="102"/>
        <w:tblW w:w="3588" w:type="dxa"/>
        <w:tblLook w:val="04A0" w:firstRow="1" w:lastRow="0" w:firstColumn="1" w:lastColumn="0" w:noHBand="0" w:noVBand="1"/>
      </w:tblPr>
      <w:tblGrid>
        <w:gridCol w:w="1794"/>
        <w:gridCol w:w="1794"/>
      </w:tblGrid>
      <w:tr w:rsidR="008B30BD" w:rsidRPr="00A06BA5" w:rsidTr="008B30BD">
        <w:trPr>
          <w:cnfStyle w:val="100000000000" w:firstRow="1" w:lastRow="0" w:firstColumn="0" w:lastColumn="0" w:oddVBand="0" w:evenVBand="0" w:oddHBand="0" w:evenHBand="0" w:firstRowFirstColumn="0" w:firstRowLastColumn="0" w:lastRowFirstColumn="0" w:lastRowLastColumn="0"/>
          <w:trHeight w:val="383"/>
        </w:trPr>
        <w:tc>
          <w:tcPr>
            <w:cnfStyle w:val="001000000100" w:firstRow="0" w:lastRow="0" w:firstColumn="1" w:lastColumn="0" w:oddVBand="0" w:evenVBand="0" w:oddHBand="0" w:evenHBand="0" w:firstRowFirstColumn="1" w:firstRowLastColumn="0" w:lastRowFirstColumn="0" w:lastRowLastColumn="0"/>
            <w:tcW w:w="1794" w:type="dxa"/>
            <w:noWrap/>
            <w:hideMark/>
          </w:tcPr>
          <w:p w:rsidR="008B30BD" w:rsidRPr="00A06BA5" w:rsidRDefault="008B30BD" w:rsidP="008B30BD">
            <w:pPr>
              <w:jc w:val="center"/>
              <w:rPr>
                <w:rFonts w:ascii="Times New Roman" w:eastAsia="Times New Roman" w:hAnsi="Times New Roman" w:cs="Times New Roman"/>
                <w:b/>
                <w:bCs/>
                <w:kern w:val="24"/>
                <w:sz w:val="23"/>
                <w:szCs w:val="23"/>
              </w:rPr>
            </w:pPr>
            <w:r w:rsidRPr="00A06BA5">
              <w:rPr>
                <w:rFonts w:ascii="Times New Roman" w:eastAsia="Times New Roman" w:hAnsi="Times New Roman" w:cs="Times New Roman"/>
                <w:b/>
                <w:bCs/>
                <w:kern w:val="24"/>
                <w:sz w:val="23"/>
                <w:szCs w:val="23"/>
              </w:rPr>
              <w:t>Ditët</w:t>
            </w:r>
          </w:p>
        </w:tc>
        <w:tc>
          <w:tcPr>
            <w:tcW w:w="1794" w:type="dxa"/>
          </w:tcPr>
          <w:p w:rsidR="008B30BD" w:rsidRPr="00A06BA5" w:rsidRDefault="008B30BD" w:rsidP="008B30B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24"/>
                <w:sz w:val="23"/>
                <w:szCs w:val="23"/>
              </w:rPr>
            </w:pPr>
            <w:r w:rsidRPr="00A06BA5">
              <w:rPr>
                <w:rFonts w:ascii="Times New Roman" w:eastAsia="Times New Roman" w:hAnsi="Times New Roman" w:cs="Times New Roman"/>
                <w:b/>
                <w:bCs/>
                <w:kern w:val="24"/>
                <w:sz w:val="23"/>
                <w:szCs w:val="23"/>
              </w:rPr>
              <w:t>Gjyqtarë</w:t>
            </w:r>
          </w:p>
        </w:tc>
      </w:tr>
      <w:tr w:rsidR="008B30BD" w:rsidRPr="00A06BA5" w:rsidTr="008B30BD">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794" w:type="dxa"/>
            <w:noWrap/>
            <w:hideMark/>
          </w:tcPr>
          <w:p w:rsidR="008B30BD" w:rsidRPr="00A06BA5" w:rsidRDefault="008B30BD" w:rsidP="008B30BD">
            <w:pPr>
              <w:jc w:val="center"/>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0 ditë</w:t>
            </w:r>
          </w:p>
        </w:tc>
        <w:tc>
          <w:tcPr>
            <w:tcW w:w="1794" w:type="dxa"/>
          </w:tcPr>
          <w:p w:rsidR="008B30BD" w:rsidRPr="00A06BA5" w:rsidRDefault="008B30BD" w:rsidP="008B30B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trike/>
                <w:kern w:val="24"/>
                <w:sz w:val="23"/>
                <w:szCs w:val="23"/>
              </w:rPr>
            </w:pPr>
            <w:r w:rsidRPr="00A06BA5">
              <w:rPr>
                <w:rFonts w:ascii="Times New Roman" w:eastAsia="Times New Roman" w:hAnsi="Times New Roman" w:cs="Times New Roman"/>
                <w:bCs/>
                <w:kern w:val="24"/>
                <w:sz w:val="23"/>
                <w:szCs w:val="23"/>
              </w:rPr>
              <w:t>15</w:t>
            </w:r>
          </w:p>
        </w:tc>
      </w:tr>
      <w:tr w:rsidR="008B30BD" w:rsidRPr="00A06BA5" w:rsidTr="008B30BD">
        <w:trPr>
          <w:trHeight w:val="260"/>
        </w:trPr>
        <w:tc>
          <w:tcPr>
            <w:cnfStyle w:val="001000000000" w:firstRow="0" w:lastRow="0" w:firstColumn="1" w:lastColumn="0" w:oddVBand="0" w:evenVBand="0" w:oddHBand="0" w:evenHBand="0" w:firstRowFirstColumn="0" w:firstRowLastColumn="0" w:lastRowFirstColumn="0" w:lastRowLastColumn="0"/>
            <w:tcW w:w="1794" w:type="dxa"/>
            <w:noWrap/>
            <w:hideMark/>
          </w:tcPr>
          <w:p w:rsidR="008B30BD" w:rsidRPr="00A06BA5" w:rsidRDefault="008B30BD" w:rsidP="008B30BD">
            <w:pPr>
              <w:jc w:val="center"/>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0-1 ditë</w:t>
            </w:r>
          </w:p>
        </w:tc>
        <w:tc>
          <w:tcPr>
            <w:tcW w:w="1794" w:type="dxa"/>
          </w:tcPr>
          <w:p w:rsidR="008B30BD" w:rsidRPr="00A06BA5" w:rsidRDefault="008B30BD" w:rsidP="008B30B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20</w:t>
            </w:r>
          </w:p>
        </w:tc>
      </w:tr>
      <w:tr w:rsidR="008B30BD" w:rsidRPr="00A06BA5" w:rsidTr="008B30BD">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794" w:type="dxa"/>
            <w:noWrap/>
            <w:hideMark/>
          </w:tcPr>
          <w:p w:rsidR="008B30BD" w:rsidRPr="00A06BA5" w:rsidRDefault="008B30BD" w:rsidP="008B30BD">
            <w:pPr>
              <w:jc w:val="center"/>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1-3 ditë</w:t>
            </w:r>
          </w:p>
        </w:tc>
        <w:tc>
          <w:tcPr>
            <w:tcW w:w="1794" w:type="dxa"/>
          </w:tcPr>
          <w:p w:rsidR="008B30BD" w:rsidRPr="00A06BA5" w:rsidRDefault="008B30BD" w:rsidP="008B30B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150</w:t>
            </w:r>
          </w:p>
        </w:tc>
      </w:tr>
      <w:tr w:rsidR="008B30BD" w:rsidRPr="00A06BA5" w:rsidTr="008B30BD">
        <w:trPr>
          <w:trHeight w:val="251"/>
        </w:trPr>
        <w:tc>
          <w:tcPr>
            <w:cnfStyle w:val="001000000000" w:firstRow="0" w:lastRow="0" w:firstColumn="1" w:lastColumn="0" w:oddVBand="0" w:evenVBand="0" w:oddHBand="0" w:evenHBand="0" w:firstRowFirstColumn="0" w:firstRowLastColumn="0" w:lastRowFirstColumn="0" w:lastRowLastColumn="0"/>
            <w:tcW w:w="1794" w:type="dxa"/>
            <w:noWrap/>
            <w:hideMark/>
          </w:tcPr>
          <w:p w:rsidR="008B30BD" w:rsidRPr="00A06BA5" w:rsidRDefault="008B30BD" w:rsidP="008B30BD">
            <w:pPr>
              <w:jc w:val="center"/>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3-5 ditë</w:t>
            </w:r>
          </w:p>
        </w:tc>
        <w:tc>
          <w:tcPr>
            <w:tcW w:w="1794" w:type="dxa"/>
          </w:tcPr>
          <w:p w:rsidR="008B30BD" w:rsidRPr="00A06BA5" w:rsidRDefault="008B30BD" w:rsidP="008B30B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140</w:t>
            </w:r>
          </w:p>
        </w:tc>
      </w:tr>
      <w:tr w:rsidR="008B30BD" w:rsidRPr="00A06BA5" w:rsidTr="008B30BD">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1794" w:type="dxa"/>
            <w:noWrap/>
            <w:hideMark/>
          </w:tcPr>
          <w:p w:rsidR="008B30BD" w:rsidRPr="00A06BA5" w:rsidRDefault="008B30BD" w:rsidP="008B30BD">
            <w:pPr>
              <w:jc w:val="center"/>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5-10 ditë</w:t>
            </w:r>
          </w:p>
        </w:tc>
        <w:tc>
          <w:tcPr>
            <w:tcW w:w="1794" w:type="dxa"/>
          </w:tcPr>
          <w:p w:rsidR="008B30BD" w:rsidRPr="00A06BA5" w:rsidRDefault="008B30BD" w:rsidP="008B30B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125</w:t>
            </w:r>
          </w:p>
        </w:tc>
      </w:tr>
      <w:tr w:rsidR="008B30BD" w:rsidRPr="00A06BA5" w:rsidTr="008B30BD">
        <w:trPr>
          <w:trHeight w:val="251"/>
        </w:trPr>
        <w:tc>
          <w:tcPr>
            <w:cnfStyle w:val="001000000000" w:firstRow="0" w:lastRow="0" w:firstColumn="1" w:lastColumn="0" w:oddVBand="0" w:evenVBand="0" w:oddHBand="0" w:evenHBand="0" w:firstRowFirstColumn="0" w:firstRowLastColumn="0" w:lastRowFirstColumn="0" w:lastRowLastColumn="0"/>
            <w:tcW w:w="1794" w:type="dxa"/>
            <w:noWrap/>
            <w:hideMark/>
          </w:tcPr>
          <w:p w:rsidR="008B30BD" w:rsidRPr="00A06BA5" w:rsidRDefault="008B30BD" w:rsidP="008B30BD">
            <w:pPr>
              <w:jc w:val="center"/>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10-20 ditë</w:t>
            </w:r>
          </w:p>
        </w:tc>
        <w:tc>
          <w:tcPr>
            <w:tcW w:w="1794" w:type="dxa"/>
          </w:tcPr>
          <w:p w:rsidR="008B30BD" w:rsidRPr="00A06BA5" w:rsidRDefault="008B30BD" w:rsidP="008B30B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34</w:t>
            </w:r>
          </w:p>
        </w:tc>
      </w:tr>
      <w:tr w:rsidR="008B30BD" w:rsidRPr="00A06BA5" w:rsidTr="008B30BD">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794" w:type="dxa"/>
            <w:noWrap/>
            <w:hideMark/>
          </w:tcPr>
          <w:p w:rsidR="008B30BD" w:rsidRPr="00A06BA5" w:rsidRDefault="008B30BD" w:rsidP="008B30BD">
            <w:pPr>
              <w:jc w:val="center"/>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mbi 20 ditë</w:t>
            </w:r>
          </w:p>
        </w:tc>
        <w:tc>
          <w:tcPr>
            <w:tcW w:w="1794" w:type="dxa"/>
          </w:tcPr>
          <w:p w:rsidR="008B30BD" w:rsidRPr="00A06BA5" w:rsidRDefault="008B30BD" w:rsidP="008B30B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2</w:t>
            </w:r>
          </w:p>
        </w:tc>
      </w:tr>
    </w:tbl>
    <w:p w:rsidR="008B30BD" w:rsidRPr="00254678" w:rsidRDefault="008B30BD" w:rsidP="008B30BD">
      <w:pPr>
        <w:tabs>
          <w:tab w:val="left" w:pos="1000"/>
          <w:tab w:val="left" w:pos="7400"/>
        </w:tabs>
        <w:spacing w:after="200" w:line="276" w:lineRule="auto"/>
        <w:rPr>
          <w:rFonts w:ascii="Bookman Old Style" w:eastAsia="Calibri" w:hAnsi="Bookman Old Style" w:cs="Calibri"/>
          <w:b/>
          <w:kern w:val="24"/>
          <w:sz w:val="8"/>
          <w:szCs w:val="20"/>
          <w:u w:val="single"/>
        </w:rPr>
      </w:pPr>
    </w:p>
    <w:p w:rsidR="008B30BD" w:rsidRPr="00EE2DE7" w:rsidRDefault="008B30BD" w:rsidP="008B30BD">
      <w:pPr>
        <w:rPr>
          <w:rFonts w:eastAsia="Calibri"/>
          <w:i/>
          <w:kern w:val="24"/>
        </w:rPr>
      </w:pPr>
    </w:p>
    <w:p w:rsidR="008B30BD" w:rsidRDefault="008B30BD" w:rsidP="008B30BD">
      <w:pPr>
        <w:rPr>
          <w:rFonts w:eastAsia="Calibri"/>
          <w:i/>
          <w:kern w:val="24"/>
          <w:sz w:val="20"/>
        </w:rPr>
      </w:pPr>
      <w:r w:rsidRPr="008B30BD">
        <w:rPr>
          <w:rFonts w:eastAsia="Calibri"/>
          <w:i/>
          <w:kern w:val="24"/>
          <w:sz w:val="20"/>
        </w:rPr>
        <w:t>Tabela nr. 5 Ditët e trajnimit për çdo gjyqtar pjesëmarrës në sesionet trajnuese për vitin akademik 2017-2018</w:t>
      </w:r>
    </w:p>
    <w:p w:rsidR="008B30BD" w:rsidRDefault="008B30BD" w:rsidP="008B30BD">
      <w:pPr>
        <w:rPr>
          <w:rFonts w:eastAsia="Calibri"/>
          <w:i/>
          <w:kern w:val="24"/>
          <w:sz w:val="20"/>
        </w:rPr>
      </w:pPr>
    </w:p>
    <w:p w:rsidR="008B30BD" w:rsidRDefault="008B30BD" w:rsidP="008B30BD">
      <w:pPr>
        <w:rPr>
          <w:rFonts w:eastAsia="Calibri"/>
          <w:i/>
          <w:kern w:val="24"/>
          <w:sz w:val="20"/>
        </w:rPr>
      </w:pPr>
    </w:p>
    <w:p w:rsidR="008B30BD" w:rsidRDefault="008B30BD" w:rsidP="008B30BD">
      <w:pPr>
        <w:rPr>
          <w:rFonts w:eastAsia="Calibri"/>
          <w:i/>
          <w:kern w:val="24"/>
          <w:sz w:val="20"/>
        </w:rPr>
      </w:pPr>
    </w:p>
    <w:p w:rsidR="008B30BD" w:rsidRDefault="008B30BD" w:rsidP="008B30BD">
      <w:pPr>
        <w:rPr>
          <w:rFonts w:eastAsia="Calibri"/>
          <w:i/>
          <w:kern w:val="24"/>
          <w:sz w:val="20"/>
        </w:rPr>
      </w:pPr>
    </w:p>
    <w:p w:rsidR="008B30BD" w:rsidRDefault="008B30BD" w:rsidP="008B30BD">
      <w:pPr>
        <w:rPr>
          <w:rFonts w:eastAsia="Calibri"/>
          <w:i/>
          <w:kern w:val="24"/>
          <w:sz w:val="20"/>
        </w:rPr>
      </w:pPr>
    </w:p>
    <w:p w:rsidR="008B30BD" w:rsidRDefault="008B30BD" w:rsidP="008B30BD">
      <w:pPr>
        <w:rPr>
          <w:rFonts w:eastAsia="Calibri"/>
          <w:i/>
          <w:kern w:val="24"/>
          <w:sz w:val="20"/>
        </w:rPr>
      </w:pPr>
    </w:p>
    <w:p w:rsidR="008B30BD" w:rsidRPr="008B30BD" w:rsidRDefault="008B30BD" w:rsidP="008B30BD">
      <w:pPr>
        <w:rPr>
          <w:rFonts w:eastAsia="Calibri"/>
          <w:i/>
          <w:kern w:val="24"/>
          <w:sz w:val="20"/>
        </w:rPr>
      </w:pPr>
    </w:p>
    <w:p w:rsidR="008B30BD" w:rsidRPr="00EE2DE7" w:rsidRDefault="008B30BD" w:rsidP="008B30BD">
      <w:pPr>
        <w:spacing w:line="276" w:lineRule="auto"/>
        <w:rPr>
          <w:rFonts w:eastAsia="Calibri"/>
          <w:b/>
          <w:kern w:val="24"/>
        </w:rPr>
      </w:pPr>
      <w:r w:rsidRPr="00EE2DE7">
        <w:rPr>
          <w:rFonts w:ascii="Calibri" w:eastAsia="Calibri" w:hAnsi="Calibri"/>
          <w:noProof/>
          <w:kern w:val="24"/>
          <w:sz w:val="23"/>
          <w:szCs w:val="23"/>
          <w:lang w:eastAsia="en-US"/>
        </w:rPr>
        <w:drawing>
          <wp:inline distT="0" distB="0" distL="0" distR="0">
            <wp:extent cx="4552950" cy="2385060"/>
            <wp:effectExtent l="19050" t="0" r="19050" b="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8B30BD" w:rsidRPr="008B30BD" w:rsidRDefault="008B30BD" w:rsidP="008B30BD">
      <w:pPr>
        <w:spacing w:line="276" w:lineRule="auto"/>
        <w:rPr>
          <w:rFonts w:eastAsia="Calibri"/>
          <w:i/>
          <w:kern w:val="24"/>
          <w:sz w:val="20"/>
        </w:rPr>
      </w:pPr>
      <w:r w:rsidRPr="008B30BD">
        <w:rPr>
          <w:rFonts w:eastAsia="Calibri"/>
          <w:i/>
          <w:kern w:val="24"/>
          <w:sz w:val="20"/>
        </w:rPr>
        <w:t>Grafiku nr. 10 Ditët e trajnimit (totali i tyre) për kategorinë gjyqtar për vitin akademik 2017-2018.</w:t>
      </w:r>
    </w:p>
    <w:p w:rsidR="00B348F7" w:rsidRDefault="00B348F7" w:rsidP="009D3274">
      <w:pPr>
        <w:tabs>
          <w:tab w:val="left" w:pos="10260"/>
        </w:tabs>
        <w:jc w:val="both"/>
      </w:pPr>
    </w:p>
    <w:p w:rsidR="008B30BD" w:rsidRPr="00BD4580" w:rsidRDefault="008B30BD" w:rsidP="008B30BD">
      <w:pPr>
        <w:spacing w:line="276" w:lineRule="auto"/>
        <w:ind w:firstLine="720"/>
        <w:jc w:val="both"/>
        <w:rPr>
          <w:rFonts w:eastAsia="Calibri"/>
          <w:kern w:val="24"/>
        </w:rPr>
      </w:pPr>
      <w:r w:rsidRPr="00EE2DE7">
        <w:rPr>
          <w:rFonts w:eastAsia="Calibri"/>
          <w:kern w:val="24"/>
        </w:rPr>
        <w:t>Bazuar në ligjin nr. 115/2016, “</w:t>
      </w:r>
      <w:r w:rsidRPr="00EE2DE7">
        <w:rPr>
          <w:rFonts w:eastAsia="Calibri"/>
          <w:i/>
          <w:kern w:val="24"/>
        </w:rPr>
        <w:t>Për organet e qeverisjes së sistemit të drejtësisë</w:t>
      </w:r>
      <w:r w:rsidRPr="00EE2DE7">
        <w:rPr>
          <w:rFonts w:eastAsia="Calibri"/>
          <w:kern w:val="24"/>
        </w:rPr>
        <w:t>” si edhe ligjin nr. 96/2016, “</w:t>
      </w:r>
      <w:r w:rsidRPr="00EE2DE7">
        <w:rPr>
          <w:rFonts w:eastAsia="Calibri"/>
          <w:i/>
          <w:kern w:val="24"/>
        </w:rPr>
        <w:t>Për statusin e gjyqtarëve dhe prokurorëve në Republikën e Shqipërisë</w:t>
      </w:r>
      <w:r w:rsidRPr="00EE2DE7">
        <w:rPr>
          <w:rFonts w:eastAsia="Calibri"/>
          <w:kern w:val="24"/>
        </w:rPr>
        <w:t>”, përkatësisht nenit 5, pika 3 t</w:t>
      </w:r>
      <w:r w:rsidRPr="00EE2DE7">
        <w:rPr>
          <w:rFonts w:eastAsia="MS Mincho"/>
          <w:kern w:val="24"/>
        </w:rPr>
        <w:t>ë</w:t>
      </w:r>
      <w:r w:rsidRPr="00EE2DE7">
        <w:rPr>
          <w:rFonts w:eastAsia="Calibri"/>
          <w:kern w:val="24"/>
        </w:rPr>
        <w:t xml:space="preserve"> këtij ligji, ku bëhet fjalë për klauzolën ligjore lidhur me Formimin Vazhdues me një kohëzgjatje prej “</w:t>
      </w:r>
      <w:r w:rsidRPr="00EE2DE7">
        <w:rPr>
          <w:rFonts w:eastAsia="Calibri"/>
          <w:i/>
          <w:kern w:val="24"/>
        </w:rPr>
        <w:t>jo më pak se pesë ditë të plota në vit dhe jo më pak se 30 ditë të plota gjatë pesë viteve</w:t>
      </w:r>
      <w:r w:rsidRPr="00EE2DE7">
        <w:rPr>
          <w:rFonts w:eastAsia="Calibri"/>
          <w:kern w:val="24"/>
        </w:rPr>
        <w:t xml:space="preserve">” dhe “jo </w:t>
      </w:r>
      <w:r w:rsidRPr="00EE2DE7">
        <w:rPr>
          <w:rFonts w:eastAsia="Calibri"/>
          <w:i/>
          <w:kern w:val="24"/>
        </w:rPr>
        <w:t>më shumë se 40 ditë në vit dhe 200 ditë gjatë pesë viteve</w:t>
      </w:r>
      <w:r w:rsidRPr="00EE2DE7">
        <w:rPr>
          <w:rFonts w:eastAsia="Calibri"/>
          <w:kern w:val="24"/>
        </w:rPr>
        <w:t xml:space="preserve">”, nga grafikët vihet re se gjatë këtij viti akademik rreth 25% e gjyqtarëve kanë frekuentuar aktivitetet trajnuese në kufijtë 5-10 ditë. Ndërsa pjesa më e </w:t>
      </w:r>
      <w:r w:rsidRPr="00EE2DE7">
        <w:rPr>
          <w:rFonts w:eastAsia="Calibri"/>
          <w:kern w:val="24"/>
        </w:rPr>
        <w:lastRenderedPageBreak/>
        <w:t>madhe, kanë frekuentuar aktivitetet trajnuese në kufijtë 3-5 ditë. Për prokurorët, vlen të përmendet fakti se krahasuar me vitet e mëparshme akademike, kemi një shtim të numrit të tyre si pjesëmarrës. Frekuentimi më i shpeshtë ka qenë në kufijtë 3-5 ditë. Sikundër edhe vihet re nga tabela dhe grafikët e mësipërm, kemi gjyqtarë dhe prokurorë të cilët kanë frekuentuar edhe në kufijtë 10-20 ditë.</w:t>
      </w:r>
    </w:p>
    <w:p w:rsidR="003E7455" w:rsidRDefault="003E7455" w:rsidP="009D3274">
      <w:pPr>
        <w:tabs>
          <w:tab w:val="left" w:pos="10260"/>
        </w:tabs>
        <w:jc w:val="both"/>
      </w:pPr>
    </w:p>
    <w:p w:rsidR="008B30BD" w:rsidRPr="008B30BD" w:rsidRDefault="008B30BD" w:rsidP="008D2205">
      <w:pPr>
        <w:spacing w:line="276" w:lineRule="auto"/>
        <w:jc w:val="both"/>
        <w:rPr>
          <w:b/>
          <w:color w:val="CC9966" w:themeColor="accent2"/>
          <w:sz w:val="28"/>
        </w:rPr>
      </w:pPr>
      <w:r w:rsidRPr="008B30BD">
        <w:rPr>
          <w:b/>
          <w:color w:val="CC9966" w:themeColor="accent2"/>
          <w:sz w:val="28"/>
        </w:rPr>
        <w:t>2.3.3</w:t>
      </w:r>
      <w:r w:rsidR="008D2205">
        <w:rPr>
          <w:b/>
          <w:color w:val="CC9966" w:themeColor="accent2"/>
          <w:sz w:val="28"/>
        </w:rPr>
        <w:t>. Pyetësorët e vlerësimit</w:t>
      </w:r>
    </w:p>
    <w:p w:rsidR="008B30BD" w:rsidRPr="00EE2DE7" w:rsidRDefault="008B30BD" w:rsidP="008B30BD">
      <w:pPr>
        <w:contextualSpacing/>
        <w:rPr>
          <w:rFonts w:ascii="Cambria" w:eastAsia="Calibri" w:hAnsi="Cambria"/>
          <w:b/>
          <w:caps/>
          <w:color w:val="943634"/>
          <w:spacing w:val="50"/>
          <w:kern w:val="24"/>
        </w:rPr>
      </w:pPr>
    </w:p>
    <w:p w:rsidR="008B30BD" w:rsidRPr="00BD4580" w:rsidRDefault="008B30BD" w:rsidP="008B30BD">
      <w:pPr>
        <w:spacing w:line="276" w:lineRule="auto"/>
        <w:ind w:firstLine="720"/>
        <w:jc w:val="both"/>
        <w:rPr>
          <w:rFonts w:eastAsia="Calibri"/>
          <w:kern w:val="24"/>
        </w:rPr>
      </w:pPr>
      <w:r w:rsidRPr="00EE2DE7">
        <w:rPr>
          <w:rFonts w:eastAsia="Calibri"/>
          <w:kern w:val="24"/>
        </w:rPr>
        <w:t>Shkolla, në marrëveshjen e mirëkuptimit me ekspertët/lehtësuesit si dhe me moderatorët, ka parashikuar si detyrë të tyre evidentimin e këtyre vlerësimeve, detyrë që në pjesën dërrmuese ata e kanë kryer me korrektesë, duke na ndihmuar maksimalisht në ecurinë pozitive të aktiviteteve trajnuese për vitin 2017-2018. Në këtë mënyrë, pas pothuajse çdo sesioni trajnues ose gjatë tij u përpoqëm të fokusoheshim më specifikisht tek interesat e tyre për të ardhmen. Kjo u realizua përmes pyetjeve t</w:t>
      </w:r>
      <w:r w:rsidRPr="00EE2DE7">
        <w:rPr>
          <w:rFonts w:eastAsia="MS Mincho"/>
          <w:kern w:val="24"/>
        </w:rPr>
        <w:t>ë</w:t>
      </w:r>
      <w:r w:rsidRPr="00EE2DE7">
        <w:rPr>
          <w:rFonts w:eastAsia="Calibri"/>
          <w:kern w:val="24"/>
        </w:rPr>
        <w:t xml:space="preserve"> drejtp</w:t>
      </w:r>
      <w:r w:rsidRPr="00EE2DE7">
        <w:rPr>
          <w:rFonts w:eastAsia="MS Mincho"/>
          <w:kern w:val="24"/>
        </w:rPr>
        <w:t>ërdrejta</w:t>
      </w:r>
      <w:r w:rsidRPr="00EE2DE7">
        <w:rPr>
          <w:rFonts w:eastAsia="Calibri"/>
          <w:kern w:val="24"/>
        </w:rPr>
        <w:t xml:space="preserve"> ose duke parë interesin e shprehur gjatë diskutimeve në sesionet trajnuese të frekuentuara prej tyre</w:t>
      </w:r>
      <w:r w:rsidRPr="00EE2DE7">
        <w:rPr>
          <w:rFonts w:eastAsia="Calibri"/>
          <w:kern w:val="24"/>
          <w:vertAlign w:val="superscript"/>
        </w:rPr>
        <w:footnoteReference w:id="5"/>
      </w:r>
      <w:r w:rsidRPr="00EE2DE7">
        <w:rPr>
          <w:rFonts w:eastAsia="Calibri"/>
          <w:kern w:val="24"/>
        </w:rPr>
        <w:t>.</w:t>
      </w:r>
    </w:p>
    <w:p w:rsidR="008B30BD" w:rsidRPr="00EE2DE7" w:rsidRDefault="008B30BD" w:rsidP="008B30BD">
      <w:pPr>
        <w:contextualSpacing/>
        <w:rPr>
          <w:rFonts w:ascii="Cambria" w:eastAsia="Calibri" w:hAnsi="Cambria"/>
          <w:b/>
          <w:caps/>
          <w:color w:val="943634"/>
          <w:spacing w:val="50"/>
          <w:kern w:val="24"/>
        </w:rPr>
      </w:pPr>
    </w:p>
    <w:p w:rsidR="008B30BD" w:rsidRPr="008D2205" w:rsidRDefault="008B30BD" w:rsidP="008D2205">
      <w:pPr>
        <w:spacing w:line="276" w:lineRule="auto"/>
        <w:jc w:val="both"/>
        <w:rPr>
          <w:b/>
          <w:color w:val="CC9966" w:themeColor="accent2"/>
          <w:sz w:val="28"/>
        </w:rPr>
      </w:pPr>
      <w:r w:rsidRPr="008D2205">
        <w:rPr>
          <w:b/>
          <w:color w:val="CC9966" w:themeColor="accent2"/>
          <w:sz w:val="28"/>
        </w:rPr>
        <w:t>2.3.4</w:t>
      </w:r>
      <w:r w:rsidR="008D2205">
        <w:rPr>
          <w:b/>
          <w:color w:val="CC9966" w:themeColor="accent2"/>
          <w:sz w:val="28"/>
        </w:rPr>
        <w:t>.</w:t>
      </w:r>
      <w:r w:rsidRPr="008D2205">
        <w:rPr>
          <w:b/>
          <w:color w:val="CC9966" w:themeColor="accent2"/>
          <w:sz w:val="28"/>
        </w:rPr>
        <w:t xml:space="preserve"> Fluksi i sesioneve për muaj</w:t>
      </w:r>
    </w:p>
    <w:p w:rsidR="008B30BD" w:rsidRPr="00EE2DE7" w:rsidRDefault="008B30BD" w:rsidP="008B30BD">
      <w:pPr>
        <w:spacing w:line="276" w:lineRule="auto"/>
        <w:contextualSpacing/>
        <w:rPr>
          <w:rFonts w:ascii="Cambria" w:eastAsia="Calibri" w:hAnsi="Cambria"/>
          <w:b/>
          <w:caps/>
          <w:color w:val="943634"/>
          <w:spacing w:val="50"/>
          <w:kern w:val="24"/>
        </w:rPr>
      </w:pPr>
    </w:p>
    <w:p w:rsidR="008B30BD" w:rsidRPr="00EE2DE7" w:rsidRDefault="008B30BD" w:rsidP="008B30BD">
      <w:pPr>
        <w:spacing w:line="276" w:lineRule="auto"/>
        <w:ind w:firstLine="720"/>
        <w:jc w:val="both"/>
        <w:rPr>
          <w:rFonts w:eastAsia="Calibri"/>
          <w:kern w:val="24"/>
        </w:rPr>
      </w:pPr>
      <w:r w:rsidRPr="00EE2DE7">
        <w:rPr>
          <w:rFonts w:eastAsia="Calibri"/>
          <w:kern w:val="24"/>
        </w:rPr>
        <w:t>Këtë vit akademik, sikurse u paraqit në këtë raport, Shkolla organizoi një numër më të madh trajnimesh krahasuar me vitin e kaluar akademik. Në fokus është pasur organizimi i një numri të përshtatshëm sesionesh trajnuese, për të mundësuar një organizim sa më të mirë të tyre, me qëllim arritjen e zhvillimit të aktiviteteve trajnuese efektive dhe produktive për auditorin.</w:t>
      </w:r>
    </w:p>
    <w:p w:rsidR="008B30BD" w:rsidRPr="00EE2DE7" w:rsidRDefault="008B30BD" w:rsidP="008B30BD">
      <w:pPr>
        <w:spacing w:line="276" w:lineRule="auto"/>
        <w:contextualSpacing/>
        <w:outlineLvl w:val="1"/>
        <w:rPr>
          <w:rFonts w:ascii="Cambria" w:eastAsia="Calibri" w:hAnsi="Cambria"/>
          <w:b/>
          <w:color w:val="244061"/>
          <w:spacing w:val="20"/>
          <w:kern w:val="24"/>
          <w:sz w:val="28"/>
          <w:szCs w:val="28"/>
        </w:rPr>
      </w:pPr>
    </w:p>
    <w:p w:rsidR="008B30BD" w:rsidRPr="008D2205" w:rsidRDefault="008B30BD" w:rsidP="008B30BD">
      <w:pPr>
        <w:spacing w:line="276" w:lineRule="auto"/>
        <w:contextualSpacing/>
        <w:outlineLvl w:val="1"/>
        <w:rPr>
          <w:b/>
          <w:color w:val="CC9966" w:themeColor="accent2"/>
          <w:sz w:val="32"/>
        </w:rPr>
      </w:pPr>
      <w:r w:rsidRPr="008D2205">
        <w:rPr>
          <w:b/>
          <w:color w:val="CC9966" w:themeColor="accent2"/>
          <w:sz w:val="32"/>
        </w:rPr>
        <w:t>2.4</w:t>
      </w:r>
      <w:r w:rsidR="008D2205">
        <w:rPr>
          <w:b/>
          <w:color w:val="CC9966" w:themeColor="accent2"/>
          <w:sz w:val="32"/>
        </w:rPr>
        <w:t xml:space="preserve">. </w:t>
      </w:r>
      <w:r w:rsidRPr="008D2205">
        <w:rPr>
          <w:b/>
          <w:color w:val="CC9966" w:themeColor="accent2"/>
          <w:sz w:val="32"/>
        </w:rPr>
        <w:t xml:space="preserve"> Ekspertiza. Ekspertët</w:t>
      </w:r>
    </w:p>
    <w:p w:rsidR="008B30BD" w:rsidRPr="00EE2DE7" w:rsidRDefault="008B30BD" w:rsidP="008B30BD">
      <w:pPr>
        <w:spacing w:line="276" w:lineRule="auto"/>
        <w:ind w:firstLine="720"/>
        <w:jc w:val="both"/>
        <w:rPr>
          <w:rFonts w:eastAsia="Calibri"/>
          <w:kern w:val="24"/>
        </w:rPr>
      </w:pPr>
    </w:p>
    <w:p w:rsidR="008B30BD" w:rsidRPr="00EE2DE7" w:rsidRDefault="008B30BD" w:rsidP="008B30BD">
      <w:pPr>
        <w:spacing w:line="276" w:lineRule="auto"/>
        <w:ind w:firstLine="720"/>
        <w:jc w:val="both"/>
        <w:rPr>
          <w:rFonts w:eastAsia="Times New Roman"/>
          <w:kern w:val="24"/>
        </w:rPr>
      </w:pPr>
      <w:r w:rsidRPr="00EE2DE7">
        <w:rPr>
          <w:rFonts w:eastAsia="Calibri"/>
          <w:kern w:val="24"/>
        </w:rPr>
        <w:t>Në lidhje me përzgjedhjen e ekspertëve të Trajnimit Vazhdues, vlen të theksohet se me vendimin nr. 1, datë 31.1.2017, “</w:t>
      </w:r>
      <w:r w:rsidRPr="00EE2DE7">
        <w:rPr>
          <w:rFonts w:eastAsia="Calibri"/>
          <w:i/>
          <w:kern w:val="24"/>
        </w:rPr>
        <w:t>Për miratimin e Rregullores së Brendshme të Shkollës së Magjistraturës</w:t>
      </w:r>
      <w:r w:rsidRPr="00EE2DE7">
        <w:rPr>
          <w:rFonts w:eastAsia="Calibri"/>
          <w:kern w:val="24"/>
        </w:rPr>
        <w:t>”, Aneksi 11, “</w:t>
      </w:r>
      <w:r w:rsidRPr="00EE2DE7">
        <w:rPr>
          <w:rFonts w:eastAsia="Calibri"/>
          <w:i/>
          <w:kern w:val="24"/>
        </w:rPr>
        <w:t>Për kriteret e përzgjedhjes së pedagogëve dhe trajnerëve të Shkollës së Magjistraturës</w:t>
      </w:r>
      <w:r w:rsidRPr="00EE2DE7">
        <w:rPr>
          <w:rFonts w:eastAsia="Calibri"/>
          <w:kern w:val="24"/>
        </w:rPr>
        <w:t>”, ka përcaktuar kriteret ligjore që duhet të përmbushin aplikuesit si ekspertë të Programit të Formimit Vazhdues, i cili është përditësuar në zbatim të ligjit nr. 115/2016, “</w:t>
      </w:r>
      <w:r w:rsidRPr="00EE2DE7">
        <w:rPr>
          <w:rFonts w:eastAsia="Calibri"/>
          <w:i/>
          <w:kern w:val="24"/>
        </w:rPr>
        <w:t>Për organet e qeverisjes së sistemit të drejtësisë</w:t>
      </w:r>
      <w:r w:rsidRPr="00EE2DE7">
        <w:rPr>
          <w:rFonts w:eastAsia="Calibri"/>
          <w:kern w:val="24"/>
        </w:rPr>
        <w:t xml:space="preserve">”. </w:t>
      </w:r>
      <w:r w:rsidRPr="00EE2DE7">
        <w:rPr>
          <w:rFonts w:eastAsia="Times New Roman"/>
          <w:kern w:val="24"/>
        </w:rPr>
        <w:t>Përkatësisht, përzgjedhja e trajnerëve të Trajnimit Vazhdues, mbështetet në disa kritere, konkretisht: t</w:t>
      </w:r>
      <w:r w:rsidRPr="00EE2DE7">
        <w:rPr>
          <w:rFonts w:eastAsia="Calibri"/>
          <w:kern w:val="24"/>
        </w:rPr>
        <w:t>ë kenë</w:t>
      </w:r>
      <w:r w:rsidRPr="00EE2DE7">
        <w:rPr>
          <w:rFonts w:eastAsia="Times New Roman"/>
          <w:kern w:val="24"/>
        </w:rPr>
        <w:t xml:space="preserve"> eksperiencë mbi 15-vjeçare si juristë dhe eksperiencë mësimdhënëse universitare apo në Shkollën e Magjistraturës mbi 10 vjet; ose t</w:t>
      </w:r>
      <w:r w:rsidRPr="00EE2DE7">
        <w:rPr>
          <w:rFonts w:eastAsia="Calibri"/>
          <w:kern w:val="24"/>
        </w:rPr>
        <w:t>ë</w:t>
      </w:r>
      <w:r w:rsidRPr="00EE2DE7">
        <w:rPr>
          <w:rFonts w:eastAsia="Times New Roman"/>
          <w:kern w:val="24"/>
        </w:rPr>
        <w:t xml:space="preserve"> ken</w:t>
      </w:r>
      <w:r w:rsidRPr="00EE2DE7">
        <w:rPr>
          <w:rFonts w:eastAsia="Calibri"/>
          <w:kern w:val="24"/>
        </w:rPr>
        <w:t xml:space="preserve">ë </w:t>
      </w:r>
      <w:r w:rsidRPr="00EE2DE7">
        <w:rPr>
          <w:rFonts w:eastAsia="Times New Roman"/>
          <w:kern w:val="24"/>
        </w:rPr>
        <w:t>eksperiencë mbi 10-vjeçare si gjyqtar ose prokuror dhe eksperiencë mësimdhënieje universitare apo në Shkollën e Magjistraturës mbi 5 vjet; t</w:t>
      </w:r>
      <w:r w:rsidRPr="00EE2DE7">
        <w:rPr>
          <w:rFonts w:eastAsia="Calibri"/>
          <w:kern w:val="24"/>
        </w:rPr>
        <w:t xml:space="preserve">ë kenë </w:t>
      </w:r>
      <w:r w:rsidRPr="00EE2DE7">
        <w:rPr>
          <w:rFonts w:eastAsia="Times New Roman"/>
          <w:kern w:val="24"/>
        </w:rPr>
        <w:t xml:space="preserve">përvojë profesionale e specifikuar në fushën/kursin/temën për të cilën do të jenë ekspertë. Për seminaret me tema specifike të Programit të Formimit Vazhdues, mund të aktivizohen specialistë të atyre fushave me përvojë të paktën 10-vjeçare të specifikuar në fushën/kursin/temën për të cilën do të jenë trajnerë/ekspertë, si dhe të kenë eksperiencë pedagogjike ose trajnuese të paktën 3-vjeçare. Kritere shtesë të rëndësishme për përzgjedhjen e të gjithë pedagogëve, trajnerëve/ekspertëve, të cilët duhet të konkurrojnë në mënyrë kumulative me kriteret ligjore, janë: integriteti moral dhe reputacioni i mirë në detyrën e tyre, i cili ka të bëjë me respektimin e vazhdueshëm të rregullave në detyrën e tij/saj; ndjekja e sesioneve të trajnimit të </w:t>
      </w:r>
      <w:r w:rsidRPr="00EE2DE7">
        <w:rPr>
          <w:rFonts w:eastAsia="Times New Roman"/>
          <w:kern w:val="24"/>
        </w:rPr>
        <w:lastRenderedPageBreak/>
        <w:t>trajnerëve që organizon Shkolla e Magjistraturës gjatë vitit akademik; aftësit</w:t>
      </w:r>
      <w:r w:rsidRPr="00EE2DE7">
        <w:rPr>
          <w:rFonts w:eastAsia="Calibri"/>
          <w:kern w:val="24"/>
        </w:rPr>
        <w:t>ë</w:t>
      </w:r>
      <w:r w:rsidRPr="00EE2DE7">
        <w:rPr>
          <w:rFonts w:eastAsia="Times New Roman"/>
          <w:kern w:val="24"/>
        </w:rPr>
        <w:t xml:space="preserve"> e larta në komunikim; aktiviteti shkencor në formën e botimeve dhe konferencave; përfundimi i detyrave t</w:t>
      </w:r>
      <w:r w:rsidRPr="00EE2DE7">
        <w:rPr>
          <w:rFonts w:eastAsia="Calibri"/>
          <w:kern w:val="24"/>
        </w:rPr>
        <w:t>ë</w:t>
      </w:r>
      <w:r w:rsidRPr="00EE2DE7">
        <w:rPr>
          <w:rFonts w:eastAsia="Times New Roman"/>
          <w:kern w:val="24"/>
        </w:rPr>
        <w:t xml:space="preserve"> ngarkuara brenda afateve të vëna nga Këshilli Drejtues dhe nga Këshilli Pedagogjik; aftësitë e nevojshme për të vlerësuar nevojat për trajnimin profesional të gjyqtarëve dhe të prokurorëve; aftësit</w:t>
      </w:r>
      <w:r w:rsidRPr="00EE2DE7">
        <w:rPr>
          <w:rFonts w:eastAsia="Calibri"/>
          <w:kern w:val="24"/>
        </w:rPr>
        <w:t>ë</w:t>
      </w:r>
      <w:r w:rsidRPr="00EE2DE7">
        <w:rPr>
          <w:rFonts w:eastAsia="Times New Roman"/>
          <w:kern w:val="24"/>
        </w:rPr>
        <w:t xml:space="preserve"> e nevojshme për të bërë vlerësimin e aktiviteteve të trajnimit profesional; frekuentimi i aktiviteteve për të cilat i duhet të udhëtojë brenda dhe jashtë vendit; njohja e një gjuhe të huaj të Bashkimit Europian ose më gjerë; aftësit</w:t>
      </w:r>
      <w:r w:rsidRPr="00EE2DE7">
        <w:rPr>
          <w:rFonts w:eastAsia="Calibri"/>
          <w:kern w:val="24"/>
        </w:rPr>
        <w:t>ë</w:t>
      </w:r>
      <w:r w:rsidRPr="00EE2DE7">
        <w:rPr>
          <w:rFonts w:eastAsia="Times New Roman"/>
          <w:kern w:val="24"/>
        </w:rPr>
        <w:t xml:space="preserve"> për përdorimin e kompjuterit. </w:t>
      </w:r>
    </w:p>
    <w:p w:rsidR="008B30BD" w:rsidRPr="00EE2DE7" w:rsidRDefault="008B30BD" w:rsidP="008B30BD">
      <w:pPr>
        <w:spacing w:line="276" w:lineRule="auto"/>
        <w:ind w:firstLine="720"/>
        <w:jc w:val="both"/>
        <w:rPr>
          <w:rFonts w:eastAsia="Times New Roman"/>
          <w:kern w:val="24"/>
        </w:rPr>
      </w:pPr>
      <w:r w:rsidRPr="00EE2DE7">
        <w:rPr>
          <w:rFonts w:eastAsia="Times New Roman"/>
          <w:kern w:val="24"/>
        </w:rPr>
        <w:t>Pranimi dhe emërimi i gjyqtarëve a prokurorëve si pedagogë të brendshëm kryhet duke konkurruar sipas kritereve të kësaj rregulloreje, si dhe pasi të jetë dhënë pëlqimi, përkatësisht, nga Këshilli i Lartë Gjyqësor ose Këshilli i Lartë i Prokurorisë, sipas kërkesës dhe propozimeve të Këshillit Drejtues të Shkollës së Magjistraturës.</w:t>
      </w:r>
    </w:p>
    <w:p w:rsidR="008B30BD" w:rsidRPr="00EE2DE7" w:rsidRDefault="008B30BD" w:rsidP="008B30BD">
      <w:pPr>
        <w:spacing w:line="276" w:lineRule="auto"/>
        <w:ind w:firstLine="720"/>
        <w:jc w:val="both"/>
        <w:rPr>
          <w:rFonts w:eastAsia="Calibri"/>
          <w:kern w:val="24"/>
        </w:rPr>
      </w:pPr>
      <w:r>
        <w:rPr>
          <w:rFonts w:eastAsia="Calibri"/>
          <w:kern w:val="24"/>
        </w:rPr>
        <w:t>Shkolla</w:t>
      </w:r>
      <w:r w:rsidRPr="00EE2DE7">
        <w:rPr>
          <w:rFonts w:eastAsia="Calibri"/>
          <w:kern w:val="24"/>
        </w:rPr>
        <w:t xml:space="preserve"> ka synuar të përzgjedhë me cilësinë e ekspertëve, gjyqtarë e prokurorë me eksperiencë të gjatë në ushtrimin e funksionit të tyre, për të qenë më afër problematikave të praktikës gjyqësore. Një ndihmesë të madhe në përzgjedhjen cilësore të tyre, natyrisht ka luajtur edhe vlerësimi që secili ekspert, lehtësues apo moderator, ka marrë nga auditori, para të cilit ai ka dhënë ekspe</w:t>
      </w:r>
      <w:r>
        <w:rPr>
          <w:rFonts w:eastAsia="Calibri"/>
          <w:kern w:val="24"/>
        </w:rPr>
        <w:t>rtizën e tij. Synimi i Shkollës</w:t>
      </w:r>
      <w:r w:rsidRPr="00EE2DE7">
        <w:rPr>
          <w:rFonts w:eastAsia="Calibri"/>
          <w:kern w:val="24"/>
        </w:rPr>
        <w:t xml:space="preserve"> është që të arrihet një gërshetim i ekspertizës në nivelin teorik me atë praktik. Shkolla vazhdimisht i ka ftuar gjyqtarët e prokurorët për të aplikuar si ekspertë të Formimit Vazhdues, por gjithnjë duke pasur në konsideratë kriteret ligjore në përzgjedhjen e tyre. Në këtë drejtim ka vend për përmirësime të mëtejshme, por Shkolla nuk mund të arrijë rezultate të kënaqshme pa mbështetjen edhe të aktorëve të rëndësishëm të sistemit të drejtësisë. Ajo çfarë duhet nënvizuar këtu është se, çdo gjyqtar e prokuror duhet të ndërgjegjësohet për domosdoshmërinë e ngritjes së tij profesionale, për t’ju përgjigjur kërkesave të kohës. Shkolla e Magjistratur</w:t>
      </w:r>
      <w:r>
        <w:rPr>
          <w:rFonts w:eastAsia="Calibri"/>
          <w:kern w:val="24"/>
        </w:rPr>
        <w:t>ës e ka theksuar vazhdimisht se</w:t>
      </w:r>
      <w:r w:rsidRPr="00EE2DE7">
        <w:rPr>
          <w:rFonts w:eastAsia="Calibri"/>
          <w:kern w:val="24"/>
        </w:rPr>
        <w:t xml:space="preserve"> është e hapur për çdo bashkëpunim që synon rritjen e nivelit të Formimit Vazhdues, ndaj i mirëpret të gjitha sugjerimet që vijnë për përzgjedhjen e ekspertëve më të mirë shqiptarë. Synimi i Shkollës është që zhvillimi i aktiviteteve në kuadrin e Formimit Vazhdues, të krijojë një mundësi të mirë për të gjithë pjesëmarrësit, duke përfshirë edhe vetë ekspertët shqiptarë, në shkëmbimin e eksperiencave të tyre profesionale, në funksion të përmirësimit të performancës së tyre në dhënien e drejtësisë. </w:t>
      </w:r>
    </w:p>
    <w:p w:rsidR="008B30BD" w:rsidRPr="00EE2DE7" w:rsidRDefault="008B30BD" w:rsidP="008B30BD">
      <w:pPr>
        <w:spacing w:line="276" w:lineRule="auto"/>
        <w:ind w:firstLine="720"/>
        <w:jc w:val="both"/>
        <w:rPr>
          <w:rFonts w:eastAsia="Times New Roman"/>
          <w:kern w:val="24"/>
        </w:rPr>
      </w:pPr>
      <w:r w:rsidRPr="00EE2DE7">
        <w:rPr>
          <w:rFonts w:eastAsia="Times New Roman"/>
          <w:kern w:val="24"/>
        </w:rPr>
        <w:t>Për seminaret me tema specifike të Programit të Formimit Vazhdues është treguar kujdes i veçantë duke aktivizuar specialistë me qëllim rritjen e cilësisë së aktiviteteve në lidhje me qartësimin, thellimin dhe pasurimin e njohurive në këto fusha.</w:t>
      </w:r>
    </w:p>
    <w:p w:rsidR="008B30BD" w:rsidRPr="00EE2DE7" w:rsidRDefault="008B30BD" w:rsidP="008B30BD">
      <w:pPr>
        <w:spacing w:line="276" w:lineRule="auto"/>
        <w:ind w:firstLine="720"/>
        <w:jc w:val="both"/>
        <w:rPr>
          <w:rFonts w:eastAsia="Calibri"/>
          <w:kern w:val="24"/>
        </w:rPr>
      </w:pPr>
      <w:r w:rsidRPr="00EE2DE7">
        <w:rPr>
          <w:rFonts w:eastAsia="Calibri"/>
          <w:kern w:val="24"/>
        </w:rPr>
        <w:t xml:space="preserve">Ekspertët shqiptarë </w:t>
      </w:r>
      <w:r>
        <w:rPr>
          <w:rFonts w:eastAsia="Calibri"/>
          <w:kern w:val="24"/>
        </w:rPr>
        <w:t>kontrib</w:t>
      </w:r>
      <w:r w:rsidRPr="00EE2DE7">
        <w:rPr>
          <w:rFonts w:eastAsia="Calibri"/>
          <w:kern w:val="24"/>
        </w:rPr>
        <w:t>uan denjësisht në mbarëvajtjen e programit. Shkolla e Magjistraturës ka bërë të gjitha përpjekjet që në listën e ekspertëve të saj të jenë emra të spikatur në zbatimin e së drejtës dhe njohës të mirë të saj si nga ana teorike, ashtu edhe nga ajo praktike. Shkolla u ka bërë ftesë gjithnjë si trajnues edhe gjyqtarëve e prokurorëve të rretheve, duke u krijuar të gjitha mundësitë që të sugjerojnë kolegë apo veten lidhur me ekspertiza të veçanta, në fusha specifike. Listat e ekspertëve për vitin akademik 2017-2018 reflektuan ndryshime të ndjeshme duke sjellë në cilësinë e ekspertit/ moderatorit/lehtësuesit emra të rinj të vlerësuar për kontributet e tyre në fushën e së drejtës, gjë që solli edhe rritje të cilësisë së aktiviteteve trajnuese që u organizuan gjatë vitit.</w:t>
      </w:r>
    </w:p>
    <w:p w:rsidR="008B30BD" w:rsidRPr="00EE2DE7" w:rsidRDefault="008B30BD" w:rsidP="008B30BD">
      <w:pPr>
        <w:spacing w:line="276" w:lineRule="auto"/>
        <w:ind w:firstLine="720"/>
        <w:jc w:val="both"/>
        <w:rPr>
          <w:rFonts w:eastAsia="Calibri"/>
          <w:kern w:val="24"/>
        </w:rPr>
      </w:pPr>
      <w:r w:rsidRPr="00EE2DE7">
        <w:rPr>
          <w:rFonts w:eastAsia="Calibri"/>
          <w:kern w:val="24"/>
        </w:rPr>
        <w:t xml:space="preserve">Seleksionimi i ekspertizës më të mirë të brendshme dhe ndërkombëtare në fusha të veçanta. Në lidhje me ekspertizën vendase përmendim </w:t>
      </w:r>
      <w:r w:rsidRPr="00EE2DE7">
        <w:rPr>
          <w:rFonts w:eastAsia="Calibri"/>
          <w:b/>
          <w:i/>
          <w:kern w:val="24"/>
        </w:rPr>
        <w:t>ekspertët nga gjyqësori</w:t>
      </w:r>
      <w:r w:rsidRPr="00EE2DE7">
        <w:rPr>
          <w:rFonts w:eastAsia="Calibri"/>
          <w:kern w:val="24"/>
        </w:rPr>
        <w:t xml:space="preserve">: Admir Belishta, Albana Boksi, Altina Nasufi, Amarildo Laçi, Ardian Dvorani, Ardian Nuni, Elda Vrioni, Ervin Metalla, Ervin Pollozhani, </w:t>
      </w:r>
      <w:r w:rsidRPr="00EE2DE7">
        <w:rPr>
          <w:rFonts w:eastAsia="Calibri"/>
          <w:kern w:val="24"/>
        </w:rPr>
        <w:lastRenderedPageBreak/>
        <w:t xml:space="preserve">Evelina Qirjako, Fatri Islamaj, Fjoralba Prifti, Gerd Hoxha, Kastriot Selita, Klodian Kurushi, Lindita Sinanaj, Margarita Buhali, Saida Dollani, Sandër Simoni, Valbona Vata, Vitore Tusha, Xhezair Zaganjori; </w:t>
      </w:r>
      <w:r w:rsidRPr="00EE2DE7">
        <w:rPr>
          <w:rFonts w:eastAsia="Calibri"/>
          <w:b/>
          <w:i/>
          <w:kern w:val="24"/>
        </w:rPr>
        <w:t>ndër ekspertët nga prokuroria</w:t>
      </w:r>
      <w:r w:rsidRPr="00EE2DE7">
        <w:rPr>
          <w:rFonts w:eastAsia="Calibri"/>
          <w:kern w:val="24"/>
        </w:rPr>
        <w:t xml:space="preserve">: Arian Muçaj, Arqile Koça, Artur Selmani, Besnik Muçi, Dritan Rreshka, Henrik Ligori, Olsian Çela; </w:t>
      </w:r>
      <w:r w:rsidRPr="00EE2DE7">
        <w:rPr>
          <w:rFonts w:eastAsia="Calibri"/>
          <w:b/>
          <w:i/>
          <w:kern w:val="24"/>
        </w:rPr>
        <w:t>ekspert</w:t>
      </w:r>
      <w:r w:rsidRPr="00EE2DE7">
        <w:rPr>
          <w:rFonts w:eastAsia="Times New Roman"/>
          <w:b/>
          <w:i/>
          <w:kern w:val="24"/>
          <w:lang w:eastAsia="en-GB"/>
        </w:rPr>
        <w:t>ë</w:t>
      </w:r>
      <w:r w:rsidRPr="00EE2DE7">
        <w:rPr>
          <w:rFonts w:eastAsia="Calibri"/>
          <w:b/>
          <w:i/>
          <w:kern w:val="24"/>
        </w:rPr>
        <w:t xml:space="preserve"> të tjerë</w:t>
      </w:r>
      <w:r w:rsidRPr="00EE2DE7">
        <w:rPr>
          <w:rFonts w:eastAsia="Calibri"/>
          <w:kern w:val="24"/>
        </w:rPr>
        <w:t xml:space="preserve">: Alma Hicka, Arben Isaraj, Artan Hoxha, Skënder Kaçupi, Artan Hajdari, Arta Mandro, Arben Rakipi, Dashamir Kore, Elira Kokona, Eralda Met’hasani, Evis Alimehmeti, Idlir Peçi, Ina Rama, Mariana Semini, Manjola Xhaxho, Marsida Xhaferllari, Shamet Shabani, Sokol Berberi; Sokol Sadushi, Vilma Sharofi, Vangjel Kosta, Arben Malaj, Arta Vorpsi, Gent Ibrahimi, Ardjana Kalo, Romeo Nazarko; Ilirjan Mandro; Bledi Stefa; Mit’hat Tola; Livia Nano; Anita Pilika; Anila Sulstarova; Eugjen Sotiri;  </w:t>
      </w:r>
      <w:r w:rsidRPr="00EE2DE7">
        <w:rPr>
          <w:rFonts w:eastAsia="Calibri"/>
          <w:b/>
          <w:i/>
          <w:kern w:val="24"/>
        </w:rPr>
        <w:t>ekspertë ndërkombëtarë:</w:t>
      </w:r>
      <w:r w:rsidRPr="00EE2DE7">
        <w:rPr>
          <w:kern w:val="24"/>
          <w:u w:val="wave"/>
        </w:rPr>
        <w:t xml:space="preserve"> Dr. Ronald Rohrer, Carlo D’Achile, Carmine Pirozzoli, Antonio Balsano, Hassan Khan, DebiGould, Mark Owers, Tanja Pavelin Borziċ, Diana Pervan,</w:t>
      </w:r>
      <w:r>
        <w:rPr>
          <w:kern w:val="24"/>
          <w:u w:val="wave"/>
        </w:rPr>
        <w:t xml:space="preserve"> </w:t>
      </w:r>
      <w:r w:rsidRPr="00EE2DE7">
        <w:rPr>
          <w:kern w:val="24"/>
          <w:u w:val="wave"/>
        </w:rPr>
        <w:t xml:space="preserve">High Wycombe, Buckinghamshire, Jonathan Fisher QC, Anita Clifford, Koraljka Bumči, </w:t>
      </w:r>
      <w:r w:rsidRPr="00EE2DE7">
        <w:rPr>
          <w:rFonts w:eastAsia="Times New Roman"/>
          <w:kern w:val="24"/>
          <w:lang w:eastAsia="en-GB"/>
        </w:rPr>
        <w:t xml:space="preserve">Agnes Bernhand, Anita Mihailova, </w:t>
      </w:r>
      <w:r w:rsidRPr="00EE2DE7">
        <w:rPr>
          <w:rFonts w:eastAsia="Calibri"/>
          <w:kern w:val="24"/>
        </w:rPr>
        <w:t>Katrin Wladasch.</w:t>
      </w:r>
    </w:p>
    <w:p w:rsidR="008B30BD" w:rsidRPr="00EE2DE7" w:rsidRDefault="008B30BD" w:rsidP="008B30BD">
      <w:pPr>
        <w:spacing w:line="276" w:lineRule="auto"/>
        <w:ind w:firstLine="720"/>
        <w:jc w:val="both"/>
        <w:rPr>
          <w:rFonts w:eastAsia="Calibri"/>
          <w:kern w:val="24"/>
        </w:rPr>
      </w:pPr>
      <w:r w:rsidRPr="00EE2DE7">
        <w:rPr>
          <w:rFonts w:eastAsia="Calibri"/>
          <w:kern w:val="24"/>
        </w:rPr>
        <w:t>Ekspertët ndërkombëtarë kontribuuan në mënyrë tepër cilësore në të gjitha aktivitetet trajnuese, ku ishin të pranishëm, duke sjellë një mbarëvajtje të kënaqshme të programit trajnues për vitin 2017-2018. Këto seanca të pjesëmarrjes së përbashkët të ekspertëve të vendit tonë dhe të huaj krijuan një atmosferë njohjeje të thelluar të aspektit të përqasjes së legjislacionit vendas me atë ndërkombëtar, në fusha të ndryshme. Edhe gjatë këtij viti u vu re vlerësimi pozitiv që ekspertët e huaj morën nga auditori pjesëmarrës, si dhe kërkesat për të pasur më shumë eksperienca të reja sa i takon ndërthurjes së aspekteve teorike me ato praktike, pasi pjesëmarrësit i mëshonin dukshëm aplikimit të informacioneve të prura në praktikën e punës së tyre të përditshme në terrenin shqiptar.</w:t>
      </w:r>
    </w:p>
    <w:p w:rsidR="008B30BD" w:rsidRPr="00EE2DE7" w:rsidRDefault="008B30BD" w:rsidP="008B30BD">
      <w:pPr>
        <w:spacing w:line="276" w:lineRule="auto"/>
        <w:ind w:firstLine="720"/>
        <w:jc w:val="both"/>
        <w:rPr>
          <w:rFonts w:eastAsia="Calibri"/>
          <w:kern w:val="24"/>
        </w:rPr>
      </w:pPr>
      <w:r w:rsidRPr="00EE2DE7">
        <w:rPr>
          <w:rFonts w:eastAsia="Calibri"/>
          <w:kern w:val="24"/>
        </w:rPr>
        <w:t>Seleksionimi i ekspertizës është gjithashtu një nga kontributet me vlerë që anëtarët e Këshillit Drejtues, bashkërisht dhe individualisht, i kanë dhënë Shkollës së Magjistraturës.</w:t>
      </w:r>
    </w:p>
    <w:p w:rsidR="008B30BD" w:rsidRPr="00EE2DE7" w:rsidRDefault="008B30BD" w:rsidP="008B30BD">
      <w:pPr>
        <w:spacing w:line="276" w:lineRule="auto"/>
        <w:contextualSpacing/>
        <w:outlineLvl w:val="1"/>
        <w:rPr>
          <w:rFonts w:ascii="Cambria" w:eastAsia="Calibri" w:hAnsi="Cambria"/>
          <w:b/>
          <w:color w:val="244061"/>
          <w:spacing w:val="20"/>
          <w:kern w:val="24"/>
          <w:sz w:val="28"/>
          <w:szCs w:val="28"/>
        </w:rPr>
      </w:pPr>
    </w:p>
    <w:p w:rsidR="008B30BD" w:rsidRPr="008D2205" w:rsidRDefault="008B30BD" w:rsidP="008D2205">
      <w:pPr>
        <w:spacing w:line="276" w:lineRule="auto"/>
        <w:contextualSpacing/>
        <w:outlineLvl w:val="1"/>
        <w:rPr>
          <w:b/>
          <w:color w:val="CC9966" w:themeColor="accent2"/>
          <w:sz w:val="32"/>
        </w:rPr>
      </w:pPr>
      <w:r w:rsidRPr="008D2205">
        <w:rPr>
          <w:b/>
          <w:color w:val="CC9966" w:themeColor="accent2"/>
          <w:sz w:val="32"/>
        </w:rPr>
        <w:t>2.5</w:t>
      </w:r>
      <w:r w:rsidR="008D2205">
        <w:rPr>
          <w:b/>
          <w:color w:val="CC9966" w:themeColor="accent2"/>
          <w:sz w:val="32"/>
        </w:rPr>
        <w:t>.</w:t>
      </w:r>
      <w:r w:rsidRPr="008D2205">
        <w:rPr>
          <w:b/>
          <w:color w:val="CC9966" w:themeColor="accent2"/>
          <w:sz w:val="32"/>
        </w:rPr>
        <w:t xml:space="preserve"> </w:t>
      </w:r>
      <w:r w:rsidR="008D2205">
        <w:rPr>
          <w:b/>
          <w:color w:val="CC9966" w:themeColor="accent2"/>
          <w:sz w:val="32"/>
        </w:rPr>
        <w:t xml:space="preserve"> </w:t>
      </w:r>
      <w:r w:rsidRPr="008D2205">
        <w:rPr>
          <w:b/>
          <w:color w:val="CC9966" w:themeColor="accent2"/>
          <w:sz w:val="32"/>
        </w:rPr>
        <w:t>Bashkëpunimi me aktorë të rëndësishëm të sistemit të drejtësisë në vendin tonë</w:t>
      </w:r>
    </w:p>
    <w:p w:rsidR="008B30BD" w:rsidRPr="00EE2DE7" w:rsidRDefault="008B30BD" w:rsidP="008B30BD">
      <w:pPr>
        <w:spacing w:line="276" w:lineRule="auto"/>
        <w:ind w:firstLine="720"/>
        <w:jc w:val="both"/>
        <w:rPr>
          <w:rFonts w:eastAsia="Calibri"/>
          <w:kern w:val="24"/>
        </w:rPr>
      </w:pPr>
    </w:p>
    <w:p w:rsidR="008B30BD" w:rsidRPr="00EE2DE7" w:rsidRDefault="008B30BD" w:rsidP="008B30BD">
      <w:pPr>
        <w:spacing w:line="276" w:lineRule="auto"/>
        <w:ind w:firstLine="720"/>
        <w:jc w:val="both"/>
        <w:rPr>
          <w:rFonts w:eastAsia="Calibri"/>
          <w:kern w:val="24"/>
        </w:rPr>
      </w:pPr>
      <w:r w:rsidRPr="00EE2DE7">
        <w:rPr>
          <w:rFonts w:eastAsia="Calibri"/>
          <w:kern w:val="24"/>
        </w:rPr>
        <w:t xml:space="preserve">Ky bashkëpunim është shprehur në forma të ndryshme. Si të tilla mund të përmendim bashkëpunimin me Këshillin e Lartë të Drejtësisë, Gjykatën e Lartë, Prokurorinë e Përgjithshme etj. Këto bashkëpunime janë realizuar në formën e seminareve me qëllim që të sigurojnë informacion bashkëkohor për perfeksionimin e gjyqtarëve dhe prokurorëve. </w:t>
      </w:r>
    </w:p>
    <w:p w:rsidR="008B30BD" w:rsidRDefault="008B30BD" w:rsidP="008D2205">
      <w:pPr>
        <w:shd w:val="clear" w:color="auto" w:fill="FFFFFF"/>
        <w:spacing w:line="276" w:lineRule="auto"/>
        <w:ind w:firstLine="720"/>
        <w:jc w:val="both"/>
        <w:rPr>
          <w:rFonts w:eastAsia="Calibri"/>
          <w:kern w:val="24"/>
        </w:rPr>
      </w:pPr>
      <w:r w:rsidRPr="00EE2DE7">
        <w:rPr>
          <w:rFonts w:eastAsia="Calibri"/>
          <w:kern w:val="24"/>
        </w:rPr>
        <w:t>Shkolla, për realizimin e sesioneve trajnuese, është mbështetur edhe në bashkëpunimin me partnerët ndërkombëtarë, të cilët kanë dhënë një kontribut të konsiderueshëm në zhvillimin e veprimtarive për perfeksionimin e mëtejshëm profesional të magjistratëve shqiptarë. Ndër bashkëpunëtorët ndërkombëtarë mund të përmendim: OPDAT, OSBE, Fondacionin “</w:t>
      </w:r>
      <w:r w:rsidRPr="00EE2DE7">
        <w:rPr>
          <w:rFonts w:eastAsia="Calibri"/>
          <w:i/>
          <w:kern w:val="24"/>
        </w:rPr>
        <w:t xml:space="preserve">Terre des Hommes”, </w:t>
      </w:r>
      <w:r w:rsidRPr="00EE2DE7">
        <w:rPr>
          <w:rFonts w:eastAsia="Calibri"/>
          <w:kern w:val="24"/>
        </w:rPr>
        <w:t>Komitetin e Helsinkit të Holandës, Këshillin e Europës, Fondacionin SLYNN, Delegacionin e Bashkimit Europian, UNDP, EURALIUS etj.</w:t>
      </w:r>
    </w:p>
    <w:p w:rsidR="00B55A6F" w:rsidRDefault="00B55A6F" w:rsidP="008D2205">
      <w:pPr>
        <w:shd w:val="clear" w:color="auto" w:fill="FFFFFF"/>
        <w:spacing w:line="276" w:lineRule="auto"/>
        <w:ind w:firstLine="720"/>
        <w:jc w:val="both"/>
        <w:rPr>
          <w:rFonts w:eastAsia="Calibri"/>
          <w:kern w:val="24"/>
        </w:rPr>
      </w:pPr>
    </w:p>
    <w:p w:rsidR="00B55A6F" w:rsidRDefault="00B55A6F" w:rsidP="008D2205">
      <w:pPr>
        <w:shd w:val="clear" w:color="auto" w:fill="FFFFFF"/>
        <w:spacing w:line="276" w:lineRule="auto"/>
        <w:ind w:firstLine="720"/>
        <w:jc w:val="both"/>
        <w:rPr>
          <w:rFonts w:eastAsia="Calibri"/>
          <w:kern w:val="24"/>
        </w:rPr>
      </w:pPr>
    </w:p>
    <w:p w:rsidR="008D2205" w:rsidRPr="00EE2DE7" w:rsidRDefault="008D2205" w:rsidP="008D2205">
      <w:pPr>
        <w:shd w:val="clear" w:color="auto" w:fill="FFFFFF"/>
        <w:spacing w:line="276" w:lineRule="auto"/>
        <w:ind w:firstLine="720"/>
        <w:jc w:val="both"/>
        <w:rPr>
          <w:rFonts w:eastAsia="Calibri"/>
          <w:kern w:val="24"/>
        </w:rPr>
      </w:pPr>
    </w:p>
    <w:p w:rsidR="008B30BD" w:rsidRPr="008D2205" w:rsidRDefault="008B30BD" w:rsidP="008D2205">
      <w:pPr>
        <w:spacing w:line="276" w:lineRule="auto"/>
        <w:contextualSpacing/>
        <w:outlineLvl w:val="1"/>
        <w:rPr>
          <w:b/>
          <w:color w:val="CC9966" w:themeColor="accent2"/>
          <w:sz w:val="32"/>
        </w:rPr>
      </w:pPr>
      <w:r w:rsidRPr="008D2205">
        <w:rPr>
          <w:b/>
          <w:color w:val="CC9966" w:themeColor="accent2"/>
          <w:sz w:val="32"/>
        </w:rPr>
        <w:lastRenderedPageBreak/>
        <w:t>2.6</w:t>
      </w:r>
      <w:r w:rsidR="008D2205">
        <w:rPr>
          <w:b/>
          <w:color w:val="CC9966" w:themeColor="accent2"/>
          <w:sz w:val="32"/>
        </w:rPr>
        <w:t xml:space="preserve">. </w:t>
      </w:r>
      <w:r w:rsidRPr="008D2205">
        <w:rPr>
          <w:b/>
          <w:color w:val="CC9966" w:themeColor="accent2"/>
          <w:sz w:val="32"/>
        </w:rPr>
        <w:t xml:space="preserve"> Metodologjia e përdorur në hartimin e përmbajtjes tematike të Programit</w:t>
      </w:r>
    </w:p>
    <w:p w:rsidR="008B30BD" w:rsidRPr="00EE2DE7" w:rsidRDefault="008B30BD" w:rsidP="008B30BD">
      <w:pPr>
        <w:spacing w:before="240" w:after="80" w:line="276" w:lineRule="auto"/>
        <w:contextualSpacing/>
        <w:jc w:val="both"/>
        <w:outlineLvl w:val="1"/>
        <w:rPr>
          <w:rFonts w:ascii="Cambria" w:eastAsia="Calibri" w:hAnsi="Cambria"/>
          <w:b/>
          <w:color w:val="244061"/>
          <w:spacing w:val="20"/>
          <w:kern w:val="24"/>
          <w:sz w:val="28"/>
          <w:szCs w:val="28"/>
        </w:rPr>
      </w:pPr>
    </w:p>
    <w:p w:rsidR="008B30BD" w:rsidRPr="00EE2DE7" w:rsidRDefault="008B30BD" w:rsidP="008B30BD">
      <w:pPr>
        <w:tabs>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Calibri"/>
          <w:kern w:val="24"/>
        </w:rPr>
      </w:pPr>
      <w:r w:rsidRPr="00EE2DE7">
        <w:rPr>
          <w:rFonts w:eastAsia="Calibri"/>
          <w:kern w:val="24"/>
        </w:rPr>
        <w:tab/>
        <w:t xml:space="preserve">Ky informacion përsërit atë që është bërë në vitin 2006 kur u hartua PTV 2006-2009 dhe synon të përshkruajë gjithë procedurën e ndjekur nga Shkolla e Magjistraturës për hartimin e programit të ri të Formimit Vazhdues, i cili përfshin periudhën 2015-2018. Qëllimi i këtij informacioni është evidentimi i përpjekjeve që bëjmë në mënyrë të vazhdueshme, për të ofruar një shërbim të standardeve sa më të larta dhe sa më pranë kërkesave që paraqet sot sistemi ynë i drejtësisë, por edhe për t’u përballur me sfidat e së nesërmes. </w:t>
      </w:r>
    </w:p>
    <w:p w:rsidR="008B30BD" w:rsidRPr="00EE2DE7" w:rsidRDefault="008B30BD" w:rsidP="008B30BD">
      <w:pPr>
        <w:tabs>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Calibri"/>
          <w:kern w:val="24"/>
        </w:rPr>
      </w:pPr>
      <w:r w:rsidRPr="00EE2DE7">
        <w:rPr>
          <w:rFonts w:eastAsia="Calibri"/>
          <w:kern w:val="24"/>
        </w:rPr>
        <w:tab/>
        <w:t>Mbërritja e këtij dokumenti në formatin e duhur ka ndjekur një rrugë të gjatë. I tillë është vetë procesi i identifikimit të nevojave. Procedura e përcaktimit të tematikës dhe e hartimit të PTV-së ka nisur muaj më parë. Në fakt nuk ka pasur ndërprerje në mbajtjen shënim të këtyre nevojave. Shkolla në vazhdimësi, edhe gjatë realizimit të programit ka pasur në qendër të vëmendjes identifikimin e nevojave të gjyqtarëve dhe prokurorëve në detyrë si dhe prioritetet e tyre për shkak të kërkesave të reformës në drejtësi. Këtu dallojmë disa hallka të tilla, si:</w:t>
      </w:r>
    </w:p>
    <w:p w:rsidR="008B30BD" w:rsidRPr="00EE2DE7" w:rsidRDefault="008B30BD" w:rsidP="005C2687">
      <w:pPr>
        <w:numPr>
          <w:ilvl w:val="0"/>
          <w:numId w:val="33"/>
        </w:numPr>
        <w:spacing w:line="276" w:lineRule="auto"/>
        <w:ind w:left="360"/>
        <w:rPr>
          <w:rFonts w:eastAsia="Calibri"/>
          <w:kern w:val="24"/>
        </w:rPr>
      </w:pPr>
      <w:r w:rsidRPr="00EE2DE7">
        <w:rPr>
          <w:rFonts w:eastAsia="Calibri"/>
          <w:kern w:val="24"/>
        </w:rPr>
        <w:t>Mënyra e përcaktimit të tematikës;</w:t>
      </w:r>
    </w:p>
    <w:p w:rsidR="008B30BD" w:rsidRPr="00EE2DE7" w:rsidRDefault="008B30BD" w:rsidP="005C2687">
      <w:pPr>
        <w:numPr>
          <w:ilvl w:val="0"/>
          <w:numId w:val="33"/>
        </w:numPr>
        <w:spacing w:line="276" w:lineRule="auto"/>
        <w:ind w:left="360"/>
        <w:rPr>
          <w:rFonts w:eastAsia="Calibri"/>
          <w:kern w:val="24"/>
        </w:rPr>
      </w:pPr>
      <w:r w:rsidRPr="00EE2DE7">
        <w:rPr>
          <w:rFonts w:eastAsia="Calibri"/>
          <w:kern w:val="24"/>
        </w:rPr>
        <w:t>Krijimi i grupit të ekspertëve që përshkruan përmbajtjen tematike të kurseve trajnuese;</w:t>
      </w:r>
    </w:p>
    <w:p w:rsidR="008B30BD" w:rsidRPr="00EE2DE7" w:rsidRDefault="008B30BD" w:rsidP="005C2687">
      <w:pPr>
        <w:numPr>
          <w:ilvl w:val="0"/>
          <w:numId w:val="33"/>
        </w:numPr>
        <w:spacing w:line="276" w:lineRule="auto"/>
        <w:ind w:left="360"/>
        <w:rPr>
          <w:rFonts w:eastAsia="Calibri"/>
          <w:kern w:val="24"/>
        </w:rPr>
      </w:pPr>
      <w:r w:rsidRPr="00EE2DE7">
        <w:rPr>
          <w:rFonts w:eastAsia="Calibri"/>
          <w:kern w:val="24"/>
        </w:rPr>
        <w:t>Miratimi i Programit prej Këshillit Drejtues;</w:t>
      </w:r>
    </w:p>
    <w:p w:rsidR="008B30BD" w:rsidRPr="00EE2DE7" w:rsidRDefault="008B30BD" w:rsidP="005C2687">
      <w:pPr>
        <w:numPr>
          <w:ilvl w:val="0"/>
          <w:numId w:val="33"/>
        </w:numPr>
        <w:spacing w:line="276" w:lineRule="auto"/>
        <w:ind w:left="360"/>
        <w:rPr>
          <w:rFonts w:eastAsia="Calibri"/>
          <w:kern w:val="24"/>
        </w:rPr>
      </w:pPr>
      <w:r w:rsidRPr="00EE2DE7">
        <w:rPr>
          <w:rFonts w:eastAsia="Calibri"/>
          <w:kern w:val="24"/>
        </w:rPr>
        <w:t>Mbështetja financiare për realizimin konkret të sesioneve të Formimit Vazhdues;</w:t>
      </w:r>
    </w:p>
    <w:p w:rsidR="008B30BD" w:rsidRPr="00EE2DE7" w:rsidRDefault="008B30BD" w:rsidP="005C2687">
      <w:pPr>
        <w:numPr>
          <w:ilvl w:val="0"/>
          <w:numId w:val="33"/>
        </w:numPr>
        <w:spacing w:line="276" w:lineRule="auto"/>
        <w:ind w:left="360"/>
        <w:rPr>
          <w:rFonts w:eastAsia="Calibri"/>
          <w:kern w:val="24"/>
        </w:rPr>
      </w:pPr>
      <w:r w:rsidRPr="00EE2DE7">
        <w:rPr>
          <w:rFonts w:eastAsia="Calibri"/>
          <w:kern w:val="24"/>
        </w:rPr>
        <w:t>Hartimi i kalendarit të aktiviteteve trajnuese;</w:t>
      </w:r>
    </w:p>
    <w:p w:rsidR="008B30BD" w:rsidRPr="00EE2DE7" w:rsidRDefault="008B30BD" w:rsidP="005C2687">
      <w:pPr>
        <w:numPr>
          <w:ilvl w:val="0"/>
          <w:numId w:val="33"/>
        </w:numPr>
        <w:spacing w:line="276" w:lineRule="auto"/>
        <w:ind w:left="360"/>
        <w:rPr>
          <w:rFonts w:eastAsia="Calibri"/>
          <w:kern w:val="24"/>
        </w:rPr>
      </w:pPr>
      <w:r w:rsidRPr="00EE2DE7">
        <w:rPr>
          <w:rFonts w:eastAsia="Calibri"/>
          <w:kern w:val="24"/>
        </w:rPr>
        <w:t>Përcaktimi i listës së ekspertëve;</w:t>
      </w:r>
    </w:p>
    <w:p w:rsidR="008B30BD" w:rsidRPr="00EE2DE7" w:rsidRDefault="008B30BD" w:rsidP="005C2687">
      <w:pPr>
        <w:numPr>
          <w:ilvl w:val="0"/>
          <w:numId w:val="33"/>
        </w:numPr>
        <w:spacing w:line="276" w:lineRule="auto"/>
        <w:ind w:left="360"/>
        <w:rPr>
          <w:rFonts w:eastAsia="Calibri"/>
          <w:kern w:val="24"/>
        </w:rPr>
      </w:pPr>
      <w:r w:rsidRPr="00EE2DE7">
        <w:rPr>
          <w:rFonts w:eastAsia="Calibri"/>
          <w:kern w:val="24"/>
        </w:rPr>
        <w:t>Hartimi i listave të pjesëmarrësve;</w:t>
      </w:r>
    </w:p>
    <w:p w:rsidR="008B30BD" w:rsidRPr="00EE2DE7" w:rsidRDefault="008B30BD" w:rsidP="005C2687">
      <w:pPr>
        <w:numPr>
          <w:ilvl w:val="0"/>
          <w:numId w:val="33"/>
        </w:numPr>
        <w:spacing w:line="276" w:lineRule="auto"/>
        <w:ind w:left="360"/>
        <w:rPr>
          <w:rFonts w:eastAsia="Calibri"/>
          <w:kern w:val="24"/>
        </w:rPr>
      </w:pPr>
      <w:r w:rsidRPr="00EE2DE7">
        <w:rPr>
          <w:rFonts w:eastAsia="Calibri"/>
          <w:kern w:val="24"/>
        </w:rPr>
        <w:t>Realizimi konkret i çdo sesioni trajnues.</w:t>
      </w:r>
      <w:bookmarkStart w:id="2" w:name="OLE_LINK23"/>
    </w:p>
    <w:p w:rsidR="008B30BD" w:rsidRPr="00EE2DE7" w:rsidRDefault="008B30BD" w:rsidP="008B30BD">
      <w:pPr>
        <w:spacing w:before="240" w:after="80" w:line="276" w:lineRule="auto"/>
        <w:contextualSpacing/>
        <w:outlineLvl w:val="1"/>
        <w:rPr>
          <w:rFonts w:ascii="Cambria" w:eastAsia="Calibri" w:hAnsi="Cambria"/>
          <w:b/>
          <w:color w:val="244061"/>
          <w:spacing w:val="20"/>
          <w:kern w:val="24"/>
          <w:sz w:val="28"/>
          <w:szCs w:val="28"/>
        </w:rPr>
      </w:pPr>
    </w:p>
    <w:p w:rsidR="008B30BD" w:rsidRDefault="008B30BD" w:rsidP="008D2205">
      <w:pPr>
        <w:spacing w:line="276" w:lineRule="auto"/>
        <w:contextualSpacing/>
        <w:outlineLvl w:val="1"/>
        <w:rPr>
          <w:b/>
          <w:color w:val="CC9966" w:themeColor="accent2"/>
          <w:sz w:val="32"/>
        </w:rPr>
      </w:pPr>
      <w:r w:rsidRPr="008D2205">
        <w:rPr>
          <w:b/>
          <w:color w:val="CC9966" w:themeColor="accent2"/>
          <w:sz w:val="32"/>
        </w:rPr>
        <w:t>2.7. Trajnimi i trajnerëve</w:t>
      </w:r>
    </w:p>
    <w:p w:rsidR="008D2205" w:rsidRPr="008D2205" w:rsidRDefault="008D2205" w:rsidP="008D2205">
      <w:pPr>
        <w:spacing w:line="276" w:lineRule="auto"/>
        <w:contextualSpacing/>
        <w:outlineLvl w:val="1"/>
        <w:rPr>
          <w:b/>
          <w:color w:val="CC9966" w:themeColor="accent2"/>
          <w:sz w:val="32"/>
        </w:rPr>
      </w:pPr>
    </w:p>
    <w:bookmarkEnd w:id="2"/>
    <w:p w:rsidR="008B30BD" w:rsidRPr="00EE2DE7" w:rsidRDefault="008B30BD" w:rsidP="008B30BD">
      <w:pPr>
        <w:spacing w:line="276" w:lineRule="auto"/>
        <w:ind w:firstLine="720"/>
        <w:jc w:val="both"/>
        <w:rPr>
          <w:rFonts w:eastAsia="Calibri"/>
          <w:iCs/>
          <w:kern w:val="24"/>
        </w:rPr>
      </w:pPr>
      <w:r w:rsidRPr="00EE2DE7">
        <w:rPr>
          <w:rFonts w:eastAsia="Calibri"/>
          <w:iCs/>
          <w:kern w:val="24"/>
        </w:rPr>
        <w:t>Në vitin akademik 2017-2018 ka pasur në total 3 (tri) aktivitete ToT, të cilat kanë qenë frytdhënëse dhe me interes për pjesëmarrësit.</w:t>
      </w:r>
    </w:p>
    <w:p w:rsidR="008B30BD" w:rsidRPr="00EE2DE7" w:rsidRDefault="008B30BD" w:rsidP="008B30BD">
      <w:pPr>
        <w:spacing w:line="276" w:lineRule="auto"/>
        <w:ind w:firstLine="720"/>
        <w:jc w:val="both"/>
        <w:rPr>
          <w:rFonts w:eastAsia="Calibri"/>
          <w:iCs/>
          <w:kern w:val="24"/>
        </w:rPr>
      </w:pPr>
    </w:p>
    <w:p w:rsidR="003E7455" w:rsidRDefault="003E7455" w:rsidP="009D3274">
      <w:pPr>
        <w:tabs>
          <w:tab w:val="left" w:pos="10260"/>
        </w:tabs>
        <w:jc w:val="both"/>
      </w:pPr>
    </w:p>
    <w:p w:rsidR="003E7455" w:rsidRDefault="003E7455" w:rsidP="009D3274">
      <w:pPr>
        <w:tabs>
          <w:tab w:val="left" w:pos="10260"/>
        </w:tabs>
        <w:jc w:val="both"/>
      </w:pPr>
    </w:p>
    <w:p w:rsidR="003E7455" w:rsidRDefault="003E7455" w:rsidP="009D3274">
      <w:pPr>
        <w:tabs>
          <w:tab w:val="left" w:pos="10260"/>
        </w:tabs>
        <w:jc w:val="both"/>
      </w:pPr>
    </w:p>
    <w:p w:rsidR="003E7455" w:rsidRDefault="003E7455" w:rsidP="009D3274">
      <w:pPr>
        <w:tabs>
          <w:tab w:val="left" w:pos="10260"/>
        </w:tabs>
        <w:jc w:val="both"/>
      </w:pPr>
    </w:p>
    <w:p w:rsidR="003E7455" w:rsidRDefault="003E7455" w:rsidP="009D3274">
      <w:pPr>
        <w:tabs>
          <w:tab w:val="left" w:pos="10260"/>
        </w:tabs>
        <w:jc w:val="both"/>
      </w:pPr>
    </w:p>
    <w:p w:rsidR="003E7455" w:rsidRDefault="003E7455" w:rsidP="009D3274">
      <w:pPr>
        <w:tabs>
          <w:tab w:val="left" w:pos="10260"/>
        </w:tabs>
        <w:jc w:val="both"/>
      </w:pPr>
    </w:p>
    <w:p w:rsidR="003E7455" w:rsidRDefault="003E7455" w:rsidP="009D3274">
      <w:pPr>
        <w:tabs>
          <w:tab w:val="left" w:pos="10260"/>
        </w:tabs>
        <w:jc w:val="both"/>
      </w:pPr>
    </w:p>
    <w:p w:rsidR="003E7455" w:rsidRDefault="003E7455" w:rsidP="009D3274">
      <w:pPr>
        <w:tabs>
          <w:tab w:val="left" w:pos="10260"/>
        </w:tabs>
        <w:jc w:val="both"/>
      </w:pPr>
    </w:p>
    <w:p w:rsidR="003E7455" w:rsidRDefault="003E7455" w:rsidP="009D3274">
      <w:pPr>
        <w:tabs>
          <w:tab w:val="left" w:pos="10260"/>
        </w:tabs>
        <w:jc w:val="both"/>
      </w:pPr>
    </w:p>
    <w:p w:rsidR="003E7455" w:rsidRDefault="003E7455" w:rsidP="009D3274">
      <w:pPr>
        <w:tabs>
          <w:tab w:val="left" w:pos="10260"/>
        </w:tabs>
        <w:jc w:val="both"/>
      </w:pPr>
    </w:p>
    <w:p w:rsidR="003E7455" w:rsidRDefault="003E7455" w:rsidP="009D3274">
      <w:pPr>
        <w:tabs>
          <w:tab w:val="left" w:pos="10260"/>
        </w:tabs>
        <w:jc w:val="both"/>
      </w:pPr>
    </w:p>
    <w:p w:rsidR="00B348F7" w:rsidRDefault="00B348F7" w:rsidP="009D3274">
      <w:pPr>
        <w:tabs>
          <w:tab w:val="left" w:pos="10260"/>
        </w:tabs>
        <w:jc w:val="both"/>
      </w:pPr>
    </w:p>
    <w:p w:rsidR="008D2205" w:rsidRDefault="008D2205" w:rsidP="009D3274">
      <w:pPr>
        <w:tabs>
          <w:tab w:val="left" w:pos="10260"/>
        </w:tabs>
        <w:jc w:val="both"/>
      </w:pPr>
    </w:p>
    <w:p w:rsidR="00B348F7" w:rsidRPr="006621AA" w:rsidRDefault="00B348F7" w:rsidP="009D3274">
      <w:pPr>
        <w:tabs>
          <w:tab w:val="left" w:pos="10260"/>
        </w:tabs>
        <w:jc w:val="both"/>
      </w:pPr>
    </w:p>
    <w:p w:rsidR="00832378" w:rsidRPr="006621AA" w:rsidRDefault="009D3274" w:rsidP="009D3274">
      <w:pPr>
        <w:spacing w:line="276" w:lineRule="auto"/>
        <w:jc w:val="both"/>
        <w:rPr>
          <w:b/>
          <w:color w:val="CC9966" w:themeColor="accent2"/>
          <w:sz w:val="32"/>
        </w:rPr>
      </w:pPr>
      <w:r w:rsidRPr="006621AA">
        <w:rPr>
          <w:b/>
          <w:color w:val="CC9966" w:themeColor="accent2"/>
          <w:sz w:val="32"/>
        </w:rPr>
        <w:t xml:space="preserve">2.4. </w:t>
      </w:r>
      <w:r w:rsidR="00832378" w:rsidRPr="006621AA">
        <w:rPr>
          <w:b/>
          <w:color w:val="CC9966" w:themeColor="accent2"/>
          <w:sz w:val="32"/>
        </w:rPr>
        <w:t>Target Market / Customer Profile</w:t>
      </w:r>
    </w:p>
    <w:p w:rsidR="00664743" w:rsidRPr="006621AA" w:rsidRDefault="00CF3AE0" w:rsidP="00B70876">
      <w:pPr>
        <w:tabs>
          <w:tab w:val="left" w:pos="10260"/>
        </w:tabs>
      </w:pPr>
      <w:r>
        <w:rPr>
          <w:noProof/>
          <w:lang w:eastAsia="en-US"/>
        </w:rPr>
        <w:pict>
          <v:rect id="Rectangle 211" o:spid="_x0000_s1033" style="position:absolute;margin-left:-25.7pt;margin-top:-26.15pt;width:601.9pt;height:43.2pt;z-index:2517068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" fillcolor="#4f81bd" stroked="f" strokeweight="2pt">
            <v:textbox>
              <w:txbxContent>
                <w:p w:rsidR="005372E3" w:rsidRPr="008D2205" w:rsidRDefault="005372E3" w:rsidP="008D2205">
                  <w:pPr>
                    <w:rPr>
                      <w:sz w:val="28"/>
                      <w:szCs w:val="56"/>
                    </w:rPr>
                  </w:pPr>
                  <w:r w:rsidRPr="008D2205">
                    <w:rPr>
                      <w:b/>
                      <w:color w:val="FFFFFF" w:themeColor="background1"/>
                      <w:sz w:val="40"/>
                      <w:szCs w:val="56"/>
                    </w:rPr>
                    <w:t xml:space="preserve">3. BASHKËPUNIMI ME </w:t>
                  </w:r>
                  <w:r w:rsidRPr="008D2205">
                    <w:rPr>
                      <w:b/>
                      <w:color w:val="FFFFFF" w:themeColor="background1"/>
                      <w:sz w:val="40"/>
                      <w:szCs w:val="36"/>
                    </w:rPr>
                    <w:t>PARTNERËT NDËRKOMBËTARË</w:t>
                  </w:r>
                </w:p>
              </w:txbxContent>
            </v:textbox>
          </v:rect>
        </w:pict>
      </w:r>
    </w:p>
    <w:p w:rsidR="008D2205" w:rsidRDefault="008D2205" w:rsidP="008D2205">
      <w:pPr>
        <w:spacing w:line="276" w:lineRule="auto"/>
        <w:jc w:val="both"/>
      </w:pPr>
    </w:p>
    <w:p w:rsidR="00386F89" w:rsidRPr="00D77236" w:rsidRDefault="00D77236" w:rsidP="00D77236">
      <w:pPr>
        <w:spacing w:line="276" w:lineRule="auto"/>
        <w:jc w:val="both"/>
        <w:rPr>
          <w:b/>
          <w:color w:val="CC9966" w:themeColor="accent2"/>
          <w:sz w:val="32"/>
        </w:rPr>
      </w:pPr>
      <w:r w:rsidRPr="00D77236">
        <w:rPr>
          <w:b/>
          <w:color w:val="CC9966" w:themeColor="accent2"/>
          <w:sz w:val="32"/>
        </w:rPr>
        <w:t>3.</w:t>
      </w:r>
      <w:r>
        <w:rPr>
          <w:b/>
          <w:color w:val="CC9966" w:themeColor="accent2"/>
          <w:sz w:val="32"/>
        </w:rPr>
        <w:t xml:space="preserve">1. </w:t>
      </w:r>
      <w:r w:rsidR="008D2205" w:rsidRPr="00D77236">
        <w:rPr>
          <w:b/>
          <w:color w:val="CC9966" w:themeColor="accent2"/>
          <w:sz w:val="32"/>
        </w:rPr>
        <w:t>Mbështetja financiare e aktiviteteve trajnuese nga partnerët ndërkombëtarë gjatë vitit akademik</w:t>
      </w:r>
      <w:r w:rsidR="00755BAF">
        <w:rPr>
          <w:b/>
          <w:color w:val="CC9966" w:themeColor="accent2"/>
          <w:sz w:val="32"/>
        </w:rPr>
        <w:t xml:space="preserve"> </w:t>
      </w:r>
      <w:r w:rsidR="008D2205" w:rsidRPr="00D77236">
        <w:rPr>
          <w:b/>
          <w:color w:val="CC9966" w:themeColor="accent2"/>
          <w:sz w:val="32"/>
        </w:rPr>
        <w:t xml:space="preserve"> 2017-2018</w:t>
      </w:r>
    </w:p>
    <w:p w:rsidR="008D2205" w:rsidRDefault="008D2205" w:rsidP="008D2205">
      <w:pPr>
        <w:spacing w:line="276" w:lineRule="auto"/>
        <w:jc w:val="both"/>
        <w:rPr>
          <w:b/>
          <w:color w:val="CC9966" w:themeColor="accent2"/>
          <w:sz w:val="32"/>
        </w:rPr>
      </w:pPr>
    </w:p>
    <w:p w:rsidR="008D2205" w:rsidRPr="00EE2DE7" w:rsidRDefault="008D2205" w:rsidP="00D77236">
      <w:pPr>
        <w:spacing w:line="276" w:lineRule="auto"/>
        <w:jc w:val="both"/>
        <w:rPr>
          <w:rFonts w:eastAsia="Calibri"/>
          <w:i/>
          <w:kern w:val="24"/>
        </w:rPr>
      </w:pPr>
      <w:r w:rsidRPr="00EE2DE7">
        <w:rPr>
          <w:rFonts w:eastAsia="Calibri"/>
          <w:kern w:val="24"/>
        </w:rPr>
        <w:t xml:space="preserve">Nga ana financiare u arrit realizimi i suksesshëm i një pjese të aktiviteteve me ndihmën dhe mbështetjen e drejtpërdrejtë të organizmave dhe të institucioneve të huaja. </w:t>
      </w:r>
    </w:p>
    <w:p w:rsidR="008D2205" w:rsidRPr="00EE2DE7" w:rsidRDefault="008D2205" w:rsidP="008D2205">
      <w:pPr>
        <w:spacing w:line="276" w:lineRule="auto"/>
        <w:ind w:firstLine="720"/>
        <w:jc w:val="both"/>
        <w:rPr>
          <w:rFonts w:eastAsia="Calibri"/>
          <w:kern w:val="24"/>
        </w:rPr>
      </w:pPr>
      <w:r w:rsidRPr="00EE2DE7">
        <w:rPr>
          <w:rFonts w:eastAsia="Calibri"/>
          <w:kern w:val="24"/>
        </w:rPr>
        <w:t>Qëllimi kryesor ishte përmirësimi i efikasitetit të sistemit gjyqësor me anë të forcimit të qëndrueshmërisë së Shkollës së Magjistraturës, duke rritur cilësinë e Trajnimit Fillestar dhe të Vazhduar si dhe forcimin e kapaciteteve menaxhuese të institucionit. Më konkretisht, mbështetje për Shkollën për ta kt</w:t>
      </w:r>
      <w:r>
        <w:rPr>
          <w:rFonts w:eastAsia="Calibri"/>
          <w:kern w:val="24"/>
        </w:rPr>
        <w:t xml:space="preserve">hyer në një institucion të vetë </w:t>
      </w:r>
      <w:r w:rsidRPr="00EE2DE7">
        <w:rPr>
          <w:rFonts w:eastAsia="Calibri"/>
          <w:kern w:val="24"/>
        </w:rPr>
        <w:t>qëndrueshëm brenda gjyqësorit.</w:t>
      </w:r>
    </w:p>
    <w:p w:rsidR="008D2205" w:rsidRDefault="008D2205" w:rsidP="00D77236">
      <w:pPr>
        <w:spacing w:line="276" w:lineRule="auto"/>
        <w:ind w:firstLine="720"/>
        <w:jc w:val="both"/>
        <w:rPr>
          <w:rFonts w:eastAsia="Calibri"/>
          <w:kern w:val="24"/>
        </w:rPr>
      </w:pPr>
      <w:r w:rsidRPr="00EE2DE7">
        <w:rPr>
          <w:rFonts w:eastAsia="Calibri"/>
          <w:kern w:val="24"/>
        </w:rPr>
        <w:t>Shkolla e Magjistraturës, përsa i përket sesioneve trajnuese të zhvilluara në kuadër të bashkëpunimit me partnerët ndërkombëtarë, është përgjegjëse për organizmin dhe administrimin e këtyre aktiviteteve, duke u kujdesur për hartimin e programit dhe të kalendarit të Formimit Vazhdues; në ofrimin e mjediseve të duhura për zhvillimin e sesioneve; të pajisjeve të përkthimit simultan; në rregullimin e shërbimeve aksesore lehtësuese për realizimin e kurseve; në pajisjen me materialet e fotokopjuara për çdo temë të përgatitur; hartimin e listave të pjesëmarrësve; ftesat për pjesëmarrësit; moderimin dhe vlerësimin e seancave trajnuese; pagat e punonjësve; shpenzimet administrative dhe mirëmbajtjes së mjediseve; sigurimit të karburantit (gjeneratori); shpenzimet e postimit të ftesave; telefonat etj.</w:t>
      </w:r>
    </w:p>
    <w:p w:rsidR="00D77236" w:rsidRPr="00D77236" w:rsidRDefault="00D77236" w:rsidP="00D77236">
      <w:pPr>
        <w:spacing w:line="276" w:lineRule="auto"/>
        <w:ind w:firstLine="720"/>
        <w:jc w:val="both"/>
        <w:rPr>
          <w:rFonts w:eastAsia="Calibri"/>
          <w:kern w:val="24"/>
        </w:rPr>
      </w:pPr>
    </w:p>
    <w:p w:rsidR="008D2205" w:rsidRPr="00D77236" w:rsidRDefault="008D2205" w:rsidP="008D2205">
      <w:pPr>
        <w:spacing w:after="200" w:line="276" w:lineRule="auto"/>
        <w:jc w:val="both"/>
        <w:rPr>
          <w:b/>
          <w:color w:val="CC9966" w:themeColor="accent2"/>
        </w:rPr>
      </w:pPr>
      <w:r w:rsidRPr="00D77236">
        <w:rPr>
          <w:b/>
          <w:color w:val="CC9966" w:themeColor="accent2"/>
        </w:rPr>
        <w:t>TABELA E MBËSHTETJES FINANCIARE NGA PARTNERËT NDËRKOMBËTARË</w:t>
      </w:r>
    </w:p>
    <w:tbl>
      <w:tblPr>
        <w:tblStyle w:val="LightGrid-Accent2"/>
        <w:tblW w:w="9985" w:type="dxa"/>
        <w:tblLayout w:type="fixed"/>
        <w:tblLook w:val="04A0" w:firstRow="1" w:lastRow="0" w:firstColumn="1" w:lastColumn="0" w:noHBand="0" w:noVBand="1"/>
      </w:tblPr>
      <w:tblGrid>
        <w:gridCol w:w="583"/>
        <w:gridCol w:w="1424"/>
        <w:gridCol w:w="1678"/>
        <w:gridCol w:w="6300"/>
      </w:tblGrid>
      <w:tr w:rsidR="008D2205" w:rsidRPr="00EE2DE7" w:rsidTr="00D77236">
        <w:trPr>
          <w:cnfStyle w:val="100000000000" w:firstRow="1" w:lastRow="0" w:firstColumn="0" w:lastColumn="0" w:oddVBand="0" w:evenVBand="0" w:oddHBand="0"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2737A9">
            <w:pPr>
              <w:jc w:val="center"/>
              <w:rPr>
                <w:rFonts w:ascii="Times New Roman" w:eastAsia="Calibri" w:hAnsi="Times New Roman" w:cs="Times New Roman"/>
                <w:b w:val="0"/>
                <w:kern w:val="24"/>
              </w:rPr>
            </w:pPr>
            <w:r w:rsidRPr="00EE2DE7">
              <w:rPr>
                <w:rFonts w:ascii="Times New Roman" w:eastAsia="Calibri" w:hAnsi="Times New Roman" w:cs="Times New Roman"/>
                <w:b w:val="0"/>
                <w:kern w:val="24"/>
              </w:rPr>
              <w:t>Nr.</w:t>
            </w:r>
          </w:p>
        </w:tc>
        <w:tc>
          <w:tcPr>
            <w:tcW w:w="1424" w:type="dxa"/>
          </w:tcPr>
          <w:p w:rsidR="008D2205" w:rsidRPr="00EE2DE7" w:rsidRDefault="008D2205" w:rsidP="002737A9">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kern w:val="24"/>
              </w:rPr>
            </w:pPr>
            <w:r w:rsidRPr="00EE2DE7">
              <w:rPr>
                <w:rFonts w:ascii="Times New Roman" w:eastAsia="Calibri" w:hAnsi="Times New Roman" w:cs="Times New Roman"/>
                <w:b w:val="0"/>
                <w:kern w:val="24"/>
              </w:rPr>
              <w:t>Datat</w:t>
            </w:r>
            <w:r w:rsidRPr="00EE2DE7">
              <w:rPr>
                <w:rFonts w:ascii="Times New Roman" w:eastAsia="Calibri" w:hAnsi="Times New Roman" w:cs="Times New Roman"/>
                <w:b w:val="0"/>
                <w:kern w:val="24"/>
                <w:vertAlign w:val="superscript"/>
              </w:rPr>
              <w:footnoteReference w:id="6"/>
            </w:r>
          </w:p>
        </w:tc>
        <w:tc>
          <w:tcPr>
            <w:tcW w:w="1678" w:type="dxa"/>
          </w:tcPr>
          <w:p w:rsidR="008D2205" w:rsidRPr="00EE2DE7" w:rsidRDefault="008D2205" w:rsidP="002737A9">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kern w:val="24"/>
              </w:rPr>
            </w:pPr>
            <w:r w:rsidRPr="00EE2DE7">
              <w:rPr>
                <w:rFonts w:ascii="Times New Roman" w:eastAsia="Calibri" w:hAnsi="Times New Roman" w:cs="Times New Roman"/>
                <w:b w:val="0"/>
                <w:kern w:val="24"/>
              </w:rPr>
              <w:t>Donator /realizimi financiar</w:t>
            </w:r>
          </w:p>
        </w:tc>
        <w:tc>
          <w:tcPr>
            <w:tcW w:w="6300" w:type="dxa"/>
          </w:tcPr>
          <w:p w:rsidR="008D2205" w:rsidRPr="00EE2DE7" w:rsidRDefault="008D2205" w:rsidP="002737A9">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kern w:val="24"/>
              </w:rPr>
            </w:pPr>
          </w:p>
          <w:p w:rsidR="008D2205" w:rsidRPr="00EE2DE7" w:rsidRDefault="008D2205" w:rsidP="002737A9">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kern w:val="24"/>
              </w:rPr>
            </w:pPr>
            <w:r w:rsidRPr="00EE2DE7">
              <w:rPr>
                <w:rFonts w:ascii="Times New Roman" w:eastAsia="Calibri" w:hAnsi="Times New Roman" w:cs="Times New Roman"/>
                <w:b w:val="0"/>
                <w:kern w:val="24"/>
              </w:rPr>
              <w:t>KODET/FUSHAT</w:t>
            </w:r>
            <w:r w:rsidRPr="00EE2DE7">
              <w:rPr>
                <w:rFonts w:ascii="Times New Roman" w:eastAsia="Calibri" w:hAnsi="Times New Roman" w:cs="Times New Roman"/>
                <w:b w:val="0"/>
                <w:kern w:val="24"/>
                <w:vertAlign w:val="superscript"/>
              </w:rPr>
              <w:footnoteReference w:id="7"/>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21-22 shtator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OSBE</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Menaxhimi aktiv i çështjeve gjyqësore (gjyqtarët dhe kancelari i Gjykatës së Rrethit Gjyqësor Fier).</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890"/>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rPr>
            </w:pPr>
            <w:r w:rsidRPr="00EE2DE7">
              <w:rPr>
                <w:kern w:val="24"/>
              </w:rPr>
              <w:t>28 shtator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rFonts w:eastAsia="Times New Roman"/>
                <w:kern w:val="24"/>
                <w:lang w:eastAsia="en-GB"/>
              </w:rPr>
            </w:pPr>
            <w:r w:rsidRPr="00EE2DE7">
              <w:rPr>
                <w:kern w:val="24"/>
              </w:rPr>
              <w:t>Twining project IPA</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E drejta e konsumatorit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Zhvillimet në legjislacionin e mbrojtjes së konsumatorëve në kuadrin e BE-së dhe çështjet më me rëndësi lidhur me praktikat e tregtisë së pandershme dhe kushtet e tilla në një kontratë;</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Përkufizimet e konsumatorit dhe tregtarit, fushëveprimi i mbrojtjes së konsumatorit;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lastRenderedPageBreak/>
              <w:t>•</w:t>
            </w:r>
            <w:r w:rsidRPr="00EE2DE7">
              <w:rPr>
                <w:rFonts w:eastAsia="Times New Roman"/>
                <w:kern w:val="24"/>
              </w:rPr>
              <w:tab/>
              <w:t xml:space="preserve">Dispozitat kryesore të Direktivës së të Drejtave të Konsumatorit (CRD) (2011/83 / BE); Zgjidhja alternative e mosmarrëveshjeve të konsumatorëve (Direktiva 2013/11 /BE); Zgjidhja e mosmarrëveshjeve </w:t>
            </w:r>
            <w:r w:rsidRPr="00EE2DE7">
              <w:rPr>
                <w:rFonts w:eastAsia="Times New Roman"/>
                <w:i/>
                <w:kern w:val="24"/>
              </w:rPr>
              <w:t>online</w:t>
            </w:r>
            <w:r w:rsidRPr="00EE2DE7">
              <w:rPr>
                <w:rFonts w:eastAsia="Times New Roman"/>
                <w:kern w:val="24"/>
              </w:rPr>
              <w:t xml:space="preserve"> të konsumatorëve (Rregullorja 524/2013);</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Praktikat e pandershme tregtare (Direktiva 2005/29 / EC): rregullat kryesore dhe rastet praktike; Kushtet e papërshtatshme të kontratës (Direktiva 93/13 / EEC): rregullat kryesore dhe rastet praktike.</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474"/>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28-29 shtator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rFonts w:eastAsia="Times New Roman"/>
                <w:kern w:val="24"/>
                <w:lang w:eastAsia="en-GB"/>
              </w:rPr>
            </w:pPr>
            <w:r w:rsidRPr="00EE2DE7">
              <w:rPr>
                <w:rFonts w:eastAsia="Times New Roman"/>
                <w:kern w:val="24"/>
                <w:lang w:eastAsia="en-GB"/>
              </w:rPr>
              <w:t>Komisioni Europian Programi i Asistencës Teknike TAIEX/KE Ministria e Kulturës, Drejtoria për të Drejtën e Autorit.</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Mbi zbatimin e të Drejtës së Autorit për sistemin e drejtësisë dhe institucionet e tjera ligjzbatuese.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Situata aktuale në Shqipëri lidhur me kuadrin ligjor dhe  problematikat e sfidat e zbatimit në praktikë.</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474"/>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5-6 tetor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EURALIUS</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Gjykimi në mungesë.</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Gjykimi në mungesë sipas nenit 6 të Konventës Europiane për të Drejtat e Njeriut;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Jurisprudenca e Gjykatës Europiane të të Drejtave të Njeriut me fokus kryesor në praninë e të pandehurit në gjykim;</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Legjislacioni shqiptar dhe probleme të praktikës gjyqësore shqiptare.</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6 tetor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BE/KiE</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Forcimi i efikasitetit dhe cilësisë së gjyqësorit në Shqipëri (SEJ II)</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ToT</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474"/>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16 tetor</w:t>
            </w: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Pr>
                <w:kern w:val="24"/>
                <w:u w:val="wave"/>
              </w:rPr>
              <w:t>Ministria e Drejtësisë/SH</w:t>
            </w:r>
            <w:r w:rsidRPr="00EE2DE7">
              <w:rPr>
                <w:kern w:val="24"/>
                <w:u w:val="wave"/>
              </w:rPr>
              <w:t>M/European Centre/Fondacioni Konrad Adenhauer</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Roli progresiv i administratës gjyqësore në sfidat e zbatimit të reformës në drejtësi: etika dhe komunikimi në seancat gjyqësore dhe sjellja me palët.</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17 tetor</w:t>
            </w:r>
          </w:p>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Ministria e Drejtësisë/SHM/European Centre/Fondacioni Konrad Adenhauer</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Roli progresiv i administratës gjyqësore në sfidat e zbatimit të reformës në drejtësi: etika dhe komunikimi në seancat gjyqësore dhe sjellja me palët</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20 tetor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European Centre</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Pavarësia dhe paanësia e gjyqësorit sipas standardeve të GJEDNJ-së. Drejtësia duhet jo vetëm të bëhet, por edhe të shihet.</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23-24 tetor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Projekti i Këshillit të Europës për Krimin Kibernetik</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Krimi kibernetik.</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Evidentimi i krimit kibernetik;</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Procedimi penal në rastet e krimit kibernetik: dëshmitë elektronike;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Të ardhurat nga krimi online;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Përdorimi i internetit për qëllime terroriste.</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24-25 tetor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Save the children</w:t>
            </w: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Kujdestaria alternative me bazë familjen.</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Legjislacioni në fuqi lidhur me institutin e kujdestarisë dhe problematika e praktikës gjyqësore;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Përvoja ndërkombëtare pozitive dhe praktika e GJEDNJ-së lidhur me institutin e kujdestarisë;</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Problemet e zbatimit të kuadrit ligjor në fuqi dhe nevoja e përqasjes me standardet ndërkombëtare.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Objektivat e trajnimit: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Informimin e gjyqtareve të të drejtës familjare mbi kujdestarinë alternative me bazë familjen;</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 xml:space="preserve">Ndarja e eksperiencave me ekspertë homologë holandezë; </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Rekomandime të grupit të gjyqtarëve mbi përmirësime të nevojshme ligjore në Kodin e Familjes.</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26-27 tetor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OSBE</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Menaxhimi aktiv i çështjeve gjyqësore (gjyqtarët dhe kancelari i Gjykatës së Rrethit Gjyqësor Berat)</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26-27 tetor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EURALIUS</w:t>
            </w: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Të drejtat e viktimës në dhe gjatë procesit penal.</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Standardet e BE-së mbi të drejtat e viktimës dhe të të pandehurit në procesin penal;</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Roli i viktimës në seancën paraprake;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Roli i viktimës gjatë gjykimit;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Riviktimizimi;</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Mjetet procedurale për mosmarrjen e dëshmisë së përsëritur gjatë proceseve gjyqësore.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Paragjykimet: indikator në komunikimin dhe trajtimin e viktimave. Llojet e paragjykimeve dhe ndikimi i tyre në komunikimin verbal dhe joverbal. Si janë krijuar qëndrimet, vlerat, besimet? Si ndërhyjnë këto në komunikim me njerëzit që punojmë? Si reflektohen në qëndrimet që mbahen me rastet që punojmë? Si ndikojnë në cilësinë e punës si gjyqtar apo prokuror?</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26-27 -28 tetor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Akademia e Drejtësisë s</w:t>
            </w:r>
            <w:r w:rsidRPr="00EE2DE7">
              <w:rPr>
                <w:rFonts w:eastAsia="MS Mincho"/>
                <w:kern w:val="24"/>
              </w:rPr>
              <w:t>ë</w:t>
            </w:r>
            <w:r w:rsidRPr="00EE2DE7">
              <w:rPr>
                <w:kern w:val="24"/>
                <w:u w:val="wave"/>
              </w:rPr>
              <w:t xml:space="preserve"> Kosovës / USAID</w:t>
            </w:r>
          </w:p>
        </w:tc>
        <w:tc>
          <w:tcPr>
            <w:tcW w:w="6300" w:type="dxa"/>
          </w:tcPr>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Standardet europiane lidhur me barazin</w:t>
            </w:r>
            <w:r w:rsidRPr="00EE2DE7">
              <w:rPr>
                <w:rFonts w:eastAsia="MS Mincho"/>
                <w:kern w:val="24"/>
              </w:rPr>
              <w:t>ë</w:t>
            </w:r>
            <w:r w:rsidRPr="00EE2DE7">
              <w:rPr>
                <w:rFonts w:eastAsia="Times New Roman"/>
                <w:kern w:val="24"/>
              </w:rPr>
              <w:t xml:space="preserve"> dhe mos diskriminimin – r</w:t>
            </w:r>
            <w:r w:rsidRPr="00EE2DE7">
              <w:rPr>
                <w:rFonts w:eastAsia="MS Mincho"/>
                <w:kern w:val="24"/>
              </w:rPr>
              <w:t>ë</w:t>
            </w:r>
            <w:r w:rsidRPr="00EE2DE7">
              <w:rPr>
                <w:rFonts w:eastAsia="Times New Roman"/>
                <w:kern w:val="24"/>
              </w:rPr>
              <w:t>nd</w:t>
            </w:r>
            <w:r w:rsidRPr="00EE2DE7">
              <w:rPr>
                <w:rFonts w:eastAsia="MS Mincho"/>
                <w:kern w:val="24"/>
              </w:rPr>
              <w:t>ë</w:t>
            </w:r>
            <w:r w:rsidRPr="00EE2DE7">
              <w:rPr>
                <w:rFonts w:eastAsia="Times New Roman"/>
                <w:kern w:val="24"/>
              </w:rPr>
              <w:t>sia e njohjes dhe zbatimit t</w:t>
            </w:r>
            <w:r w:rsidRPr="00EE2DE7">
              <w:rPr>
                <w:rFonts w:eastAsia="MS Mincho"/>
                <w:kern w:val="24"/>
              </w:rPr>
              <w:t>ë</w:t>
            </w:r>
            <w:r w:rsidRPr="00EE2DE7">
              <w:rPr>
                <w:rFonts w:eastAsia="Times New Roman"/>
                <w:kern w:val="24"/>
              </w:rPr>
              <w:t xml:space="preserve"> tyre nga sistemi i drejt</w:t>
            </w:r>
            <w:r w:rsidRPr="00EE2DE7">
              <w:rPr>
                <w:rFonts w:eastAsia="MS Mincho"/>
                <w:kern w:val="24"/>
              </w:rPr>
              <w:t>ë</w:t>
            </w:r>
            <w:r w:rsidRPr="00EE2DE7">
              <w:rPr>
                <w:rFonts w:eastAsia="Times New Roman"/>
                <w:kern w:val="24"/>
              </w:rPr>
              <w:t>sis</w:t>
            </w:r>
            <w:r w:rsidRPr="00EE2DE7">
              <w:rPr>
                <w:rFonts w:eastAsia="MS Mincho"/>
                <w:kern w:val="24"/>
              </w:rPr>
              <w:t>ë</w:t>
            </w:r>
            <w:r w:rsidRPr="00EE2DE7">
              <w:rPr>
                <w:rFonts w:eastAsia="Times New Roman"/>
                <w:kern w:val="24"/>
              </w:rPr>
              <w:t>. Terrenet e mbrojtura - jurisprudenca e GJEDNJ-s</w:t>
            </w:r>
            <w:r w:rsidRPr="00EE2DE7">
              <w:rPr>
                <w:rFonts w:eastAsia="MS Mincho"/>
                <w:kern w:val="24"/>
              </w:rPr>
              <w:t>ë</w:t>
            </w:r>
            <w:r w:rsidRPr="00EE2DE7">
              <w:rPr>
                <w:rFonts w:eastAsia="Times New Roman"/>
                <w:kern w:val="24"/>
              </w:rPr>
              <w:t xml:space="preserve"> dhe GJED-s</w:t>
            </w:r>
            <w:r w:rsidRPr="00EE2DE7">
              <w:rPr>
                <w:rFonts w:eastAsia="MS Mincho"/>
                <w:kern w:val="24"/>
              </w:rPr>
              <w:t>ë.</w:t>
            </w:r>
          </w:p>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Kuadri ligjor vendas dhe praktika gjyq</w:t>
            </w:r>
            <w:r w:rsidRPr="00EE2DE7">
              <w:rPr>
                <w:rFonts w:eastAsia="MS Mincho"/>
                <w:kern w:val="24"/>
              </w:rPr>
              <w:t>ë</w:t>
            </w:r>
            <w:r w:rsidRPr="00EE2DE7">
              <w:rPr>
                <w:rFonts w:eastAsia="Times New Roman"/>
                <w:kern w:val="24"/>
              </w:rPr>
              <w:t>sore lidhur me barazin</w:t>
            </w:r>
            <w:r w:rsidRPr="00EE2DE7">
              <w:rPr>
                <w:rFonts w:eastAsia="MS Mincho"/>
                <w:kern w:val="24"/>
              </w:rPr>
              <w:t>ë</w:t>
            </w:r>
            <w:r w:rsidRPr="00EE2DE7">
              <w:rPr>
                <w:rFonts w:eastAsia="Times New Roman"/>
                <w:kern w:val="24"/>
              </w:rPr>
              <w:t xml:space="preserve"> dhe mosdiskriminimin. </w:t>
            </w:r>
          </w:p>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Kuadri institucional lidhur me ç</w:t>
            </w:r>
            <w:r w:rsidRPr="00EE2DE7">
              <w:rPr>
                <w:rFonts w:eastAsia="MS Mincho"/>
                <w:kern w:val="24"/>
              </w:rPr>
              <w:t>ë</w:t>
            </w:r>
            <w:r w:rsidRPr="00EE2DE7">
              <w:rPr>
                <w:rFonts w:eastAsia="Times New Roman"/>
                <w:kern w:val="24"/>
              </w:rPr>
              <w:t>shtjet e barazis</w:t>
            </w:r>
            <w:r w:rsidRPr="00EE2DE7">
              <w:rPr>
                <w:rFonts w:eastAsia="MS Mincho"/>
                <w:kern w:val="24"/>
              </w:rPr>
              <w:t>ë</w:t>
            </w:r>
            <w:r w:rsidRPr="00EE2DE7">
              <w:rPr>
                <w:rFonts w:eastAsia="Times New Roman"/>
                <w:kern w:val="24"/>
              </w:rPr>
              <w:t xml:space="preserve"> dhe mosdiskriminimit. </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6-7 nëntor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SHM/Projekti i Këshillit të Europës për Krimin Kibernetik</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Krimi kibernetik.</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Evidentimi i krimit kibernetik;</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Procedimi Penal në rastet e krimit kibernetik: dëshmitë elektronike;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Të ardhurat nga krimi online;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Përdorimi i internetit për qëllime terroriste.</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6-7 nëntor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EURALIUS</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Gjykimi në Gjykatën e shkallës së parë dhe të Apelit në kuadrin e risive të Kodit të Procedurës Civile.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Bashkimi i çështjeve në një gjykim të vetëm. Kuptimi mbi gjykimin e shkurtuar në çështjet civile;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Shqyrtimi i padive për shuma të vogla dhe procedurat përkatëse;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Procedura e re e “njoftimit me shpallje publike”, “roli i përmbaruesit në procesin e njoftimit në gjykatë” me fokus në nenet 133 deri 144/a të Kodit të Procedurës Civile;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Vendimet e gjyqtarit gjatë veprimeve paraprake; Seanca përgatitore; Urdhri për caktimin e seancës gjyqësore; Veprimet e pajtimit; Bashkëndërgjyqësia e detyrueshme me fokus në nenet 158/a - 161 të Kodit të Procedurës Civile;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Gjykimi i kërkesave për konstatimin e shkeljes së afatit të arsyeshëm, përshpejtimin e procedimit dhe shpërblimin e dëmit me fokus në nenet 399/1 - 399/11 të Kodit të Procedurës Civile dhe nenit 109 të ligjit nr. 38/2017.</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6-7 nëntor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CoE</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Dita e parë: “Trajnimin mbi mjetet efektive p</w:t>
            </w:r>
            <w:r w:rsidRPr="00EE2DE7">
              <w:rPr>
                <w:rFonts w:eastAsia="MS Mincho"/>
                <w:kern w:val="24"/>
              </w:rPr>
              <w:t>ë</w:t>
            </w:r>
            <w:r w:rsidRPr="00EE2DE7">
              <w:rPr>
                <w:rFonts w:eastAsia="Calibri"/>
                <w:kern w:val="24"/>
              </w:rPr>
              <w:t>r t</w:t>
            </w:r>
            <w:r w:rsidRPr="00EE2DE7">
              <w:rPr>
                <w:rFonts w:eastAsia="MS Mincho"/>
                <w:kern w:val="24"/>
              </w:rPr>
              <w:t>ë</w:t>
            </w:r>
            <w:r w:rsidRPr="00EE2DE7">
              <w:rPr>
                <w:rFonts w:eastAsia="Calibri"/>
                <w:kern w:val="24"/>
              </w:rPr>
              <w:t xml:space="preserve"> adresuar tejzgjatjen e proceseve gjyq</w:t>
            </w:r>
            <w:r w:rsidRPr="00EE2DE7">
              <w:rPr>
                <w:rFonts w:eastAsia="MS Mincho"/>
                <w:kern w:val="24"/>
              </w:rPr>
              <w:t>ë</w:t>
            </w:r>
            <w:r w:rsidRPr="00EE2DE7">
              <w:rPr>
                <w:rFonts w:eastAsia="Calibri"/>
                <w:kern w:val="24"/>
              </w:rPr>
              <w:t>sore, si dhe rishikimin e proceseve penale”; Dita e dytë: “Trajnimin mbi kthimin dhe kompensimin e pronave”. (ToT)</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8-9 nëntor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EURALIUS</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Gjykimi në Gjykatën e shkallës së parë dhe të Apelit në kuadrin e risive të Kodit të Procedurës Civile.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Bashkimi i çështjeve në një gjykim të vetëm. Kuptimi mbi gjykimin e shkurtuar në çështjet civile;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Shqyrtimi i padive për shuma të vogla dhe procedurat përkatëse;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Procedura e re e “njoftimit me shpallje publike”, “roli i përmbaruesit në procesin e njoftimit në gjykatë” me fokus në nenet 133 deri 144/a të Kodit të Procedurës Civile;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Vendimet e gjyqtarit gjatë veprimeve paraprake; Seanca përgatitore; Urdhri për caktimin e seancës gjyqësore; Veprimet e pajtimit; Bashkëndërgjyqësia e detyrueshme me fokus në nenet 158/a - 161 të Kodit të Procedurës Civile;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Gjykimi i kërkesave për konstatimin e shkeljes së afatit të arsyeshëm, përshpejtimin e procedimit dhe shpërblimin e dëmit me fokus në nenet 399/1 - 399/11 të Kodit të Procedurës Civile dhe nenit 109 të ligjit nr. 38/2017.</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rPr>
            </w:pPr>
            <w:r w:rsidRPr="00EE2DE7">
              <w:rPr>
                <w:kern w:val="24"/>
              </w:rPr>
              <w:t>9-10 nëntor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 xml:space="preserve">SHM/South Eastern Europe, (REC) </w:t>
            </w:r>
            <w:r w:rsidRPr="00EE2DE7">
              <w:rPr>
                <w:kern w:val="24"/>
                <w:u w:val="wave"/>
              </w:rPr>
              <w:lastRenderedPageBreak/>
              <w:t>Projekti: Better Access to Justice</w:t>
            </w:r>
          </w:p>
        </w:tc>
        <w:tc>
          <w:tcPr>
            <w:tcW w:w="6300" w:type="dxa"/>
          </w:tcPr>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lastRenderedPageBreak/>
              <w:t>Aksesi në drejtësi nën këndvështrimin e Konventës së Aarhusit, në lidhje me direktivat e BE-së dhe legjislacionin kombëtar në fushën e mjedisit.</w:t>
            </w:r>
          </w:p>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9-10 nëntor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ISLP/SHM</w:t>
            </w:r>
          </w:p>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Drejtësia penale për të mitur.</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 xml:space="preserve">Standardet ndërkombëtare lidhur me parimet e drejtësisë miqësore për të miturit dhe risitë e legjislacionit shqiptar (Kodi i Procedurës Penale dhe Kodi i Drejtësisë Penale për të Mitur); </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Mbrojtja e interesit më të lartë të fëmijës;</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Pozita procedurale e të miturit në dhe gjatë procesit penal sipas Kodit të Drejtësisë Penale për të Mitur;</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Mbrojtja e të drejtave të të miturit dëshmitar (Kodi i Procedurës Penale dhe Kodi i Drejtësisë Penale për të mitur);</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Integrimi social dhe rehabilitimi i fëmijëve në konflikt me ligjin.</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2033"/>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13-14 nëntor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EURALIUS</w:t>
            </w: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Gjykimi me Urdhër Penal dhe me marrëveshje si dy risi të KPP-së;</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Gjykimet e posaçme;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Gjykimi i shkurtuar;</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Calibri"/>
                <w:kern w:val="24"/>
              </w:rPr>
              <w:t>Standardi kushtetues dhe gjykimi i drejtpërdrejtë. Analizë e vendimit nr. 4, datë 10.2.2012 i Gjykatës Kushtetuese lidhur me gjykimin e shkurtuar.</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13-17 nëntor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SHM/Slynn Foundation</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ToT Shkrimi gjyqësor dhe administrimi i gjykatave.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(pjesëmarrës gjyqtarë)</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13-14 nëntor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ISLP</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Integriteti i zyrtarëve të agjencive ligjzbatuese dhe lufta kundër korrupsionit. Korrupsioni i funksionarëve të lartë të drejtësisë dhe zyrtarëve të tjerë të lartë shtetërorë.</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Korrupsioni si një çështje etike v si një vepër penale.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Kuadri ligjor dhe standardet ndërkombëtare;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Problemet e praktikës gjyqësore, në lidhje me hetimin dhe gjykimin e këtyre veprave penale;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Standardet e kërkuara në marrëdhëniet profesionale midis gjyqtarëve dhe prokurorëve si dhe gjyqtarëve/prokurorëve dhe avokatëve. (25 pjesëmarrës gjyqtarë/prokurorë të gjykatave/prokurorive të shkallës së parë).</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16-17 nëntor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OSBE</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Menaxhimi aktiv i çështjeve gjyqësore (gjyqtarët dhe kancelari i Gjykatës së Rrethit Gjyqësor Vlorë).</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20 nëntor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PAMECA V / SHM</w:t>
            </w: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Parandalimi dhe goditja e krimit të organizuar, trafikimit, korrupsionit dhe veprave të tjera penale.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Konventat ndërkombëtare lidhur me pastrimin e produkteve të veprës penale. Vështrim i shkurtër mbi Konventën  e Varshavës, Palermos  e Vjenës;</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Legjislacioni procedural penal mbi sekuestrimin dhe konfiskimin e pasurive;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lastRenderedPageBreak/>
              <w:t>•</w:t>
            </w:r>
            <w:r w:rsidRPr="00EE2DE7">
              <w:rPr>
                <w:rFonts w:eastAsia="Calibri"/>
                <w:kern w:val="24"/>
              </w:rPr>
              <w:tab/>
              <w:t>Zbatimi i ligjit nr. 10192, datë 3.12.2009, “</w:t>
            </w:r>
            <w:r w:rsidRPr="00EE2DE7">
              <w:rPr>
                <w:rFonts w:eastAsia="Calibri"/>
                <w:i/>
                <w:kern w:val="24"/>
              </w:rPr>
              <w:t>Për parandalimin dhe goditjen e krimit të organizuar, trafikimit, korrupsionit dhe krimeve të tjera nëpërmjet masave parandaluese kundër pasurisë</w:t>
            </w:r>
            <w:r w:rsidRPr="00EE2DE7">
              <w:rPr>
                <w:rFonts w:eastAsia="Calibri"/>
                <w:kern w:val="24"/>
              </w:rPr>
              <w:t>” dhe risitë e tij;</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Prezumimi i regjistrimit të rremë të pasurive dhe veprimtarive ekonomike të personave të përfshirë në veprat penale përkatëse;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Kompetencat e gjykatës për  shqyrtimin e veprës penale të pastrimit të parave;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Dobësimi i financave të rrjeteve kriminale të krimit të organizuar dhe terrorizmit nëpërmjet sh</w:t>
            </w:r>
            <w:r>
              <w:rPr>
                <w:rFonts w:eastAsia="Calibri"/>
                <w:kern w:val="24"/>
              </w:rPr>
              <w:t>ënje</w:t>
            </w:r>
            <w:r w:rsidRPr="00EE2DE7">
              <w:rPr>
                <w:rFonts w:eastAsia="Calibri"/>
                <w:kern w:val="24"/>
              </w:rPr>
              <w:t>strimit, sekuestrimit dhe konfiskimit të pasurive dhe të ardhurave të përfituara nga aktiviteti kriminal</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21 nëntor</w:t>
            </w:r>
          </w:p>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Ministria e Drejtësisë/SHM/European Centre/Fondacioni Konrad Adenhauer</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Roli progresiv i administratës gjyqësore në sfidat e zbatimit të reformës në drejtësi: etika dhe komunikimi në seancat gjyqësore dhe sjellja me palët</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22 nëntor</w:t>
            </w: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Ministria e Drejtësisë/SHM/European Centre/Fondacioni Konrad Adenhauer</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Roli progresiv i administratës gjyqësore në sfidat e zbatimit të reformës në drejtësi: etika dhe komunikimi në seancat gjyqësore dhe sjellja me palët</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23-24 nëntor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KiE</w:t>
            </w:r>
          </w:p>
        </w:tc>
        <w:tc>
          <w:tcPr>
            <w:tcW w:w="6300" w:type="dxa"/>
          </w:tcPr>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Calibri"/>
                <w:bCs/>
                <w:kern w:val="24"/>
              </w:rPr>
            </w:pPr>
            <w:r w:rsidRPr="00EE2DE7">
              <w:rPr>
                <w:rFonts w:eastAsia="Calibri"/>
                <w:bCs/>
                <w:kern w:val="24"/>
              </w:rPr>
              <w:t>Ushtrimi i balancimit  të rasteve të shpifjes - balancimi i të drejtave të reputacionit dhe liria e shprehjes.</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rPr>
            </w:pPr>
            <w:r w:rsidRPr="00EE2DE7">
              <w:rPr>
                <w:kern w:val="24"/>
              </w:rPr>
              <w:t>4-5 dhjetor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OSBE/SHM</w:t>
            </w: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p>
        </w:tc>
        <w:tc>
          <w:tcPr>
            <w:tcW w:w="6300" w:type="dxa"/>
          </w:tcPr>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Roli i alternativave të dënimit me burgim dhe shërbimi i provës.</w:t>
            </w:r>
          </w:p>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 xml:space="preserve">Risitë e Kodit Penal lidhur me alternativat e dënimit me burgim. Ligji </w:t>
            </w:r>
            <w:r>
              <w:rPr>
                <w:rFonts w:eastAsia="Times New Roman"/>
                <w:kern w:val="24"/>
              </w:rPr>
              <w:t>“</w:t>
            </w:r>
            <w:r w:rsidRPr="00EE2DE7">
              <w:rPr>
                <w:rFonts w:eastAsia="Times New Roman"/>
                <w:i/>
                <w:kern w:val="24"/>
              </w:rPr>
              <w:t>Për shërbimin e provës</w:t>
            </w:r>
            <w:r>
              <w:rPr>
                <w:rFonts w:eastAsia="Times New Roman"/>
                <w:kern w:val="24"/>
              </w:rPr>
              <w:t>”</w:t>
            </w:r>
            <w:r w:rsidRPr="00EE2DE7">
              <w:rPr>
                <w:rFonts w:eastAsia="Times New Roman"/>
                <w:kern w:val="24"/>
              </w:rPr>
              <w:t xml:space="preserve"> dhe dispozitat procedurale penale;</w:t>
            </w:r>
          </w:p>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Lirimi me kusht si një nga alternativat e dënimit me burgim;</w:t>
            </w:r>
          </w:p>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Praktika gjyqësore;</w:t>
            </w:r>
          </w:p>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Marrëdhëniet e shërbimit të provës dhe prokurorisë</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6-7 dhjetor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SHM/ EURALIUS</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Risitë e legjislacionit shqiptar me ndikim mbi statusin, organizimin dhe veprimtarinë e funksionit të gjyqtarit dhe prokurorit.</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Ligji për organet e qeverisjes së sistemit të drejtësisë nr. 115/2016;</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Ligji për statusin e gjyqtarëve dhe prokurorëve në Republikën e Shqipërisë nr. 96/2018;</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Ligji për organizimin e pushtetit gjyqësor në Republikën e Shqipërisë nr. 98/2016.</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11 dhjetor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 / QNLQ / Programi i Granteve të Vogla të Komisionit për Demokraci të Ambasadës së SHBA-s</w:t>
            </w:r>
            <w:r w:rsidRPr="00EE2DE7">
              <w:rPr>
                <w:rFonts w:eastAsia="MS Mincho"/>
                <w:kern w:val="24"/>
              </w:rPr>
              <w:t>ë</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Parimet dhe rregullat e sjelljes profesionale gjatë procesit të dhënies së drejtësisë. Respektimi i tyre nga gjyqtarët dhe prokurorët (kandidatët për magjistratë viti II)</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12 dhjetor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KiE</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Liria e shprehjes, drejtësia  dhe media.</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Standardet e parashikuara nga KEDNJ-ja dhe jurisprudenca e GJEDNJ-së;</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Reflektimi i tyre në kontekstin shqiptar.</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13 dhjetor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KiE</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Liria e shprehjes, drejtësia  dhe media</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Standardet e parashikuara nga KEDNJ-ja dhe jurisprudenca e GJEDNJ-së;</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Reflektimi i tyre në kontekstin shqiptar.</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13 dhjetor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QNLQ / Programi i Granteve të Vogla të Komisionit për Demokraci të Ambasadës së SHBA-s</w:t>
            </w:r>
            <w:r w:rsidRPr="00EE2DE7">
              <w:rPr>
                <w:rFonts w:eastAsia="MS Mincho"/>
                <w:kern w:val="24"/>
              </w:rPr>
              <w:t>ë</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Parimet dhe rregullat e sjelljes profesionale gjatë procesit të dhënies së drejtësisë. Respektimi i tyre nga gjyqtarët dhe prokurorët (kandidatët për magjistratë viti II)</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13-14 dhjetor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IRZ</w:t>
            </w: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Avokatura e Shtetit</w:t>
            </w: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Juridiksioni i GJEDNJ-së.</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Praktika gjyqësore;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Procesi paraprak i GJEDNJ-së; dorëzimi i aplikimeve në gjykatë; procedura gjyqësore; zbatimi i vendimeve të GJEDNJ-së;</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Simulim i një gjyqi në GJEDNJ;</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Jurisprudenca e GJEDNJ-së si burim i të drejtës. Zbatimi i drejtpërdrejtë i KEDNJ-së.  (pjesëmarrës do të jenë gjyqtarë/prokurorë/avokatë shteti).</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1727"/>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13-14 dhjetor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KiE</w:t>
            </w:r>
          </w:p>
        </w:tc>
        <w:tc>
          <w:tcPr>
            <w:tcW w:w="6300" w:type="dxa"/>
          </w:tcPr>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Trajnim i gjyqtarëve dhe prokurorëve bazuar në materialet e programit/platformës HELP për:</w:t>
            </w:r>
          </w:p>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Nenin 14 të KEDNJ-së. Ndalimi i diskriminimit;</w:t>
            </w:r>
          </w:p>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Diskriminimin e komuniteteve me aftësi të kufizuara;</w:t>
            </w:r>
          </w:p>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Diskriminimin e minoriteteve;</w:t>
            </w:r>
          </w:p>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Diskriminimin e romëve;</w:t>
            </w:r>
          </w:p>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Diskriminimin e komunitetit LGBTI (njëditor).</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18 dhjetor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KiE</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Liria e shprehjes, drejtësia  dhe media</w:t>
            </w:r>
            <w:r>
              <w:rPr>
                <w:rFonts w:eastAsia="Calibri"/>
                <w:kern w:val="24"/>
              </w:rPr>
              <w: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Standardet e parashikuara nga KEDNJ-ja dhe jurisprudenca e GJEDNJ-së;</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Reflektimi i tyre në kontekstin shqiptar.</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1107"/>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19 dhjetor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QNLQ / Programi i Granteve të Vogla të Komisionit për Demokraci të Ambasadës së SHBA-s</w:t>
            </w:r>
            <w:r w:rsidRPr="00EE2DE7">
              <w:rPr>
                <w:rFonts w:eastAsia="MS Mincho"/>
                <w:kern w:val="24"/>
              </w:rPr>
              <w:t>ë</w:t>
            </w:r>
          </w:p>
        </w:tc>
        <w:tc>
          <w:tcPr>
            <w:tcW w:w="6300" w:type="dxa"/>
          </w:tcPr>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Times New Roman"/>
                <w:kern w:val="24"/>
              </w:rPr>
              <w:t>Parimet dhe rregullat e sjelljes profesionale gjatë procesit të dhënies së drejtësisë. Respektimi i tyre nga gjyqtarët dhe prokurorët (kandidatët për magjistratë viti II)</w:t>
            </w:r>
            <w:r>
              <w:rPr>
                <w:rFonts w:eastAsia="Times New Roman"/>
                <w:kern w:val="24"/>
              </w:rPr>
              <w:t>.</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827"/>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21 dhjetor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 / QNLQ / Programi i Granteve të Vogla të Komisionit për Demokraci të Ambasadës së SHBA-s</w:t>
            </w:r>
            <w:r w:rsidRPr="00EE2DE7">
              <w:rPr>
                <w:rFonts w:eastAsia="MS Mincho"/>
                <w:kern w:val="24"/>
              </w:rPr>
              <w:t>ë</w:t>
            </w:r>
          </w:p>
        </w:tc>
        <w:tc>
          <w:tcPr>
            <w:tcW w:w="6300" w:type="dxa"/>
          </w:tcPr>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Times New Roman"/>
                <w:kern w:val="24"/>
              </w:rPr>
              <w:t>Parimet dhe rregullat e sjelljes profesionale gjatë procesit të dhënies së drejtësisë. Respektimi i tyre nga gjyqtarët dhe prokurorët (kandidatët për magjistratë viti II)</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10 janar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QNLQ / Programi i Granteve të Vogla të Komisionit për Demokraci të Ambasadës së SHBA-s</w:t>
            </w:r>
            <w:r w:rsidRPr="00EE2DE7">
              <w:rPr>
                <w:rFonts w:eastAsia="MS Mincho"/>
                <w:kern w:val="24"/>
              </w:rPr>
              <w:t>ë</w:t>
            </w:r>
          </w:p>
        </w:tc>
        <w:tc>
          <w:tcPr>
            <w:tcW w:w="6300" w:type="dxa"/>
          </w:tcPr>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Times New Roman"/>
                <w:kern w:val="24"/>
              </w:rPr>
              <w:t>Parimet dhe rregullat e sjelljes profesionale gjatë procesit të dhënies së drejtësisë. Respektimi i tyre nga gjyqtarët dhe prokurorët (kandidatët për magjistratë viti II)</w:t>
            </w:r>
            <w:r>
              <w:rPr>
                <w:rFonts w:eastAsia="Times New Roman"/>
                <w:kern w:val="24"/>
              </w:rPr>
              <w:t>.</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11 janar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 / QNLQ / Programi i Granteve të Vogla të Komisionit për Demokraci të Ambasadës së SHBA-s</w:t>
            </w:r>
            <w:r w:rsidRPr="00EE2DE7">
              <w:rPr>
                <w:rFonts w:eastAsia="MS Mincho"/>
                <w:kern w:val="24"/>
              </w:rPr>
              <w:t>ë</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Times New Roman"/>
                <w:kern w:val="24"/>
              </w:rPr>
              <w:t>Parimet dhe rregullat e sjelljes profesionale gjatë procesit të dhënies së drejtësisë. Respektimi i tyre nga gjyqtarët dhe prokurorët (kandidatët për magjistratë viti II)</w:t>
            </w:r>
            <w:r>
              <w:rPr>
                <w:rFonts w:eastAsia="Times New Roman"/>
                <w:kern w:val="24"/>
              </w:rPr>
              <w:t>.</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15 janar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QNLQ / Programi i Granteve të Vogla të Komisionit për Demokraci të Ambasadës së SHBA-s</w:t>
            </w:r>
            <w:r w:rsidRPr="00EE2DE7">
              <w:rPr>
                <w:rFonts w:eastAsia="MS Mincho"/>
                <w:kern w:val="24"/>
              </w:rPr>
              <w:t>ë</w:t>
            </w:r>
          </w:p>
        </w:tc>
        <w:tc>
          <w:tcPr>
            <w:tcW w:w="6300" w:type="dxa"/>
          </w:tcPr>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Times New Roman"/>
                <w:kern w:val="24"/>
              </w:rPr>
              <w:t>Parimet dhe rregullat e sjelljes profesionale gjatë procesit të dhënies së drejtësisë. Respektimi i tyre nga gjyqtarët dhe prokurorët (kandidatët për magjistratë viti II)</w:t>
            </w:r>
            <w:r>
              <w:rPr>
                <w:rFonts w:eastAsia="Times New Roman"/>
                <w:kern w:val="24"/>
              </w:rPr>
              <w:t>.</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17 janar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 xml:space="preserve">SHM / QNLQ / Programi i Granteve të Vogla të Komisionit për Demokraci të Ambasadës së </w:t>
            </w:r>
            <w:r w:rsidRPr="00EE2DE7">
              <w:rPr>
                <w:kern w:val="24"/>
                <w:u w:val="wave"/>
              </w:rPr>
              <w:lastRenderedPageBreak/>
              <w:t>SHBA-s</w:t>
            </w:r>
            <w:r w:rsidRPr="00EE2DE7">
              <w:rPr>
                <w:rFonts w:eastAsia="MS Mincho"/>
                <w:kern w:val="24"/>
              </w:rPr>
              <w:t>ë</w:t>
            </w:r>
          </w:p>
        </w:tc>
        <w:tc>
          <w:tcPr>
            <w:tcW w:w="6300" w:type="dxa"/>
          </w:tcPr>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Times New Roman"/>
                <w:kern w:val="24"/>
              </w:rPr>
              <w:lastRenderedPageBreak/>
              <w:t>Parimet dhe rregullat e sjelljes profesionale gjatë procesit të dhënies së drejtësisë. Respektimi i tyre nga gjyqtarët dhe prokurorët (kandidatët për magjistratë viti II)</w:t>
            </w:r>
            <w:r>
              <w:rPr>
                <w:rFonts w:eastAsia="Times New Roman"/>
                <w:kern w:val="24"/>
              </w:rPr>
              <w:t>.</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18 janar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QNLQ / Programi i Granteve të Vogla të Komisionit për Demokraci të Ambasadës së SHBA-s</w:t>
            </w:r>
            <w:r w:rsidRPr="00EE2DE7">
              <w:rPr>
                <w:rFonts w:eastAsia="MS Mincho"/>
                <w:kern w:val="24"/>
              </w:rPr>
              <w:t>ë</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Times New Roman"/>
                <w:kern w:val="24"/>
              </w:rPr>
              <w:t>Parimet dhe rregullat e sjelljes profesionale gjatë procesit të dhënies së drejtësisë. Respektimi i tyre nga gjyqtarët dhe prokurorët (kandidatët për magjistratë viti II)</w:t>
            </w:r>
            <w:r>
              <w:rPr>
                <w:rFonts w:eastAsia="Times New Roman"/>
                <w:kern w:val="24"/>
              </w:rPr>
              <w:t>.</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rPr>
            </w:pPr>
            <w:r w:rsidRPr="00EE2DE7">
              <w:rPr>
                <w:kern w:val="24"/>
              </w:rPr>
              <w:t>18-19 janar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EURALIUS</w:t>
            </w: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Trajnim për ndërgjegjësimin e mentorëve të mundshëm për vitin e tretë të Formimit Fillestar.</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1007"/>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22-23 janar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Sida</w:t>
            </w:r>
          </w:p>
        </w:tc>
        <w:tc>
          <w:tcPr>
            <w:tcW w:w="6300" w:type="dxa"/>
          </w:tcPr>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Drejtësia për të miturit dhe Kodi i Drejtësisë Penale për të miturit. Komunikimi i rastet të drejtësisë për të mitur dhe hartimi i vendimeve / aktgjykimeve në rastet e drejtësisë për të mitur.</w:t>
            </w:r>
          </w:p>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Trajnim i gjyqtarëve të RRGJ-s</w:t>
            </w:r>
            <w:r w:rsidRPr="00EE2DE7">
              <w:rPr>
                <w:rFonts w:eastAsia="MS Mincho"/>
                <w:kern w:val="24"/>
              </w:rPr>
              <w:t>ë</w:t>
            </w:r>
            <w:r w:rsidRPr="00EE2DE7">
              <w:rPr>
                <w:rFonts w:eastAsia="Times New Roman"/>
                <w:kern w:val="24"/>
              </w:rPr>
              <w:t xml:space="preserve"> Tiranë dhe Durrës.</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9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24 janar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 / QNLQ / Programi i Granteve të Vogla të Komisionit për Demokraci të Ambasadës së SHBA-s</w:t>
            </w:r>
            <w:r w:rsidRPr="00EE2DE7">
              <w:rPr>
                <w:rFonts w:eastAsia="MS Mincho"/>
                <w:kern w:val="24"/>
              </w:rPr>
              <w:t>ë</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Parimet dhe rregullat e sjelljes profesionale gjatë procesit të dhënies së drejtësisë. Respektimi i tyre nga gjyqtarët dhe prokurorët (kandidatët për magjistratë viti II)</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70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24-25 janar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SHM/PAMECA V</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Raporti prokurori-gjykatë për mënyrën e përfundimit të hetimeve paraprake.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w:t>
            </w:r>
            <w:r w:rsidRPr="00EE2DE7">
              <w:rPr>
                <w:kern w:val="24"/>
                <w:u w:val="wave"/>
              </w:rPr>
              <w:tab/>
              <w:t>Roli i prokurorit në drejtimin dhe kontrollin e hetimeve paraprake;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w:t>
            </w:r>
            <w:r w:rsidRPr="00EE2DE7">
              <w:rPr>
                <w:kern w:val="24"/>
                <w:u w:val="wave"/>
              </w:rPr>
              <w:tab/>
              <w:t>K</w:t>
            </w:r>
            <w:r w:rsidRPr="00EE2DE7">
              <w:rPr>
                <w:rFonts w:eastAsia="MS Mincho"/>
                <w:kern w:val="24"/>
              </w:rPr>
              <w:t>ë</w:t>
            </w:r>
            <w:r w:rsidRPr="00EE2DE7">
              <w:rPr>
                <w:kern w:val="24"/>
                <w:u w:val="wave"/>
              </w:rPr>
              <w:t>rkesa p</w:t>
            </w:r>
            <w:r w:rsidRPr="00EE2DE7">
              <w:rPr>
                <w:rFonts w:eastAsia="MS Mincho"/>
                <w:kern w:val="24"/>
              </w:rPr>
              <w:t>ë</w:t>
            </w:r>
            <w:r w:rsidRPr="00EE2DE7">
              <w:rPr>
                <w:kern w:val="24"/>
                <w:u w:val="wave"/>
              </w:rPr>
              <w:t>r gjykim e prokurorit dhe seanca paraprake. Pavlefshm</w:t>
            </w:r>
            <w:r w:rsidRPr="00EE2DE7">
              <w:rPr>
                <w:rFonts w:eastAsia="MS Mincho"/>
                <w:kern w:val="24"/>
              </w:rPr>
              <w:t>ë</w:t>
            </w:r>
            <w:r w:rsidRPr="00EE2DE7">
              <w:rPr>
                <w:kern w:val="24"/>
                <w:u w:val="wave"/>
              </w:rPr>
              <w:t>rit</w:t>
            </w:r>
            <w:r w:rsidRPr="00EE2DE7">
              <w:rPr>
                <w:rFonts w:eastAsia="MS Mincho"/>
                <w:kern w:val="24"/>
              </w:rPr>
              <w:t>ë</w:t>
            </w:r>
            <w:r w:rsidRPr="00EE2DE7">
              <w:rPr>
                <w:kern w:val="24"/>
                <w:u w:val="wave"/>
              </w:rPr>
              <w:t xml:space="preserve"> e akteve dhe shqyrtimi i tyre gjat</w:t>
            </w:r>
            <w:r w:rsidRPr="00EE2DE7">
              <w:rPr>
                <w:rFonts w:eastAsia="MS Mincho"/>
                <w:kern w:val="24"/>
              </w:rPr>
              <w:t>ë</w:t>
            </w:r>
            <w:r w:rsidRPr="00EE2DE7">
              <w:rPr>
                <w:kern w:val="24"/>
                <w:u w:val="wave"/>
              </w:rPr>
              <w:t xml:space="preserve"> k</w:t>
            </w:r>
            <w:r w:rsidRPr="00EE2DE7">
              <w:rPr>
                <w:rFonts w:eastAsia="MS Mincho"/>
                <w:kern w:val="24"/>
              </w:rPr>
              <w:t>ë</w:t>
            </w:r>
            <w:r w:rsidRPr="00EE2DE7">
              <w:rPr>
                <w:kern w:val="24"/>
                <w:u w:val="wave"/>
              </w:rPr>
              <w:t>saj seance.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w:t>
            </w:r>
            <w:r w:rsidRPr="00EE2DE7">
              <w:rPr>
                <w:kern w:val="24"/>
                <w:u w:val="wave"/>
              </w:rPr>
              <w:tab/>
              <w:t>Kontrolli gjyqësor gjatë fazës së hetimeve paraprake.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Dita e dytë</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Kontrolli juridiksional mbi ushtrimin e ndjekjes penale. Karakteristikat thelb</w:t>
            </w:r>
            <w:r w:rsidRPr="00EE2DE7">
              <w:rPr>
                <w:rFonts w:eastAsia="MS Mincho"/>
                <w:kern w:val="24"/>
              </w:rPr>
              <w:t>ë</w:t>
            </w:r>
            <w:r w:rsidRPr="00EE2DE7">
              <w:rPr>
                <w:kern w:val="24"/>
                <w:u w:val="wave"/>
              </w:rPr>
              <w:t>sore t</w:t>
            </w:r>
            <w:r w:rsidRPr="00EE2DE7">
              <w:rPr>
                <w:rFonts w:eastAsia="MS Mincho"/>
                <w:kern w:val="24"/>
              </w:rPr>
              <w:t>ë</w:t>
            </w:r>
            <w:r w:rsidRPr="00EE2DE7">
              <w:rPr>
                <w:kern w:val="24"/>
                <w:u w:val="wave"/>
              </w:rPr>
              <w:t xml:space="preserve"> saj - detyrueshm</w:t>
            </w:r>
            <w:r w:rsidRPr="00EE2DE7">
              <w:rPr>
                <w:rFonts w:eastAsia="MS Mincho"/>
                <w:kern w:val="24"/>
              </w:rPr>
              <w:t>ë</w:t>
            </w:r>
            <w:r w:rsidRPr="00EE2DE7">
              <w:rPr>
                <w:kern w:val="24"/>
                <w:u w:val="wave"/>
              </w:rPr>
              <w:t>ria dhe pakthyeshm</w:t>
            </w:r>
            <w:r w:rsidRPr="00EE2DE7">
              <w:rPr>
                <w:rFonts w:eastAsia="MS Mincho"/>
                <w:kern w:val="24"/>
              </w:rPr>
              <w:t>ë</w:t>
            </w:r>
            <w:r w:rsidRPr="00EE2DE7">
              <w:rPr>
                <w:kern w:val="24"/>
                <w:u w:val="wave"/>
              </w:rPr>
              <w:t>ria. Kontrolli mbi mosushtrimin e ndjekjes penale nga prokurori. Raporti i prokurorit me policinë gjyqësore, veprimet me iniciativë dhe ato të deleguara.</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70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rPr>
            </w:pPr>
            <w:r w:rsidRPr="00EE2DE7">
              <w:rPr>
                <w:kern w:val="24"/>
              </w:rPr>
              <w:t>25-26 janar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rPr>
            </w:pPr>
            <w:r w:rsidRPr="00EE2DE7">
              <w:rPr>
                <w:kern w:val="24"/>
              </w:rPr>
              <w:t>OSBE</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Menaxhimi aktiv i çështjeve gjyqësore (gjyqtarët dhe kancelari i Gjykatës së Rrethit Gjyqësor Gjirokastër.)</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1-2 shkurt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KiE</w:t>
            </w:r>
          </w:p>
        </w:tc>
        <w:tc>
          <w:tcPr>
            <w:tcW w:w="6300" w:type="dxa"/>
          </w:tcPr>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Vepra penale e shpifjes.</w:t>
            </w:r>
          </w:p>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Gjyq imitues për prokurorë dhe gjyqtarë. Rastet e shpifjes.</w:t>
            </w:r>
          </w:p>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 xml:space="preserve">Jurisprudenca e GJEDNJ-së lidhur me zbatimin e nenit 8 të KEDNJ-së mbi të drejtën për jetë private dhe familjare, në </w:t>
            </w:r>
            <w:r w:rsidRPr="00EE2DE7">
              <w:rPr>
                <w:rFonts w:eastAsia="Times New Roman"/>
                <w:kern w:val="24"/>
              </w:rPr>
              <w:lastRenderedPageBreak/>
              <w:t>çështjet mbi reputacionin dhe abuzimin me të drejtën e informimit;</w:t>
            </w:r>
          </w:p>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Çështje të praktikës gjyqësore shqiptare lidhur me veprën penale të shpifjes.</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5-6 shkurt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Avokatura e Shtetit / SHM/KiE</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E drejta e pronës në këndvështrimin e jurisprudencës së GJEDNJ-së dhe problematika e legjislacionit dhe praktikës vendase.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w:t>
            </w:r>
            <w:r w:rsidRPr="00EE2DE7">
              <w:rPr>
                <w:kern w:val="24"/>
                <w:u w:val="wave"/>
              </w:rPr>
              <w:tab/>
              <w:t>Risitë e ligjit nr. 133/2015, datë 5.12.2015, “</w:t>
            </w:r>
            <w:r w:rsidRPr="00EE2DE7">
              <w:rPr>
                <w:i/>
                <w:kern w:val="24"/>
                <w:u w:val="wave"/>
              </w:rPr>
              <w:t>Për trajtimin e pronës dhe përfundimin e procesit të kompensimit të pronave</w:t>
            </w:r>
            <w:r w:rsidRPr="00EE2DE7">
              <w:rPr>
                <w:kern w:val="24"/>
                <w:u w:val="wave"/>
              </w:rPr>
              <w:t>”. Problematikat e hasura në praktikën gjyqësore;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w:t>
            </w:r>
            <w:r w:rsidRPr="00EE2DE7">
              <w:rPr>
                <w:kern w:val="24"/>
                <w:u w:val="wave"/>
              </w:rPr>
              <w:tab/>
              <w:t>Shqyrtimi i mosmarrëveshjeve lidhur me zbatimin e tij.  Llojet e vendimeve që merr ATP-ja dhe ndarja e kompetencave mes gjykatave civile dhe administrative;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w:t>
            </w:r>
            <w:r w:rsidRPr="00EE2DE7">
              <w:rPr>
                <w:kern w:val="24"/>
                <w:u w:val="wave"/>
              </w:rPr>
              <w:tab/>
              <w:t>Shqyrtimi i mosmarrëveshjeve që lidhen me vendimet e dhëna nga ish-KKP-ja dhe ish-AKKP-ja;</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w:t>
            </w:r>
            <w:r w:rsidRPr="00EE2DE7">
              <w:rPr>
                <w:kern w:val="24"/>
                <w:u w:val="wave"/>
              </w:rPr>
              <w:tab/>
              <w:t>Parime të përgjithshme të njohjes dhe shpërblimit të drejtë të vuajtjeve të shkaktuara nga marrja dhe mbajtja e padrejtë e pronës;</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w:t>
            </w:r>
            <w:r w:rsidRPr="00EE2DE7">
              <w:rPr>
                <w:kern w:val="24"/>
                <w:u w:val="wave"/>
              </w:rPr>
              <w:tab/>
              <w:t>Metodologjia e vlerësimit të kompensimit.</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12 shkurt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Observatori për të drejtat e fëmijëve</w:t>
            </w:r>
          </w:p>
        </w:tc>
        <w:tc>
          <w:tcPr>
            <w:tcW w:w="6300" w:type="dxa"/>
          </w:tcPr>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Martesat nën moshë dhe roli i gjykatës në lejimin e</w:t>
            </w:r>
          </w:p>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këtyre martesave për shkaqe me rëndësi (pjesëmarrës gjyqtarë të GJRRGJ-s</w:t>
            </w:r>
            <w:r w:rsidRPr="00EE2DE7">
              <w:rPr>
                <w:rFonts w:eastAsia="MS Mincho"/>
                <w:kern w:val="24"/>
              </w:rPr>
              <w:t>ë</w:t>
            </w:r>
            <w:r w:rsidRPr="00EE2DE7">
              <w:rPr>
                <w:rFonts w:eastAsia="Times New Roman"/>
                <w:kern w:val="24"/>
              </w:rPr>
              <w:t xml:space="preserve"> Kukës)</w:t>
            </w:r>
            <w:r>
              <w:rPr>
                <w:rFonts w:eastAsia="Times New Roman"/>
                <w:kern w:val="24"/>
              </w:rPr>
              <w:t>.</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12-13  shkurt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ISLP</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Teknikat e posaçme të hetimit sipas standardeve ndërkombëtare dhe kuadrit ligjor shqiptar. Trajtesë teorike dhe praktike.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Metodat speciale të hetimit;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Veprimet simuluese;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Roli i punonjësit të infiltruar të policisë dhe Jurisprudenca e GJEDNJ-së;</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Bashkëpunëtori i drejtësisë dhe dëshmitari me identitet të fshehur.</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19 shkurt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Observatori për të drejtat e fëmijëve</w:t>
            </w:r>
          </w:p>
        </w:tc>
        <w:tc>
          <w:tcPr>
            <w:tcW w:w="6300" w:type="dxa"/>
          </w:tcPr>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Times New Roman"/>
                <w:kern w:val="24"/>
              </w:rPr>
              <w:t>Martesat nën moshë dhe roli i gjykatës në lejimin e këtyre martesave për shkaqe me rëndësi (pjesëmarrës gjyqtarë të GJRRGJ-s</w:t>
            </w:r>
            <w:r w:rsidRPr="00EE2DE7">
              <w:rPr>
                <w:rFonts w:eastAsia="MS Mincho"/>
                <w:kern w:val="24"/>
              </w:rPr>
              <w:t>ë</w:t>
            </w:r>
            <w:r w:rsidRPr="00EE2DE7">
              <w:rPr>
                <w:rFonts w:eastAsia="Times New Roman"/>
                <w:kern w:val="24"/>
              </w:rPr>
              <w:t xml:space="preserve"> Shkodër dhe Apelit Shkodër)</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rPr>
            </w:pPr>
            <w:r w:rsidRPr="00EE2DE7">
              <w:rPr>
                <w:kern w:val="24"/>
              </w:rPr>
              <w:t>21 shkurt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 / Observatori për të drejtat e fëmijëve</w:t>
            </w:r>
          </w:p>
        </w:tc>
        <w:tc>
          <w:tcPr>
            <w:tcW w:w="6300" w:type="dxa"/>
          </w:tcPr>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Times New Roman"/>
                <w:kern w:val="24"/>
              </w:rPr>
              <w:t>Martesat nën moshë dhe roli i gjykatës në lejimin e këtyre martesave për shkaqe me rëndësi (pjesëmarrës gjyqtarë të GJRRGJ-s</w:t>
            </w:r>
            <w:r w:rsidRPr="00EE2DE7">
              <w:rPr>
                <w:rFonts w:eastAsia="MS Mincho"/>
                <w:kern w:val="24"/>
              </w:rPr>
              <w:t>ë</w:t>
            </w:r>
            <w:r w:rsidRPr="00EE2DE7">
              <w:rPr>
                <w:rFonts w:eastAsia="Times New Roman"/>
                <w:kern w:val="24"/>
              </w:rPr>
              <w:t xml:space="preserve"> Fier e Kavajë)</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22-23 shkurt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SHM / KiE</w:t>
            </w:r>
          </w:p>
        </w:tc>
        <w:tc>
          <w:tcPr>
            <w:tcW w:w="6300" w:type="dxa"/>
          </w:tcPr>
          <w:p w:rsidR="008D2205" w:rsidRPr="00EE2DE7" w:rsidRDefault="008D2205" w:rsidP="002737A9">
            <w:pPr>
              <w:contextualSpacing/>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Times New Roman"/>
                <w:kern w:val="24"/>
              </w:rPr>
              <w:t>Trajnim i kancelarëve mbi statistikat gjyqësore dhe menaxhimin e kohës gjyqësore.</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26-27 shkurt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SHM/KiE</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Gjykimi në mungesë.</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Gjykimi në mungesë sipas nenit 6 të Konventës Europiane për të Drejtat e Njeriut;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 xml:space="preserve">Jurisprudenca e Gjykatës Europiane të të Drejtave të </w:t>
            </w:r>
            <w:r w:rsidRPr="00EE2DE7">
              <w:rPr>
                <w:rFonts w:eastAsia="Calibri"/>
                <w:kern w:val="24"/>
              </w:rPr>
              <w:lastRenderedPageBreak/>
              <w:t>Njeriut me fokus kryesor në praninë e të pandehurit në gjykim;</w:t>
            </w:r>
          </w:p>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Legjislacioni shqiptar dhe probleme të praktikës gjyqësore shqiptare.</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27 shkurt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Observatori për të drejtat  fëmijëve</w:t>
            </w:r>
          </w:p>
        </w:tc>
        <w:tc>
          <w:tcPr>
            <w:tcW w:w="6300" w:type="dxa"/>
          </w:tcPr>
          <w:p w:rsidR="008D2205" w:rsidRPr="007B1E3D"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Konferencë: Martesat nën moshë dhe roli i gjykatës në lejimin e</w:t>
            </w:r>
            <w:r>
              <w:rPr>
                <w:rFonts w:eastAsia="Times New Roman"/>
                <w:kern w:val="24"/>
              </w:rPr>
              <w:t xml:space="preserve"> </w:t>
            </w:r>
            <w:r w:rsidRPr="00EE2DE7">
              <w:rPr>
                <w:rFonts w:eastAsia="Times New Roman"/>
                <w:kern w:val="24"/>
              </w:rPr>
              <w:t>këtyre martesave për shkaqe me rëndësi.</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28 shkurt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KiE</w:t>
            </w:r>
          </w:p>
        </w:tc>
        <w:tc>
          <w:tcPr>
            <w:tcW w:w="6300" w:type="dxa"/>
          </w:tcPr>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kern w:val="24"/>
                <w:lang w:bidi="en-US"/>
              </w:rPr>
              <w:t>Parimet në dhënien e kompensimit në rastet e cenimit të lirisë së shprehjes.</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9 mars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SHM/OPDAT</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Të drejtat e viktimës në dhe gjatë procesit penal.</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Standardet e BE-së mbi të drejtat e viktimës dhe të të pandehurit në procesin penal;</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Roli i viktimës në seancën paraprake;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Roli i viktimës gjatë gjykimit;</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Riviktimizimi;</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Mjetet procedurale për mosmarrjen e dëshmisë së përsëritur gjatë proceseve gjyqësore.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Times New Roman"/>
                <w:kern w:val="24"/>
              </w:rPr>
              <w:t>•</w:t>
            </w:r>
            <w:r w:rsidRPr="00EE2DE7">
              <w:rPr>
                <w:rFonts w:eastAsia="Times New Roman"/>
                <w:kern w:val="24"/>
              </w:rPr>
              <w:tab/>
              <w:t>Paragjykimet: indikator në komunikimin dhe trajtimin e viktimave. Llojet e paragjykimeve dhe ndikimi i tyre në komunikimin verbal dhe joverbal. Si janë krijuar qëndrimet, vlerat, besimet? Si ndërhyjnë këto në komunikim me njerëzit që punojmë? Si reflektohen në qëndrimet që mbahen me rastet që punojmë? Si ndikojnë në cilësinë e punës si gjyqtar apo prokuror?</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23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15-16 mars 2018</w:t>
            </w: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kern w:val="24"/>
                <w:u w:val="wave"/>
              </w:rPr>
              <w:t>SHM / OSBE</w:t>
            </w:r>
          </w:p>
          <w:p w:rsidR="008D2205" w:rsidRPr="00EE2DE7" w:rsidRDefault="008D2205" w:rsidP="002737A9">
            <w:pPr>
              <w:cnfStyle w:val="000000010000" w:firstRow="0" w:lastRow="0" w:firstColumn="0" w:lastColumn="0" w:oddVBand="0" w:evenVBand="0" w:oddHBand="0" w:evenHBand="1" w:firstRowFirstColumn="0" w:firstRowLastColumn="0" w:lastRowFirstColumn="0" w:lastRowLastColumn="0"/>
              <w:rPr>
                <w:rFonts w:eastAsia="Calibri"/>
                <w:kern w:val="24"/>
              </w:rPr>
            </w:pPr>
          </w:p>
          <w:p w:rsidR="008D2205" w:rsidRPr="00EE2DE7" w:rsidRDefault="008D2205" w:rsidP="002737A9">
            <w:pPr>
              <w:cnfStyle w:val="000000010000" w:firstRow="0" w:lastRow="0" w:firstColumn="0" w:lastColumn="0" w:oddVBand="0" w:evenVBand="0" w:oddHBand="0" w:evenHBand="1" w:firstRowFirstColumn="0" w:firstRowLastColumn="0" w:lastRowFirstColumn="0" w:lastRowLastColumn="0"/>
              <w:rPr>
                <w:rFonts w:eastAsia="Calibri"/>
                <w:kern w:val="24"/>
              </w:rPr>
            </w:pP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Trajtesa ligjore dhe praktike me efekt në aftësimin profesional në fushën e tatimeve.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Dita e parë: Veprat penale në fushën e tatimeve. Bashkëpunimi i autoriteteve tatimore me sistemin e drejtësisë.</w:t>
            </w:r>
          </w:p>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kern w:val="24"/>
                <w:u w:val="wave"/>
              </w:rPr>
              <w:t>Dita e dytë: Procedurat e ankimimit të akteve administrative tatimore: a) shqyrtimi i ankimeve për dënimet administrative për kundravajtjet administrative; dhe b) ankimi kundër vendimeve të Drejtorisë së Apelimit Tatimor.</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15-16 mars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USAID</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rFonts w:eastAsia="Times New Roman"/>
                <w:kern w:val="24"/>
              </w:rPr>
              <w:t>Lidership i ekipit drejtues</w:t>
            </w:r>
            <w:r>
              <w:rPr>
                <w:rFonts w:eastAsia="Times New Roman"/>
                <w:kern w:val="24"/>
              </w:rPr>
              <w:t xml:space="preserve">. </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19-20 mars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SHM/KiE</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Ekzekutimi i vendimeve gjyqësore të formës së prerë.</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Trajtimi integral i dispozitave të Kodit të Procedurës Civile që rregullojnë ekzekutimin e detyrueshëm;</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Standardi i GJEDNJ-së për ekzekutimin e vendimeve dhe kohëzgjatjen e gjykimit. Përshpejtimi në rastet e vonesave dhe ngritja e një mekanizmi efektiv; Ekzekutimi i vendimeve të Gjykatës së Strasburgut dhe Luksemburgut në planin e përgjithshëm. Detyrat e vëna për Shqipërinë në veçanti.</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Kontrolli gjyqësor mbi ekzekutimet;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Masat e sigurimit civil të padisë. Praktika gjyqësore dhe ajo unifikuese në lidhje me masat e sigurimit të padisë. Ankimi në rastin e rrëzimit të masës së sigurimit;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lastRenderedPageBreak/>
              <w:t>•</w:t>
            </w:r>
            <w:r w:rsidRPr="00EE2DE7">
              <w:rPr>
                <w:rFonts w:eastAsia="Calibri"/>
                <w:kern w:val="24"/>
              </w:rPr>
              <w:tab/>
              <w:t>Aplikimi për rastet e procedurave përmbarimore për ekzekutimin e kontratave të kredive bankare;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Calibri"/>
                <w:kern w:val="24"/>
              </w:rPr>
              <w:t>•</w:t>
            </w:r>
            <w:r w:rsidRPr="00EE2DE7">
              <w:rPr>
                <w:rFonts w:eastAsia="Calibri"/>
                <w:kern w:val="24"/>
              </w:rPr>
              <w:tab/>
              <w:t>Veçimi i pjesës së debitorit bashkëpronar në fazën e ekzekutimit të detyrimeve dhe problemet e lindura në praktikën gjyqësore.</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20-21 mars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USAID</w:t>
            </w:r>
          </w:p>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Calibri"/>
                <w:kern w:val="24"/>
              </w:rPr>
              <w:t>Administrimi efikas i proceseve gjyqësore</w:t>
            </w:r>
            <w:r>
              <w:rPr>
                <w:rFonts w:eastAsia="Calibri"/>
                <w:kern w:val="24"/>
              </w:rPr>
              <w:t xml:space="preserve">. </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23 mars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SHM/OPDAT</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Të drejtat e viktimës në dhe gjatë procesit penal.</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Standardet e BE-së mbi të drejtat e viktimës dhe të të pandehurit në procesin penal;</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Roli i viktimës në seancën paraprake;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Roli i viktimës gjatë gjykimit;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Riviktimizimi;</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Mjetet procedurale për mosmarrjen e dëshmisë së përsëritur gjatë proceseve gjyqësore.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Paragjykimet: indikator në komunikimin dhe trajtimin e viktimave. Llojet e paragjykimeve dhe ndikimi i tyre në komunikimin verbal dhe joverbal. Si janë krijuar qëndrimet, vlerat, besimet? Si ndërhyjnë këto në komunikim me njerëzit që punojmë? Si reflektohen në qëndrimet që mbahen me rastet që punojmë? Si ndikojnë në cilësinë e punës si gjyqtar apo prokuror?</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26-27 mars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IRZ</w:t>
            </w:r>
          </w:p>
        </w:tc>
        <w:tc>
          <w:tcPr>
            <w:tcW w:w="6300" w:type="dxa"/>
          </w:tcPr>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Analiza e provave dhe teoritë e të provuarit.</w:t>
            </w:r>
          </w:p>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Hetimi i fakteve dhe natyra e provave në kontekstin ligjor;</w:t>
            </w:r>
          </w:p>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 xml:space="preserve">Parimet e të provuarit dhe teoria </w:t>
            </w:r>
            <w:r w:rsidRPr="007B1E3D">
              <w:rPr>
                <w:rFonts w:eastAsia="Times New Roman"/>
                <w:i/>
                <w:kern w:val="24"/>
              </w:rPr>
              <w:t>Wigmore</w:t>
            </w:r>
            <w:r w:rsidRPr="00EE2DE7">
              <w:rPr>
                <w:rFonts w:eastAsia="Times New Roman"/>
                <w:kern w:val="24"/>
              </w:rPr>
              <w:t>;</w:t>
            </w:r>
          </w:p>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Metodat e analizës dhe logjika;</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Probabiliteti, pesha dhe forca e provës.</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rPr>
            </w:pPr>
            <w:r w:rsidRPr="00EE2DE7">
              <w:rPr>
                <w:kern w:val="24"/>
              </w:rPr>
              <w:t>28 mars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PAMECA/ShM</w:t>
            </w:r>
          </w:p>
        </w:tc>
        <w:tc>
          <w:tcPr>
            <w:tcW w:w="6300" w:type="dxa"/>
          </w:tcPr>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Parandalimi dhe goditja e krimit të organizuar, trafikimit, korrupsionit dhe veprave të tjera penale.</w:t>
            </w:r>
          </w:p>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Konventat ndërkombëtare lidhur me pastrimin e produkteve të veprës penale. Vështrim i shkurtër mbi Konventën  e Varshavës, Palermos  e Vjenës;</w:t>
            </w:r>
          </w:p>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Legjislacioni procedural penal mbi sekuestrimin dhe konfiskimin e pasurive;</w:t>
            </w:r>
          </w:p>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Zbatimi i ligjit nr. 10192, datë 03.12.2009, “</w:t>
            </w:r>
            <w:r w:rsidRPr="008B3E33">
              <w:rPr>
                <w:rFonts w:eastAsia="Times New Roman"/>
                <w:i/>
                <w:kern w:val="24"/>
              </w:rPr>
              <w:t>Për parandalimin dhe goditjen e krimit të organizuar, trafikimit, korrupsionit dhe krimeve të tjera nëpërmjet masave parandaluese kundër pasurisë</w:t>
            </w:r>
            <w:r w:rsidRPr="00EE2DE7">
              <w:rPr>
                <w:rFonts w:eastAsia="Times New Roman"/>
                <w:kern w:val="24"/>
              </w:rPr>
              <w:t>” dhe risitë e tij;</w:t>
            </w:r>
          </w:p>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Prezumimi i regjistrimit të rremë të pasurive dhe veprimtarive ekonomike të personave të përfshirë në veprat penale përkatëse;</w:t>
            </w:r>
          </w:p>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Kompetencat e gjykatës për  shqyrtimin e veprës penale të pastrimit të parave;</w:t>
            </w:r>
          </w:p>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Dobësimi i financave të rrjeteve kriminale të krimit të organizuar dhe terrorizmit nëpërmjet sh</w:t>
            </w:r>
            <w:r>
              <w:rPr>
                <w:rFonts w:eastAsia="Times New Roman"/>
                <w:kern w:val="24"/>
              </w:rPr>
              <w:t>ënje</w:t>
            </w:r>
            <w:r w:rsidRPr="00EE2DE7">
              <w:rPr>
                <w:rFonts w:eastAsia="Times New Roman"/>
                <w:kern w:val="24"/>
              </w:rPr>
              <w:t xml:space="preserve">strimit, sekuestrimit dhe konfiskimit të pasurive dhe të ardhurave të </w:t>
            </w:r>
            <w:r w:rsidRPr="00EE2DE7">
              <w:rPr>
                <w:rFonts w:eastAsia="Times New Roman"/>
                <w:kern w:val="24"/>
              </w:rPr>
              <w:lastRenderedPageBreak/>
              <w:t>përfituara nga aktiviteti kriminal</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29-30 mars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OSBE</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Menaxhimi aktiv i çështjeve gjyqësore (gjyqtarët dhe kancelari i Gjykatës së Rrethit Gjyqësor Lushnjë).</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30 mars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SHM/OPDAT</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Të drejtat e viktimës në dhe gjatë procesit penal.</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Standardet e BE-së mbi të drejtat e viktimës dhe të të pandehurit në procesin penal;</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Roli i viktimës në seancën paraprake;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Roli i viktimës gjatë gjykimit;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Riviktimizimi;</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Mjetet procedurale për mosmarrjen e dëshmisë së përsëritur gjatë proceseve gjyqësore.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Paragjykimet: indikator në komunikimin dhe trajtimin e viktimave. Llojet e paragjykimeve dhe ndikimi i tyre në komunikimin verbal dhe joverbal. Si janë krijuar qëndrimet, vlerat, besimet? Si ndërhyjnë këto në komunikim me njerëzit që punojmë? Si reflektohen në qëndrimet që mbahen me rastet që punojmë? Si ndikojnë në cilësinë e punës si gjyqtar apo prokuror?</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30 mars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kern w:val="24"/>
                <w:u w:val="wave"/>
              </w:rPr>
              <w:t>KiE</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Liria e shprehjes në fokusin e miradministrimit të drejtësisë dhe kufijtë e ushtrimit të saj për profesionistët e drejtësisë (gjyqtarët, prokurorët, avokatët). Ankimi ndaj vendimeve të autoriteteve rregullatore të çështjeve që lidhen me të.</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6 prill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SHM/OPDAT</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Të drejtat e viktimës në dhe gjatë procesit penal.</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Standardet e BE-së mbi të drejtat e viktimës dhe të të pandehurit në procesin penal;</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Roli i viktimës në seancën paraprake;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Roli i viktimës gjatë gjykimit;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Riviktimizimi;</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Mjetet procedurale për mosmarrjen e dëshmisë së përsëritur gjatë proceseve gjyqësore.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Paragjykimet: indikator në komunikimin dhe trajtimin e viktimave. Llojet e paragjykimeve dhe ndikimi i tyre në komunikimin verbal dhe joverbal. Si janë krijuar qëndrimet, vlerat, besimet? Si ndërhyjnë këto në komunikim me njerëzit që punojmë? Si reflektohen në qëndrimet që mbahen me rastet që punojmë? Si ndikojnë në cilësinë e punës si gjyqtar apo prokuror?</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4220"/>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13 prill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SHM/OPDAT</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Të drejtat e viktimës në dhe gjatë procesit penal.</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Standardet e BE-së mbi të drejtat e viktimës dhe të të pandehurit në procesin penal;</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Roli i viktimës në seancën paraprake;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Roli i viktimës gjatë gjykimit;</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Riviktimizimi;</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Mjetet procedurale për mosmarrjen e dëshmisë së përsëritur gjatë proceseve gjyqësore.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Paragjykimet: indikator në komunikimin dhe trajtimin e viktimave. Llojet e paragjykimeve dhe ndikimi i tyre në komunikimin verbal dhe joverbal. Si janë krijuar qëndrimet, vlerat, besimet? Si ndërhyjnë këto në komunikim me njerëzit që punojmë? Si reflektohen në qëndrimet që mbahen me rastet që punojmë? Si ndikojnë në cilësinë e punës si gjyqtar apo prokuror?</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20 prill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SHM/OPDAT</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Të drejtat e viktimës në dhe gjatë procesit penal.</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Standardet e BE-së mbi të drejtat e viktimës dhe të të pandehurit në procesin penal;</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Roli i viktimës në seancën paraprake;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Roli i viktimës gjatë gjykimit;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Riviktimizimi;</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Mjetet procedurale për mosmarrjen e dëshmisë së përsëritur gjatë proceseve gjyqësore.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Paragjykimet: indikator në komunikimin dhe trajtimin e viktimave. Llojet e paragjykimeve dhe ndikimi i tyre në komunikimin verbal dhe joverbal. Si janë krijuar qëndrimet, vlerat, besimet? Si ndërhyjnë këto në komunikim me njerëzit që punojmë? Si reflektohen në qëndrimet që mbahen me rastet që punojmë? Si ndikojnë në cilësinë e punës si gjyqtar apo prokuror?</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18 maj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w:t>
            </w:r>
          </w:p>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kern w:val="24"/>
                <w:u w:val="wave"/>
              </w:rPr>
              <w:t>OSBE</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Roli i Avokatit të Shtetit në procesin gjyqësor.</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Calibri"/>
                <w:kern w:val="24"/>
              </w:rPr>
              <w:t>•</w:t>
            </w:r>
            <w:r w:rsidRPr="00EE2DE7">
              <w:rPr>
                <w:rFonts w:eastAsia="Calibri"/>
                <w:kern w:val="24"/>
              </w:rPr>
              <w:tab/>
              <w:t>Ndarja e kompetencave midis Avokaturës së Shtetit dhe institucioneve publike.</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rPr>
            </w:pPr>
            <w:r w:rsidRPr="00EE2DE7">
              <w:rPr>
                <w:kern w:val="24"/>
              </w:rPr>
              <w:t>18-19 maj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KiE / ShM</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Calibri"/>
                <w:kern w:val="24"/>
              </w:rPr>
              <w:t>Trajnimi i Menaxhimit të Kohës së Gjyqësorit për Gjyqtarët</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21-22 maj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rPr>
              <w:t>OSBE</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Menaxhimi aktiv i çështjeve gjyqësore (gjyqtarët dhe kancelari i Gjykatës së Rrethit Gjyqësor Sarandë).</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rPr>
            </w:pPr>
            <w:r w:rsidRPr="00EE2DE7">
              <w:rPr>
                <w:kern w:val="24"/>
              </w:rPr>
              <w:t>24-25 maj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Avokatura e Shtetit / SHM/KiE</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E drejta e pronës në këndvështrimin e jurisprudencës së GJEDNJ-së dhe problematika e legjislacionit dhe praktikës vendase.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w:t>
            </w:r>
            <w:r w:rsidRPr="00EE2DE7">
              <w:rPr>
                <w:kern w:val="24"/>
                <w:u w:val="wave"/>
              </w:rPr>
              <w:tab/>
              <w:t>Risitë e ligjit nr. 133/2015, datë 5.12.2015, “</w:t>
            </w:r>
            <w:r w:rsidRPr="00EE2DE7">
              <w:rPr>
                <w:i/>
                <w:kern w:val="24"/>
                <w:u w:val="wave"/>
              </w:rPr>
              <w:t>Për trajtimin e pronës dhe përfundimin e procesit të kompensimit të pronave</w:t>
            </w:r>
            <w:r w:rsidRPr="00EE2DE7">
              <w:rPr>
                <w:kern w:val="24"/>
                <w:u w:val="wave"/>
              </w:rPr>
              <w:t>”. Problematikat e hasura në praktikën gjyqësore;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w:t>
            </w:r>
            <w:r w:rsidRPr="00EE2DE7">
              <w:rPr>
                <w:kern w:val="24"/>
                <w:u w:val="wave"/>
              </w:rPr>
              <w:tab/>
              <w:t>Shqyrtimi i mosmarrëveshjeve lidhur me zbatimin e tij.  Llojet e vendimeve që merr ATP-ja dhe ndarja e kompetencave mes gjykatave civile dhe administrative;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lastRenderedPageBreak/>
              <w:t>•</w:t>
            </w:r>
            <w:r w:rsidRPr="00EE2DE7">
              <w:rPr>
                <w:kern w:val="24"/>
                <w:u w:val="wave"/>
              </w:rPr>
              <w:tab/>
              <w:t>Shqyrtimi i mosmarrëveshjeve që lidhen me vendimet e dhëna nga ish-KKP-ja dhe ish-AKKP-ja;</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w:t>
            </w:r>
            <w:r w:rsidRPr="00EE2DE7">
              <w:rPr>
                <w:kern w:val="24"/>
                <w:u w:val="wave"/>
              </w:rPr>
              <w:tab/>
              <w:t>Parime të përgjithshme të njohjes dhe shpërblimit të drejtë të vuajtjeve të shkaktuara nga marrja dhe mbajtja e padrejtë e pronës;</w:t>
            </w:r>
            <w:r>
              <w:rPr>
                <w:kern w:val="24"/>
                <w:u w:val="wave"/>
              </w:rPr>
              <w:t xml:space="preserve"> </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kern w:val="24"/>
                <w:u w:val="wave"/>
              </w:rPr>
              <w:t>•</w:t>
            </w:r>
            <w:r w:rsidRPr="00EE2DE7">
              <w:rPr>
                <w:kern w:val="24"/>
                <w:u w:val="wave"/>
              </w:rPr>
              <w:tab/>
              <w:t>Metodologjia e vlerësimit të kompensimit.</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30-31 maj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Projekti i Këshillit të E</w:t>
            </w:r>
            <w:r>
              <w:rPr>
                <w:kern w:val="24"/>
                <w:u w:val="wave"/>
              </w:rPr>
              <w:t>u</w:t>
            </w:r>
            <w:r w:rsidRPr="00EE2DE7">
              <w:rPr>
                <w:kern w:val="24"/>
                <w:u w:val="wave"/>
              </w:rPr>
              <w:t>ropës për Krimin Kibernetik</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Krimi kibernetik.</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Evidentimi i krimit kibernetik;</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Procedimi Penal në rastet e krimit kibernetik: dëshmitë elektronike;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Të ardhurat nga krimi online;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rFonts w:eastAsia="Calibri"/>
                <w:kern w:val="24"/>
              </w:rPr>
              <w:t>•</w:t>
            </w:r>
            <w:r w:rsidRPr="00EE2DE7">
              <w:rPr>
                <w:rFonts w:eastAsia="Calibri"/>
                <w:kern w:val="24"/>
              </w:rPr>
              <w:tab/>
              <w:t>Përdorimi i internetit për qëllime terroriste.</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rPr>
              <w:t>31 maj – 1 qershor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Avokatura e Shtetit / SHM/KiE</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E drejta e pronës në këndvështrimin e jurisprudencës së GJEDNJ-së dhe problematika e legjislacionit dhe praktikës vendase.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w:t>
            </w:r>
            <w:r w:rsidRPr="00EE2DE7">
              <w:rPr>
                <w:kern w:val="24"/>
                <w:u w:val="wave"/>
              </w:rPr>
              <w:tab/>
              <w:t>Risitë e ligjit nr. 133/2015, datë 5.12.2015, “</w:t>
            </w:r>
            <w:r w:rsidRPr="00EE2DE7">
              <w:rPr>
                <w:i/>
                <w:kern w:val="24"/>
                <w:u w:val="wave"/>
              </w:rPr>
              <w:t>Për trajtimin e pronës dhe përfundimin e procesit të kompensimit të pronave</w:t>
            </w:r>
            <w:r w:rsidRPr="00EE2DE7">
              <w:rPr>
                <w:kern w:val="24"/>
                <w:u w:val="wave"/>
              </w:rPr>
              <w:t>”. Problematikat e hasura në praktikën gjyqësore;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w:t>
            </w:r>
            <w:r w:rsidRPr="00EE2DE7">
              <w:rPr>
                <w:kern w:val="24"/>
                <w:u w:val="wave"/>
              </w:rPr>
              <w:tab/>
              <w:t>Shqyrtimi i mosmarrëveshjeve lidhur me zbatimin e tij.  Llojet e vendimeve që merr ATP-ja dhe ndarja e kompetencave mes gjykatave civile dhe administrative;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w:t>
            </w:r>
            <w:r w:rsidRPr="00EE2DE7">
              <w:rPr>
                <w:kern w:val="24"/>
                <w:u w:val="wave"/>
              </w:rPr>
              <w:tab/>
              <w:t>Shqyrtimi i mosmarrëveshjeve që lidhen me vendimet e dhëna nga ish-KKP-ja dhe ish-AKKP-ja;</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w:t>
            </w:r>
            <w:r w:rsidRPr="00EE2DE7">
              <w:rPr>
                <w:kern w:val="24"/>
                <w:u w:val="wave"/>
              </w:rPr>
              <w:tab/>
              <w:t>Parime të përgjithshme të njohjes dhe shpërblimit të drejtë të vuajtjeve të shkaktuara nga marrja dhe mbajtja e padrejtë e pronës;</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w:t>
            </w:r>
            <w:r w:rsidRPr="00EE2DE7">
              <w:rPr>
                <w:kern w:val="24"/>
                <w:u w:val="wave"/>
              </w:rPr>
              <w:tab/>
              <w:t>Metodologjia e vlerësimit të kompensimit.</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tabs>
                <w:tab w:val="left" w:pos="735"/>
              </w:tabs>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rPr>
              <w:t>7-8 qershor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Avokatura e Shtetit / SHM/KiE</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E drejta e pronës në këndvështrimin e jurisprudencës së GJEDNJ-së dhe problematika e legjislacionit dhe praktikës vendase.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w:t>
            </w:r>
            <w:r w:rsidRPr="00EE2DE7">
              <w:rPr>
                <w:kern w:val="24"/>
                <w:u w:val="wave"/>
              </w:rPr>
              <w:tab/>
              <w:t>Risitë e ligjit nr. 133/2015, datë 05.12.2015 “Për trajtimin e pronës dhe përfundimin e procesit të kompensimit të pronave”. Problematikat e hasura në praktikën gjyqësore;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w:t>
            </w:r>
            <w:r w:rsidRPr="00EE2DE7">
              <w:rPr>
                <w:kern w:val="24"/>
                <w:u w:val="wave"/>
              </w:rPr>
              <w:tab/>
              <w:t>Shqyrtimi i mosmarrëveshjeve lidhur me zbatimin e tij.  Llojet e vendimeve që merr ATP-ja dhe ndarja e kompetencave mes gjykatave civile dhe administrative;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w:t>
            </w:r>
            <w:r w:rsidRPr="00EE2DE7">
              <w:rPr>
                <w:kern w:val="24"/>
                <w:u w:val="wave"/>
              </w:rPr>
              <w:tab/>
              <w:t>Shqyrtimi i mosmarrëveshjeve që lidhen me vendimet e dhëna nga ish-KKP-ja dhe ish-AKKP-ja;</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w:t>
            </w:r>
            <w:r w:rsidRPr="00EE2DE7">
              <w:rPr>
                <w:kern w:val="24"/>
                <w:u w:val="wave"/>
              </w:rPr>
              <w:tab/>
              <w:t>Parime të përgjithshme të njohjes dhe shpërblimit të drejtë të vuajtjeve të shkaktuara nga marrja dhe mbajtja e padrejtë e pronës;</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kern w:val="24"/>
                <w:u w:val="wave"/>
              </w:rPr>
              <w:t>•</w:t>
            </w:r>
            <w:r w:rsidRPr="00EE2DE7">
              <w:rPr>
                <w:kern w:val="24"/>
                <w:u w:val="wave"/>
              </w:rPr>
              <w:tab/>
              <w:t>Metodologjia e vlerësimit të kompensimit.</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12-13 qershor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SIDA</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b/>
                <w:i/>
                <w:kern w:val="24"/>
                <w:u w:val="single"/>
              </w:rPr>
            </w:pPr>
            <w:r w:rsidRPr="00EE2DE7">
              <w:rPr>
                <w:kern w:val="24"/>
                <w:u w:val="wave"/>
              </w:rPr>
              <w:t>Zbatimi i masës dhe shmangies dhe dënimet për të miturit në përputhje me Kodin e Drejtësisë Penale për të Miturit</w:t>
            </w:r>
            <w:r>
              <w:rPr>
                <w:kern w:val="24"/>
                <w:u w:val="wave"/>
              </w:rPr>
              <w:t xml:space="preserve">. </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tabs>
                <w:tab w:val="left" w:pos="750"/>
              </w:tabs>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rPr>
              <w:t xml:space="preserve">12-13 qershor </w:t>
            </w:r>
            <w:r w:rsidRPr="00EE2DE7">
              <w:rPr>
                <w:kern w:val="24"/>
              </w:rPr>
              <w:lastRenderedPageBreak/>
              <w:t>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lastRenderedPageBreak/>
              <w:t xml:space="preserve">Avokatura e Shtetit / </w:t>
            </w:r>
            <w:r w:rsidRPr="00EE2DE7">
              <w:rPr>
                <w:kern w:val="24"/>
                <w:u w:val="wave"/>
              </w:rPr>
              <w:lastRenderedPageBreak/>
              <w:t>SHM/KiE</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lastRenderedPageBreak/>
              <w:t xml:space="preserve">E drejta e pronës në këndvështrimin e jurisprudencës së GJEDNJ-së dhe problematika e legjislacionit dhe praktikës </w:t>
            </w:r>
            <w:r w:rsidRPr="00EE2DE7">
              <w:rPr>
                <w:kern w:val="24"/>
                <w:u w:val="wave"/>
              </w:rPr>
              <w:lastRenderedPageBreak/>
              <w:t>vendase.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w:t>
            </w:r>
            <w:r w:rsidRPr="00EE2DE7">
              <w:rPr>
                <w:kern w:val="24"/>
                <w:u w:val="wave"/>
              </w:rPr>
              <w:tab/>
              <w:t>Risitë e ligjit nr. 133/2015, datë 5.12.2015, “</w:t>
            </w:r>
            <w:r w:rsidRPr="00EE2DE7">
              <w:rPr>
                <w:i/>
                <w:kern w:val="24"/>
                <w:u w:val="wave"/>
              </w:rPr>
              <w:t>Për trajtimin e pronës dhe përfundimin e procesit të kompensimit të pronave</w:t>
            </w:r>
            <w:r w:rsidRPr="00EE2DE7">
              <w:rPr>
                <w:kern w:val="24"/>
                <w:u w:val="wave"/>
              </w:rPr>
              <w:t>”. Problematikat e hasura në praktikën gjyqësore;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w:t>
            </w:r>
            <w:r w:rsidRPr="00EE2DE7">
              <w:rPr>
                <w:kern w:val="24"/>
                <w:u w:val="wave"/>
              </w:rPr>
              <w:tab/>
              <w:t>Shqyrtimi i mosmarrëveshjeve lidhur me zbatimin e tij.  Llojet e vendimeve që merr ATP-ja dhe ndarja e kompetencave mes gjykatave civile dhe administrative;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w:t>
            </w:r>
            <w:r w:rsidRPr="00EE2DE7">
              <w:rPr>
                <w:kern w:val="24"/>
                <w:u w:val="wave"/>
              </w:rPr>
              <w:tab/>
              <w:t>Shqyrtimi i mosmarrëveshjeve që lidhen me vendimet e dhëna nga ish-KKP-ja dhe ish-AKKP-ja;</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w:t>
            </w:r>
            <w:r w:rsidRPr="00EE2DE7">
              <w:rPr>
                <w:kern w:val="24"/>
                <w:u w:val="wave"/>
              </w:rPr>
              <w:tab/>
              <w:t>Parime të përgjithshme të njohjes dhe shpërblimit të drejtë të vuajtjeve të shkaktuara nga marrja dhe mbajtja e padrejtë e pronës;</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w:t>
            </w:r>
            <w:r w:rsidRPr="00EE2DE7">
              <w:rPr>
                <w:kern w:val="24"/>
                <w:u w:val="wave"/>
              </w:rPr>
              <w:tab/>
              <w:t>Metodologjia e vlerësimit të kompensimit.</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18-19 qershor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Projekti i Këshillit të Europës për Krimin Kibernetik</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Krimi kibernetik.</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Evidentimi i krimit kibernetik;</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Procedimi Penal në rastet e krimit kibernetik: dëshmitë elektronike;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Të ardhurat nga krimi online;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Calibri"/>
                <w:kern w:val="24"/>
              </w:rPr>
              <w:t>Përdorimi i internetit për qëllime terroriste</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20-21 qershor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BERZH / KPMG</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Calibri"/>
                <w:color w:val="222222"/>
                <w:kern w:val="24"/>
              </w:rPr>
              <w:t>Mbi zbatimin e legjislacionit tatimor në Shqipëri.</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rPr>
            </w:pPr>
            <w:r w:rsidRPr="00EE2DE7">
              <w:rPr>
                <w:kern w:val="24"/>
              </w:rPr>
              <w:t>25-26 qershor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kern w:val="24"/>
                <w:u w:val="wave"/>
              </w:rPr>
              <w:t>SHM / IRZ</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lang w:eastAsia="sq-AL"/>
              </w:rPr>
            </w:pPr>
            <w:r w:rsidRPr="00EE2DE7">
              <w:rPr>
                <w:rFonts w:eastAsia="Calibri"/>
                <w:kern w:val="24"/>
                <w:lang w:eastAsia="sq-AL"/>
              </w:rPr>
              <w:t>Zbatimi i s</w:t>
            </w:r>
            <w:r w:rsidRPr="00EE2DE7">
              <w:rPr>
                <w:rFonts w:eastAsia="MS Mincho"/>
                <w:kern w:val="24"/>
              </w:rPr>
              <w:t>ë</w:t>
            </w:r>
            <w:r w:rsidRPr="00EE2DE7">
              <w:rPr>
                <w:rFonts w:eastAsia="Calibri"/>
                <w:kern w:val="24"/>
                <w:lang w:eastAsia="sq-AL"/>
              </w:rPr>
              <w:t xml:space="preserve"> drejt</w:t>
            </w:r>
            <w:r w:rsidRPr="00EE2DE7">
              <w:rPr>
                <w:rFonts w:eastAsia="MS Mincho"/>
                <w:kern w:val="24"/>
              </w:rPr>
              <w:t>ë</w:t>
            </w:r>
            <w:r w:rsidRPr="00EE2DE7">
              <w:rPr>
                <w:rFonts w:eastAsia="Calibri"/>
                <w:kern w:val="24"/>
                <w:lang w:eastAsia="sq-AL"/>
              </w:rPr>
              <w:t>s europiane nga gjykatat komb</w:t>
            </w:r>
            <w:r w:rsidRPr="00EE2DE7">
              <w:rPr>
                <w:rFonts w:eastAsia="MS Mincho"/>
                <w:kern w:val="24"/>
              </w:rPr>
              <w:t>ë</w:t>
            </w:r>
            <w:r w:rsidRPr="00EE2DE7">
              <w:rPr>
                <w:rFonts w:eastAsia="Calibri"/>
                <w:kern w:val="24"/>
                <w:lang w:eastAsia="sq-AL"/>
              </w:rPr>
              <w:t>tare.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lang w:eastAsia="sq-AL"/>
              </w:rPr>
            </w:pPr>
            <w:r w:rsidRPr="00EE2DE7">
              <w:rPr>
                <w:rFonts w:eastAsia="Calibri"/>
                <w:kern w:val="24"/>
                <w:lang w:eastAsia="sq-AL"/>
              </w:rPr>
              <w:t>•           Natyra dhe parimet e s</w:t>
            </w:r>
            <w:r w:rsidRPr="00EE2DE7">
              <w:rPr>
                <w:rFonts w:eastAsia="MS Mincho"/>
                <w:kern w:val="24"/>
              </w:rPr>
              <w:t>ë</w:t>
            </w:r>
            <w:r w:rsidRPr="00EE2DE7">
              <w:rPr>
                <w:rFonts w:eastAsia="Calibri"/>
                <w:kern w:val="24"/>
                <w:lang w:eastAsia="sq-AL"/>
              </w:rPr>
              <w:t xml:space="preserve"> drejt</w:t>
            </w:r>
            <w:r w:rsidRPr="00EE2DE7">
              <w:rPr>
                <w:rFonts w:eastAsia="MS Mincho"/>
                <w:kern w:val="24"/>
              </w:rPr>
              <w:t>ë</w:t>
            </w:r>
            <w:r w:rsidRPr="00EE2DE7">
              <w:rPr>
                <w:rFonts w:eastAsia="Calibri"/>
                <w:kern w:val="24"/>
                <w:lang w:eastAsia="sq-AL"/>
              </w:rPr>
              <w:t>s s</w:t>
            </w:r>
            <w:r w:rsidRPr="00EE2DE7">
              <w:rPr>
                <w:rFonts w:eastAsia="MS Mincho"/>
                <w:kern w:val="24"/>
              </w:rPr>
              <w:t>ë</w:t>
            </w:r>
            <w:r w:rsidRPr="00EE2DE7">
              <w:rPr>
                <w:rFonts w:eastAsia="Calibri"/>
                <w:kern w:val="24"/>
                <w:lang w:eastAsia="sq-AL"/>
              </w:rPr>
              <w:t xml:space="preserve"> BE-s</w:t>
            </w:r>
            <w:r w:rsidRPr="00EE2DE7">
              <w:rPr>
                <w:rFonts w:eastAsia="MS Mincho"/>
                <w:kern w:val="24"/>
              </w:rPr>
              <w:t>ë</w:t>
            </w:r>
            <w:r w:rsidRPr="00EE2DE7">
              <w:rPr>
                <w:rFonts w:eastAsia="Calibri"/>
                <w:kern w:val="24"/>
                <w:lang w:eastAsia="sq-AL"/>
              </w:rPr>
              <w:t xml:space="preserve"> sipas jurisprudenc</w:t>
            </w:r>
            <w:r w:rsidRPr="00EE2DE7">
              <w:rPr>
                <w:rFonts w:eastAsia="MS Mincho"/>
                <w:kern w:val="24"/>
              </w:rPr>
              <w:t>ë</w:t>
            </w:r>
            <w:r w:rsidRPr="00EE2DE7">
              <w:rPr>
                <w:rFonts w:eastAsia="Calibri"/>
                <w:kern w:val="24"/>
                <w:lang w:eastAsia="sq-AL"/>
              </w:rPr>
              <w:t>s s</w:t>
            </w:r>
            <w:r w:rsidRPr="00EE2DE7">
              <w:rPr>
                <w:rFonts w:eastAsia="MS Mincho"/>
                <w:kern w:val="24"/>
              </w:rPr>
              <w:t>ë</w:t>
            </w:r>
            <w:r w:rsidRPr="00EE2DE7">
              <w:rPr>
                <w:rFonts w:eastAsia="Calibri"/>
                <w:kern w:val="24"/>
                <w:lang w:eastAsia="sq-AL"/>
              </w:rPr>
              <w:t xml:space="preserve"> GJDBE-së;</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lang w:eastAsia="sq-AL"/>
              </w:rPr>
            </w:pPr>
            <w:r w:rsidRPr="00EE2DE7">
              <w:rPr>
                <w:rFonts w:eastAsia="Calibri"/>
                <w:kern w:val="24"/>
                <w:lang w:eastAsia="sq-AL"/>
              </w:rPr>
              <w:t>•         Procedurat paragjykimore;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lang w:eastAsia="sq-AL"/>
              </w:rPr>
            </w:pPr>
            <w:r w:rsidRPr="00EE2DE7">
              <w:rPr>
                <w:rFonts w:eastAsia="Calibri"/>
                <w:kern w:val="24"/>
                <w:lang w:eastAsia="sq-AL"/>
              </w:rPr>
              <w:t>•           Kush e bën referimin? Kuptimi i termit gjykatë apo tribunal;</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lang w:eastAsia="sq-AL"/>
              </w:rPr>
            </w:pPr>
            <w:r w:rsidRPr="00EE2DE7">
              <w:rPr>
                <w:rFonts w:eastAsia="Calibri"/>
                <w:kern w:val="24"/>
                <w:lang w:eastAsia="sq-AL"/>
              </w:rPr>
              <w:t>•           Faza e gjykimit kur mund të bëhet referimi;</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lang w:eastAsia="sq-AL"/>
              </w:rPr>
            </w:pPr>
            <w:r w:rsidRPr="00EE2DE7">
              <w:rPr>
                <w:rFonts w:eastAsia="Calibri"/>
                <w:kern w:val="24"/>
                <w:lang w:eastAsia="sq-AL"/>
              </w:rPr>
              <w:t>•           Cilat janë detyrat kryesore që kryen gjyqtari kombëtar (forma dhe cilësia e pyetjeve, radha dhe forma e tyre etj.);</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lang w:eastAsia="sq-AL"/>
              </w:rPr>
            </w:pPr>
            <w:r w:rsidRPr="00EE2DE7">
              <w:rPr>
                <w:rFonts w:eastAsia="Calibri"/>
                <w:kern w:val="24"/>
                <w:lang w:eastAsia="sq-AL"/>
              </w:rPr>
              <w:t>•           Detyrat e Gjykatës Europiane të të Drejtave të Njeriut;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lang w:eastAsia="sq-AL"/>
              </w:rPr>
            </w:pPr>
            <w:r w:rsidRPr="00EE2DE7">
              <w:rPr>
                <w:rFonts w:eastAsia="Calibri"/>
                <w:kern w:val="24"/>
                <w:lang w:eastAsia="sq-AL"/>
              </w:rPr>
              <w:t>•           Përkthimi dhe komunikimi me palët,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lang w:eastAsia="sq-AL"/>
              </w:rPr>
            </w:pPr>
            <w:r w:rsidRPr="00EE2DE7">
              <w:rPr>
                <w:rFonts w:eastAsia="Calibri"/>
                <w:kern w:val="24"/>
                <w:lang w:eastAsia="sq-AL"/>
              </w:rPr>
              <w:t>•           Institucionet e BE-së dhe shtetet anëtare;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Calibri"/>
                <w:kern w:val="24"/>
                <w:lang w:eastAsia="sq-AL"/>
              </w:rPr>
              <w:t>•           Faza me shkrim dhe me gojë. Roli i avokatit të përgjithshëm; Rëndësia e vendimeve t</w:t>
            </w:r>
            <w:r w:rsidRPr="00EE2DE7">
              <w:rPr>
                <w:rFonts w:eastAsia="MS Mincho"/>
                <w:kern w:val="24"/>
              </w:rPr>
              <w:t>ë</w:t>
            </w:r>
            <w:r w:rsidRPr="00EE2DE7">
              <w:rPr>
                <w:rFonts w:eastAsia="Calibri"/>
                <w:kern w:val="24"/>
                <w:lang w:eastAsia="sq-AL"/>
              </w:rPr>
              <w:t xml:space="preserve"> GJDBE-s</w:t>
            </w:r>
            <w:r w:rsidRPr="00EE2DE7">
              <w:rPr>
                <w:rFonts w:eastAsia="MS Mincho"/>
                <w:kern w:val="24"/>
              </w:rPr>
              <w:t>ë</w:t>
            </w:r>
            <w:r w:rsidRPr="00EE2DE7">
              <w:rPr>
                <w:rFonts w:eastAsia="Calibri"/>
                <w:kern w:val="24"/>
              </w:rPr>
              <w:t>.</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27 qershor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KiE</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kern w:val="24"/>
                <w:u w:val="wave"/>
              </w:rPr>
              <w:t>Gjykata, prokuroria dhe media, tre aktorë mbështetës të sistemit të drejtësisë, të drejtave të palëve në proces dhe interesit publik për të marrë informacion. Magjistrati i shtypit përballë gazetarit. Kufijtë e detyrës dhe rregullat e etikës.</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tabs>
                <w:tab w:val="left" w:pos="750"/>
              </w:tabs>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27-28 qershor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 / BERZH / KPMG</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lang w:eastAsia="en-GB"/>
              </w:rPr>
            </w:pPr>
            <w:r w:rsidRPr="00EE2DE7">
              <w:rPr>
                <w:rFonts w:eastAsia="Times New Roman"/>
                <w:kern w:val="24"/>
              </w:rPr>
              <w:t>Mbi zbatimin e legjislacionit tatimor në Shqipëri.</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28 qershor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KiE</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lang w:eastAsia="en-GB"/>
              </w:rPr>
            </w:pPr>
            <w:r w:rsidRPr="00EE2DE7">
              <w:rPr>
                <w:rFonts w:eastAsia="Times New Roman"/>
                <w:kern w:val="24"/>
                <w:lang w:eastAsia="en-GB"/>
              </w:rPr>
              <w:t>Raporti i gjykatës dhe prokurorisë me median. Roli i magjistratit të shtypit në balancimin e interesit të palëve në proces dhe interesit publik për të marrë informacion. Kufijtë etikë dhe profesional (pjes</w:t>
            </w:r>
            <w:r w:rsidRPr="00EE2DE7">
              <w:rPr>
                <w:rFonts w:eastAsia="MS Mincho"/>
                <w:kern w:val="24"/>
              </w:rPr>
              <w:t>ë</w:t>
            </w:r>
            <w:r w:rsidRPr="00EE2DE7">
              <w:rPr>
                <w:rFonts w:eastAsia="Times New Roman"/>
                <w:kern w:val="24"/>
                <w:lang w:eastAsia="en-GB"/>
              </w:rPr>
              <w:t>marr</w:t>
            </w:r>
            <w:r w:rsidRPr="00EE2DE7">
              <w:rPr>
                <w:rFonts w:eastAsia="MS Mincho"/>
                <w:kern w:val="24"/>
              </w:rPr>
              <w:t>ë</w:t>
            </w:r>
            <w:r w:rsidRPr="00EE2DE7">
              <w:rPr>
                <w:rFonts w:eastAsia="Times New Roman"/>
                <w:kern w:val="24"/>
                <w:lang w:eastAsia="en-GB"/>
              </w:rPr>
              <w:t>s gjyqtar</w:t>
            </w:r>
            <w:r w:rsidRPr="00EE2DE7">
              <w:rPr>
                <w:rFonts w:eastAsia="MS Mincho"/>
                <w:kern w:val="24"/>
              </w:rPr>
              <w:t>ë</w:t>
            </w:r>
            <w:r w:rsidRPr="00EE2DE7">
              <w:rPr>
                <w:rFonts w:eastAsia="Times New Roman"/>
                <w:kern w:val="24"/>
                <w:lang w:eastAsia="en-GB"/>
              </w:rPr>
              <w:t>)</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28-29 qershor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PAMECA V</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Raporti prokurori-gjykatë për mënyrën e përfundimit të hetimeve paraprake.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•Roli i prokurorit në drejtimin dhe kontrollin e hetimeve paraprake;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•K</w:t>
            </w:r>
            <w:r w:rsidRPr="00EE2DE7">
              <w:rPr>
                <w:rFonts w:eastAsia="MS Mincho"/>
                <w:kern w:val="24"/>
              </w:rPr>
              <w:t>ë</w:t>
            </w:r>
            <w:r w:rsidRPr="00EE2DE7">
              <w:rPr>
                <w:kern w:val="24"/>
                <w:u w:val="wave"/>
              </w:rPr>
              <w:t>rkesa p</w:t>
            </w:r>
            <w:r w:rsidRPr="00EE2DE7">
              <w:rPr>
                <w:rFonts w:eastAsia="MS Mincho"/>
                <w:kern w:val="24"/>
              </w:rPr>
              <w:t>ë</w:t>
            </w:r>
            <w:r w:rsidRPr="00EE2DE7">
              <w:rPr>
                <w:kern w:val="24"/>
                <w:u w:val="wave"/>
              </w:rPr>
              <w:t>r gjykim e prokurorit dhe seanca paraprake. Pavlefshm</w:t>
            </w:r>
            <w:r w:rsidRPr="00EE2DE7">
              <w:rPr>
                <w:rFonts w:eastAsia="MS Mincho"/>
                <w:kern w:val="24"/>
              </w:rPr>
              <w:t>ë</w:t>
            </w:r>
            <w:r w:rsidRPr="00EE2DE7">
              <w:rPr>
                <w:kern w:val="24"/>
                <w:u w:val="wave"/>
              </w:rPr>
              <w:t>rit</w:t>
            </w:r>
            <w:r w:rsidRPr="00EE2DE7">
              <w:rPr>
                <w:rFonts w:eastAsia="MS Mincho"/>
                <w:kern w:val="24"/>
              </w:rPr>
              <w:t>ë</w:t>
            </w:r>
            <w:r w:rsidRPr="00EE2DE7">
              <w:rPr>
                <w:kern w:val="24"/>
                <w:u w:val="wave"/>
              </w:rPr>
              <w:t xml:space="preserve"> e akteve dhe shqyrtimi i tyre gjat</w:t>
            </w:r>
            <w:r w:rsidRPr="00EE2DE7">
              <w:rPr>
                <w:rFonts w:eastAsia="MS Mincho"/>
                <w:kern w:val="24"/>
              </w:rPr>
              <w:t>ë</w:t>
            </w:r>
            <w:r w:rsidRPr="00EE2DE7">
              <w:rPr>
                <w:kern w:val="24"/>
                <w:u w:val="wave"/>
              </w:rPr>
              <w:t xml:space="preserve"> k</w:t>
            </w:r>
            <w:r w:rsidRPr="00EE2DE7">
              <w:rPr>
                <w:rFonts w:eastAsia="MS Mincho"/>
                <w:kern w:val="24"/>
              </w:rPr>
              <w:t>ë</w:t>
            </w:r>
            <w:r w:rsidRPr="00EE2DE7">
              <w:rPr>
                <w:kern w:val="24"/>
                <w:u w:val="wave"/>
              </w:rPr>
              <w:t>saj seance.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•Kontrolli gjyqësor gjatë fazës së hetimeve paraprake;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Dita e dytë:</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Kontrolli juridiksional mbi ushtrimin e ndjekjes penale. Karakteristikat thelb</w:t>
            </w:r>
            <w:r w:rsidRPr="00EE2DE7">
              <w:rPr>
                <w:rFonts w:eastAsia="MS Mincho"/>
                <w:kern w:val="24"/>
              </w:rPr>
              <w:t>ë</w:t>
            </w:r>
            <w:r w:rsidRPr="00EE2DE7">
              <w:rPr>
                <w:kern w:val="24"/>
                <w:u w:val="wave"/>
              </w:rPr>
              <w:t>sore t</w:t>
            </w:r>
            <w:r w:rsidRPr="00EE2DE7">
              <w:rPr>
                <w:rFonts w:eastAsia="MS Mincho"/>
                <w:kern w:val="24"/>
              </w:rPr>
              <w:t>ë</w:t>
            </w:r>
            <w:r w:rsidRPr="00EE2DE7">
              <w:rPr>
                <w:kern w:val="24"/>
                <w:u w:val="wave"/>
              </w:rPr>
              <w:t xml:space="preserve"> saj - detyrueshm</w:t>
            </w:r>
            <w:r w:rsidRPr="00EE2DE7">
              <w:rPr>
                <w:rFonts w:eastAsia="MS Mincho"/>
                <w:kern w:val="24"/>
              </w:rPr>
              <w:t>ë</w:t>
            </w:r>
            <w:r w:rsidRPr="00EE2DE7">
              <w:rPr>
                <w:kern w:val="24"/>
                <w:u w:val="wave"/>
              </w:rPr>
              <w:t>ria dhe pakthyeshm</w:t>
            </w:r>
            <w:r w:rsidRPr="00EE2DE7">
              <w:rPr>
                <w:rFonts w:eastAsia="MS Mincho"/>
                <w:kern w:val="24"/>
              </w:rPr>
              <w:t>ë</w:t>
            </w:r>
            <w:r w:rsidRPr="00EE2DE7">
              <w:rPr>
                <w:kern w:val="24"/>
                <w:u w:val="wave"/>
              </w:rPr>
              <w:t>ria. Kontrolli mbi mosushtrimin e ndjekjes penale nga prokurori. Raporti i prokurorit me policinë gjyqësore, veprimet me iniciativë dhe ato të deleguara.</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29 qershor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KiE</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rFonts w:eastAsia="Times New Roman"/>
                <w:kern w:val="24"/>
                <w:lang w:eastAsia="en-GB"/>
              </w:rPr>
              <w:t>Raporti i gjykatës dhe prokurorisë me median. Roli i magjistratit të shtypit në balancimin e interesit të palëve në proces dhe interesit publik për të marrë informacion. Kufijtë etikë dhe profesional</w:t>
            </w:r>
            <w:r w:rsidRPr="00EE2DE7">
              <w:rPr>
                <w:rFonts w:eastAsia="MS Mincho"/>
                <w:kern w:val="24"/>
              </w:rPr>
              <w:t>ë</w:t>
            </w:r>
            <w:r w:rsidRPr="00EE2DE7">
              <w:rPr>
                <w:rFonts w:eastAsia="Times New Roman"/>
                <w:kern w:val="24"/>
                <w:lang w:eastAsia="en-GB"/>
              </w:rPr>
              <w:t xml:space="preserve"> (pjes</w:t>
            </w:r>
            <w:r w:rsidRPr="00EE2DE7">
              <w:rPr>
                <w:rFonts w:eastAsia="MS Mincho"/>
                <w:kern w:val="24"/>
              </w:rPr>
              <w:t>ë</w:t>
            </w:r>
            <w:r w:rsidRPr="00EE2DE7">
              <w:rPr>
                <w:rFonts w:eastAsia="Times New Roman"/>
                <w:kern w:val="24"/>
                <w:lang w:eastAsia="en-GB"/>
              </w:rPr>
              <w:t>marr</w:t>
            </w:r>
            <w:r w:rsidRPr="00EE2DE7">
              <w:rPr>
                <w:rFonts w:eastAsia="MS Mincho"/>
                <w:kern w:val="24"/>
              </w:rPr>
              <w:t>ë</w:t>
            </w:r>
            <w:r w:rsidRPr="00EE2DE7">
              <w:rPr>
                <w:rFonts w:eastAsia="Times New Roman"/>
                <w:kern w:val="24"/>
                <w:lang w:eastAsia="en-GB"/>
              </w:rPr>
              <w:t>s prokuror</w:t>
            </w:r>
            <w:r w:rsidRPr="00EE2DE7">
              <w:rPr>
                <w:rFonts w:eastAsia="MS Mincho"/>
                <w:kern w:val="24"/>
              </w:rPr>
              <w:t>ë</w:t>
            </w:r>
            <w:r w:rsidRPr="00EE2DE7">
              <w:rPr>
                <w:rFonts w:eastAsia="Times New Roman"/>
                <w:kern w:val="24"/>
                <w:lang w:eastAsia="en-GB"/>
              </w:rPr>
              <w:t xml:space="preserve">). </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rPr>
            </w:pPr>
            <w:r w:rsidRPr="00EE2DE7">
              <w:rPr>
                <w:kern w:val="24"/>
              </w:rPr>
              <w:t>9 korrik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 / Min Mbrojtjes / European Centre / Save the Children</w:t>
            </w:r>
          </w:p>
        </w:tc>
        <w:tc>
          <w:tcPr>
            <w:tcW w:w="6300" w:type="dxa"/>
          </w:tcPr>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Standardet e GJEDNJ-s</w:t>
            </w:r>
            <w:r w:rsidRPr="00EE2DE7">
              <w:rPr>
                <w:rFonts w:eastAsia="MS Mincho"/>
                <w:kern w:val="24"/>
              </w:rPr>
              <w:t>ë</w:t>
            </w:r>
            <w:r w:rsidRPr="00EE2DE7">
              <w:rPr>
                <w:rFonts w:eastAsia="Times New Roman"/>
                <w:kern w:val="24"/>
              </w:rPr>
              <w:t xml:space="preserve"> n</w:t>
            </w:r>
            <w:r w:rsidRPr="00EE2DE7">
              <w:rPr>
                <w:rFonts w:eastAsia="MS Mincho"/>
                <w:kern w:val="24"/>
              </w:rPr>
              <w:t>ë</w:t>
            </w:r>
            <w:r w:rsidRPr="00EE2DE7">
              <w:rPr>
                <w:rFonts w:eastAsia="Times New Roman"/>
                <w:kern w:val="24"/>
              </w:rPr>
              <w:t xml:space="preserve"> lidhje me azilin dhe migracionin e paligjsh</w:t>
            </w:r>
            <w:r w:rsidRPr="00EE2DE7">
              <w:rPr>
                <w:rFonts w:eastAsia="MS Mincho"/>
                <w:kern w:val="24"/>
              </w:rPr>
              <w:t>ë</w:t>
            </w:r>
            <w:r w:rsidRPr="00EE2DE7">
              <w:rPr>
                <w:rFonts w:eastAsia="Times New Roman"/>
                <w:kern w:val="24"/>
              </w:rPr>
              <w:t>m.</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10 korrik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Min Mbrojtjes / European Centre / Save the Children</w:t>
            </w:r>
          </w:p>
        </w:tc>
        <w:tc>
          <w:tcPr>
            <w:tcW w:w="6300" w:type="dxa"/>
          </w:tcPr>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Standardet e GJEDNJ-s</w:t>
            </w:r>
            <w:r w:rsidRPr="00EE2DE7">
              <w:rPr>
                <w:rFonts w:eastAsia="MS Mincho"/>
                <w:kern w:val="24"/>
              </w:rPr>
              <w:t>ë</w:t>
            </w:r>
            <w:r w:rsidRPr="00EE2DE7">
              <w:rPr>
                <w:rFonts w:eastAsia="Times New Roman"/>
                <w:kern w:val="24"/>
              </w:rPr>
              <w:t xml:space="preserve"> n</w:t>
            </w:r>
            <w:r w:rsidRPr="00EE2DE7">
              <w:rPr>
                <w:rFonts w:eastAsia="MS Mincho"/>
                <w:kern w:val="24"/>
              </w:rPr>
              <w:t>ë</w:t>
            </w:r>
            <w:r w:rsidRPr="00EE2DE7">
              <w:rPr>
                <w:rFonts w:eastAsia="Times New Roman"/>
                <w:kern w:val="24"/>
              </w:rPr>
              <w:t xml:space="preserve"> lidhje me azilin dhe migracionin e paligjsh</w:t>
            </w:r>
            <w:r w:rsidRPr="00EE2DE7">
              <w:rPr>
                <w:rFonts w:eastAsia="MS Mincho"/>
                <w:kern w:val="24"/>
              </w:rPr>
              <w:t>ë</w:t>
            </w:r>
            <w:r w:rsidRPr="00EE2DE7">
              <w:rPr>
                <w:rFonts w:eastAsia="Times New Roman"/>
                <w:kern w:val="24"/>
              </w:rPr>
              <w:t xml:space="preserve">m. </w:t>
            </w:r>
          </w:p>
        </w:tc>
      </w:tr>
    </w:tbl>
    <w:p w:rsidR="008D2205" w:rsidRDefault="008D2205" w:rsidP="008D2205">
      <w:pPr>
        <w:spacing w:line="276" w:lineRule="auto"/>
        <w:jc w:val="both"/>
        <w:rPr>
          <w:b/>
          <w:color w:val="CC9966" w:themeColor="accent2"/>
          <w:sz w:val="32"/>
        </w:rPr>
      </w:pPr>
    </w:p>
    <w:p w:rsidR="00D77236" w:rsidRPr="00D77236" w:rsidRDefault="00D77236" w:rsidP="00D77236">
      <w:pPr>
        <w:spacing w:line="276" w:lineRule="auto"/>
        <w:jc w:val="both"/>
        <w:rPr>
          <w:b/>
          <w:noProof/>
          <w:color w:val="CC9966" w:themeColor="accent2"/>
          <w:sz w:val="32"/>
          <w:lang w:eastAsia="en-US"/>
        </w:rPr>
      </w:pPr>
      <w:r w:rsidRPr="00D77236">
        <w:rPr>
          <w:b/>
          <w:noProof/>
          <w:color w:val="CC9966" w:themeColor="accent2"/>
          <w:sz w:val="32"/>
          <w:lang w:eastAsia="en-US"/>
        </w:rPr>
        <w:t>3.2 Takime pune/konferenca/seminare dhe vizita studimore gjatë vitit akademik 2017-2018</w:t>
      </w:r>
    </w:p>
    <w:p w:rsidR="00D77236" w:rsidRPr="00403656" w:rsidRDefault="00D77236" w:rsidP="005C2687">
      <w:pPr>
        <w:pStyle w:val="NoSpacing"/>
        <w:numPr>
          <w:ilvl w:val="0"/>
          <w:numId w:val="36"/>
        </w:numPr>
        <w:spacing w:line="276" w:lineRule="auto"/>
        <w:jc w:val="both"/>
        <w:rPr>
          <w:rFonts w:ascii="Times New Roman" w:hAnsi="Times New Roman"/>
          <w:b/>
          <w:color w:val="0070C0"/>
          <w:sz w:val="24"/>
          <w:szCs w:val="24"/>
          <w:shd w:val="clear" w:color="auto" w:fill="FFFFFF"/>
          <w:lang w:val="sq-AL"/>
        </w:rPr>
      </w:pPr>
      <w:r>
        <w:rPr>
          <w:rFonts w:ascii="Times New Roman" w:hAnsi="Times New Roman"/>
          <w:b/>
          <w:color w:val="0070C0"/>
          <w:sz w:val="24"/>
          <w:szCs w:val="24"/>
          <w:shd w:val="clear" w:color="auto" w:fill="FFFFFF"/>
          <w:lang w:val="sq-AL"/>
        </w:rPr>
        <w:t>Ceremonia e 20-</w:t>
      </w:r>
      <w:r w:rsidRPr="00403656">
        <w:rPr>
          <w:rFonts w:ascii="Times New Roman" w:hAnsi="Times New Roman"/>
          <w:b/>
          <w:color w:val="0070C0"/>
          <w:sz w:val="24"/>
          <w:szCs w:val="24"/>
          <w:shd w:val="clear" w:color="auto" w:fill="FFFFFF"/>
          <w:lang w:val="sq-AL"/>
        </w:rPr>
        <w:t>vjetorit të veprimtarisë akademike të Shkollës së Magjistraturës</w:t>
      </w:r>
    </w:p>
    <w:p w:rsidR="00D77236" w:rsidRPr="00EE2DE7" w:rsidRDefault="00D77236" w:rsidP="00D77236">
      <w:pPr>
        <w:pStyle w:val="NoSpacing"/>
        <w:spacing w:line="276" w:lineRule="auto"/>
        <w:jc w:val="both"/>
        <w:rPr>
          <w:rFonts w:asciiTheme="minorHAnsi" w:hAnsiTheme="minorHAnsi" w:cstheme="minorHAnsi"/>
          <w:shd w:val="clear" w:color="auto" w:fill="FFFFFF"/>
          <w:lang w:val="sq-AL"/>
        </w:rPr>
      </w:pPr>
    </w:p>
    <w:p w:rsidR="00D77236" w:rsidRDefault="00D77236" w:rsidP="00D77236">
      <w:pPr>
        <w:pStyle w:val="NoSpacing"/>
        <w:spacing w:line="276" w:lineRule="auto"/>
        <w:jc w:val="both"/>
        <w:rPr>
          <w:rFonts w:ascii="Times New Roman" w:hAnsi="Times New Roman"/>
          <w:sz w:val="24"/>
          <w:szCs w:val="24"/>
          <w:lang w:val="sq-AL"/>
        </w:rPr>
      </w:pPr>
      <w:r>
        <w:rPr>
          <w:rFonts w:ascii="Times New Roman" w:hAnsi="Times New Roman"/>
          <w:sz w:val="24"/>
          <w:szCs w:val="24"/>
          <w:shd w:val="clear" w:color="auto" w:fill="FFFFFF"/>
          <w:lang w:val="sq-AL"/>
        </w:rPr>
        <w:t>Në kuadër të kremtimit të 20-</w:t>
      </w:r>
      <w:r w:rsidRPr="00EE2DE7">
        <w:rPr>
          <w:rFonts w:ascii="Times New Roman" w:hAnsi="Times New Roman"/>
          <w:sz w:val="24"/>
          <w:szCs w:val="24"/>
          <w:shd w:val="clear" w:color="auto" w:fill="FFFFFF"/>
          <w:lang w:val="sq-AL"/>
        </w:rPr>
        <w:t>vjetorit të fillimit të veprimtarisë akademike të saj, Shkolla e Magjistraturës organizoi eventin me titull “</w:t>
      </w:r>
      <w:r w:rsidRPr="008B3E33">
        <w:rPr>
          <w:rFonts w:ascii="Times New Roman" w:hAnsi="Times New Roman"/>
          <w:i/>
          <w:sz w:val="24"/>
          <w:szCs w:val="24"/>
          <w:shd w:val="clear" w:color="auto" w:fill="FFFFFF"/>
          <w:lang w:val="sq-AL"/>
        </w:rPr>
        <w:t xml:space="preserve">Magjistratura në </w:t>
      </w:r>
      <w:r>
        <w:rPr>
          <w:rFonts w:ascii="Times New Roman" w:hAnsi="Times New Roman"/>
          <w:i/>
          <w:sz w:val="24"/>
          <w:szCs w:val="24"/>
          <w:shd w:val="clear" w:color="auto" w:fill="FFFFFF"/>
          <w:lang w:val="sq-AL"/>
        </w:rPr>
        <w:t>p</w:t>
      </w:r>
      <w:r w:rsidRPr="008B3E33">
        <w:rPr>
          <w:rFonts w:ascii="Times New Roman" w:hAnsi="Times New Roman"/>
          <w:i/>
          <w:sz w:val="24"/>
          <w:szCs w:val="24"/>
          <w:shd w:val="clear" w:color="auto" w:fill="FFFFFF"/>
          <w:lang w:val="sq-AL"/>
        </w:rPr>
        <w:t xml:space="preserve">erspektivën </w:t>
      </w:r>
      <w:r>
        <w:rPr>
          <w:rFonts w:ascii="Times New Roman" w:hAnsi="Times New Roman"/>
          <w:i/>
          <w:sz w:val="24"/>
          <w:szCs w:val="24"/>
          <w:shd w:val="clear" w:color="auto" w:fill="FFFFFF"/>
          <w:lang w:val="sq-AL"/>
        </w:rPr>
        <w:t>e</w:t>
      </w:r>
      <w:r w:rsidRPr="008B3E33">
        <w:rPr>
          <w:rFonts w:ascii="Times New Roman" w:hAnsi="Times New Roman"/>
          <w:i/>
          <w:sz w:val="24"/>
          <w:szCs w:val="24"/>
          <w:shd w:val="clear" w:color="auto" w:fill="FFFFFF"/>
          <w:lang w:val="sq-AL"/>
        </w:rPr>
        <w:t>uropiane</w:t>
      </w:r>
      <w:r w:rsidRPr="00EE2DE7">
        <w:rPr>
          <w:rFonts w:ascii="Times New Roman" w:hAnsi="Times New Roman"/>
          <w:sz w:val="24"/>
          <w:szCs w:val="24"/>
          <w:shd w:val="clear" w:color="auto" w:fill="FFFFFF"/>
          <w:lang w:val="sq-AL"/>
        </w:rPr>
        <w:t>”. </w:t>
      </w:r>
      <w:r w:rsidRPr="00EE2DE7">
        <w:rPr>
          <w:rFonts w:ascii="Times New Roman" w:hAnsi="Times New Roman"/>
          <w:sz w:val="24"/>
          <w:szCs w:val="24"/>
          <w:lang w:val="sq-AL"/>
        </w:rPr>
        <w:br/>
      </w:r>
      <w:r w:rsidRPr="00EE2DE7">
        <w:rPr>
          <w:rFonts w:ascii="Times New Roman" w:hAnsi="Times New Roman"/>
          <w:sz w:val="24"/>
          <w:szCs w:val="24"/>
          <w:shd w:val="clear" w:color="auto" w:fill="FFFFFF"/>
          <w:lang w:val="sq-AL"/>
        </w:rPr>
        <w:t xml:space="preserve">Aktiviteti u zhvillua në </w:t>
      </w:r>
      <w:r>
        <w:rPr>
          <w:rFonts w:ascii="Times New Roman" w:hAnsi="Times New Roman"/>
          <w:sz w:val="24"/>
          <w:szCs w:val="24"/>
          <w:shd w:val="clear" w:color="auto" w:fill="FFFFFF"/>
          <w:lang w:val="sq-AL"/>
        </w:rPr>
        <w:t>h</w:t>
      </w:r>
      <w:r w:rsidRPr="00EE2DE7">
        <w:rPr>
          <w:rFonts w:ascii="Times New Roman" w:hAnsi="Times New Roman"/>
          <w:sz w:val="24"/>
          <w:szCs w:val="24"/>
          <w:shd w:val="clear" w:color="auto" w:fill="FFFFFF"/>
          <w:lang w:val="sq-AL"/>
        </w:rPr>
        <w:t xml:space="preserve">otel </w:t>
      </w:r>
      <w:r>
        <w:rPr>
          <w:rFonts w:ascii="Times New Roman" w:hAnsi="Times New Roman"/>
          <w:sz w:val="24"/>
          <w:szCs w:val="24"/>
          <w:shd w:val="clear" w:color="auto" w:fill="FFFFFF"/>
          <w:lang w:val="sq-AL"/>
        </w:rPr>
        <w:t>“</w:t>
      </w:r>
      <w:r w:rsidRPr="00A07C6C">
        <w:rPr>
          <w:rFonts w:ascii="Times New Roman" w:hAnsi="Times New Roman"/>
          <w:i/>
          <w:sz w:val="24"/>
          <w:szCs w:val="24"/>
          <w:shd w:val="clear" w:color="auto" w:fill="FFFFFF"/>
          <w:lang w:val="sq-AL"/>
        </w:rPr>
        <w:t>Rogner</w:t>
      </w:r>
      <w:r>
        <w:rPr>
          <w:rFonts w:ascii="Times New Roman" w:hAnsi="Times New Roman"/>
          <w:sz w:val="24"/>
          <w:szCs w:val="24"/>
          <w:shd w:val="clear" w:color="auto" w:fill="FFFFFF"/>
          <w:lang w:val="sq-AL"/>
        </w:rPr>
        <w:t>”, në datën 2 t</w:t>
      </w:r>
      <w:r w:rsidRPr="00EE2DE7">
        <w:rPr>
          <w:rFonts w:ascii="Times New Roman" w:hAnsi="Times New Roman"/>
          <w:sz w:val="24"/>
          <w:szCs w:val="24"/>
          <w:shd w:val="clear" w:color="auto" w:fill="FFFFFF"/>
          <w:lang w:val="sq-AL"/>
        </w:rPr>
        <w:t xml:space="preserve">etor, me pjesëmarrjen e personaliteteve të shumta të vendit dhe të huaj si dhe drejtues të institucioneve kryesore shtetërore. Ndër të ftuarit kryesorë, të cilët përshëndetën këtë përvjetor të rëndësishëm të shkollës ishin: </w:t>
      </w:r>
      <w:r>
        <w:rPr>
          <w:rFonts w:ascii="Times New Roman" w:hAnsi="Times New Roman"/>
          <w:sz w:val="24"/>
          <w:szCs w:val="24"/>
          <w:shd w:val="clear" w:color="auto" w:fill="FFFFFF"/>
          <w:lang w:val="sq-AL"/>
        </w:rPr>
        <w:t>z</w:t>
      </w:r>
      <w:r w:rsidRPr="00EE2DE7">
        <w:rPr>
          <w:rFonts w:ascii="Times New Roman" w:hAnsi="Times New Roman"/>
          <w:sz w:val="24"/>
          <w:szCs w:val="24"/>
          <w:shd w:val="clear" w:color="auto" w:fill="FFFFFF"/>
          <w:lang w:val="sq-AL"/>
        </w:rPr>
        <w:t>. Xhezair Zaganjori, Kryetar i Gjykatës së Lartë dhe i Këshillit Drejtues të Shkollës, Ambasadorja e Delegacionit të Bashkimit E</w:t>
      </w:r>
      <w:r>
        <w:rPr>
          <w:rFonts w:ascii="Times New Roman" w:hAnsi="Times New Roman"/>
          <w:sz w:val="24"/>
          <w:szCs w:val="24"/>
          <w:shd w:val="clear" w:color="auto" w:fill="FFFFFF"/>
          <w:lang w:val="sq-AL"/>
        </w:rPr>
        <w:t>u</w:t>
      </w:r>
      <w:r w:rsidRPr="00EE2DE7">
        <w:rPr>
          <w:rFonts w:ascii="Times New Roman" w:hAnsi="Times New Roman"/>
          <w:sz w:val="24"/>
          <w:szCs w:val="24"/>
          <w:shd w:val="clear" w:color="auto" w:fill="FFFFFF"/>
          <w:lang w:val="sq-AL"/>
        </w:rPr>
        <w:t xml:space="preserve">ropian, </w:t>
      </w:r>
      <w:r>
        <w:rPr>
          <w:rFonts w:ascii="Times New Roman" w:hAnsi="Times New Roman"/>
          <w:sz w:val="24"/>
          <w:szCs w:val="24"/>
          <w:shd w:val="clear" w:color="auto" w:fill="FFFFFF"/>
          <w:lang w:val="sq-AL"/>
        </w:rPr>
        <w:t>zn</w:t>
      </w:r>
      <w:r w:rsidRPr="00EE2DE7">
        <w:rPr>
          <w:rFonts w:ascii="Times New Roman" w:hAnsi="Times New Roman"/>
          <w:sz w:val="24"/>
          <w:szCs w:val="24"/>
          <w:shd w:val="clear" w:color="auto" w:fill="FFFFFF"/>
          <w:lang w:val="sq-AL"/>
        </w:rPr>
        <w:t>j. Romana Vlahutin, Kreu i Zyrës së Këshillit të E</w:t>
      </w:r>
      <w:r>
        <w:rPr>
          <w:rFonts w:ascii="Times New Roman" w:hAnsi="Times New Roman"/>
          <w:sz w:val="24"/>
          <w:szCs w:val="24"/>
          <w:shd w:val="clear" w:color="auto" w:fill="FFFFFF"/>
          <w:lang w:val="sq-AL"/>
        </w:rPr>
        <w:t>u</w:t>
      </w:r>
      <w:r w:rsidRPr="00EE2DE7">
        <w:rPr>
          <w:rFonts w:ascii="Times New Roman" w:hAnsi="Times New Roman"/>
          <w:sz w:val="24"/>
          <w:szCs w:val="24"/>
          <w:shd w:val="clear" w:color="auto" w:fill="FFFFFF"/>
          <w:lang w:val="sq-AL"/>
        </w:rPr>
        <w:t xml:space="preserve">ropës, </w:t>
      </w:r>
      <w:r>
        <w:rPr>
          <w:rFonts w:ascii="Times New Roman" w:hAnsi="Times New Roman"/>
          <w:sz w:val="24"/>
          <w:szCs w:val="24"/>
          <w:shd w:val="clear" w:color="auto" w:fill="FFFFFF"/>
          <w:lang w:val="sq-AL"/>
        </w:rPr>
        <w:t>z</w:t>
      </w:r>
      <w:r w:rsidRPr="00EE2DE7">
        <w:rPr>
          <w:rFonts w:ascii="Times New Roman" w:hAnsi="Times New Roman"/>
          <w:sz w:val="24"/>
          <w:szCs w:val="24"/>
          <w:shd w:val="clear" w:color="auto" w:fill="FFFFFF"/>
          <w:lang w:val="sq-AL"/>
        </w:rPr>
        <w:t xml:space="preserve">. Claus Neukirch, Ambasadori i Shteteve të Bashkuara të Amerikës, </w:t>
      </w:r>
      <w:r>
        <w:rPr>
          <w:rFonts w:ascii="Times New Roman" w:hAnsi="Times New Roman"/>
          <w:sz w:val="24"/>
          <w:szCs w:val="24"/>
          <w:shd w:val="clear" w:color="auto" w:fill="FFFFFF"/>
          <w:lang w:val="sq-AL"/>
        </w:rPr>
        <w:t>z</w:t>
      </w:r>
      <w:r w:rsidRPr="00EE2DE7">
        <w:rPr>
          <w:rFonts w:ascii="Times New Roman" w:hAnsi="Times New Roman"/>
          <w:sz w:val="24"/>
          <w:szCs w:val="24"/>
          <w:shd w:val="clear" w:color="auto" w:fill="FFFFFF"/>
          <w:lang w:val="sq-AL"/>
        </w:rPr>
        <w:t xml:space="preserve">. Donald Lu, </w:t>
      </w:r>
      <w:r>
        <w:rPr>
          <w:rFonts w:ascii="Times New Roman" w:hAnsi="Times New Roman"/>
          <w:sz w:val="24"/>
          <w:szCs w:val="24"/>
          <w:shd w:val="clear" w:color="auto" w:fill="FFFFFF"/>
          <w:lang w:val="sq-AL"/>
        </w:rPr>
        <w:t>z</w:t>
      </w:r>
      <w:r w:rsidRPr="00EE2DE7">
        <w:rPr>
          <w:rFonts w:ascii="Times New Roman" w:hAnsi="Times New Roman"/>
          <w:sz w:val="24"/>
          <w:szCs w:val="24"/>
          <w:shd w:val="clear" w:color="auto" w:fill="FFFFFF"/>
          <w:lang w:val="sq-AL"/>
        </w:rPr>
        <w:t>v/</w:t>
      </w:r>
      <w:r>
        <w:rPr>
          <w:rFonts w:ascii="Times New Roman" w:hAnsi="Times New Roman"/>
          <w:sz w:val="24"/>
          <w:szCs w:val="24"/>
          <w:shd w:val="clear" w:color="auto" w:fill="FFFFFF"/>
          <w:lang w:val="sq-AL"/>
        </w:rPr>
        <w:t>k</w:t>
      </w:r>
      <w:r w:rsidRPr="00EE2DE7">
        <w:rPr>
          <w:rFonts w:ascii="Times New Roman" w:hAnsi="Times New Roman"/>
          <w:sz w:val="24"/>
          <w:szCs w:val="24"/>
          <w:shd w:val="clear" w:color="auto" w:fill="FFFFFF"/>
          <w:lang w:val="sq-AL"/>
        </w:rPr>
        <w:t>ryetari i Prezencës së OSBE</w:t>
      </w:r>
      <w:r>
        <w:rPr>
          <w:rFonts w:ascii="Times New Roman" w:hAnsi="Times New Roman"/>
          <w:sz w:val="24"/>
          <w:szCs w:val="24"/>
          <w:shd w:val="clear" w:color="auto" w:fill="FFFFFF"/>
          <w:lang w:val="sq-AL"/>
        </w:rPr>
        <w:t>-së në Tiranë, z</w:t>
      </w:r>
      <w:r w:rsidRPr="00EE2DE7">
        <w:rPr>
          <w:rFonts w:ascii="Times New Roman" w:hAnsi="Times New Roman"/>
          <w:sz w:val="24"/>
          <w:szCs w:val="24"/>
          <w:shd w:val="clear" w:color="auto" w:fill="FFFFFF"/>
          <w:lang w:val="sq-AL"/>
        </w:rPr>
        <w:t>. Robert W</w:t>
      </w:r>
      <w:r>
        <w:rPr>
          <w:rFonts w:ascii="Times New Roman" w:hAnsi="Times New Roman"/>
          <w:sz w:val="24"/>
          <w:szCs w:val="24"/>
          <w:shd w:val="clear" w:color="auto" w:fill="FFFFFF"/>
          <w:lang w:val="sq-AL"/>
        </w:rPr>
        <w:t>ilton, ministrja e Drejtësisë, znj</w:t>
      </w:r>
      <w:r w:rsidRPr="00EE2DE7">
        <w:rPr>
          <w:rFonts w:ascii="Times New Roman" w:hAnsi="Times New Roman"/>
          <w:sz w:val="24"/>
          <w:szCs w:val="24"/>
          <w:shd w:val="clear" w:color="auto" w:fill="FFFFFF"/>
          <w:lang w:val="sq-AL"/>
        </w:rPr>
        <w:t>.</w:t>
      </w:r>
      <w:r>
        <w:rPr>
          <w:rFonts w:ascii="Times New Roman" w:hAnsi="Times New Roman"/>
          <w:sz w:val="24"/>
          <w:szCs w:val="24"/>
          <w:shd w:val="clear" w:color="auto" w:fill="FFFFFF"/>
          <w:lang w:val="sq-AL"/>
        </w:rPr>
        <w:t xml:space="preserve"> </w:t>
      </w:r>
      <w:r w:rsidRPr="00EE2DE7">
        <w:rPr>
          <w:rFonts w:ascii="Times New Roman" w:hAnsi="Times New Roman"/>
          <w:sz w:val="24"/>
          <w:szCs w:val="24"/>
          <w:shd w:val="clear" w:color="auto" w:fill="FFFFFF"/>
          <w:lang w:val="sq-AL"/>
        </w:rPr>
        <w:t>Etilda</w:t>
      </w:r>
      <w:r>
        <w:rPr>
          <w:rFonts w:ascii="Times New Roman" w:hAnsi="Times New Roman"/>
          <w:sz w:val="24"/>
          <w:szCs w:val="24"/>
          <w:shd w:val="clear" w:color="auto" w:fill="FFFFFF"/>
          <w:lang w:val="sq-AL"/>
        </w:rPr>
        <w:t xml:space="preserve"> </w:t>
      </w:r>
      <w:r w:rsidRPr="00EE2DE7">
        <w:rPr>
          <w:rFonts w:ascii="Times New Roman" w:hAnsi="Times New Roman"/>
          <w:sz w:val="24"/>
          <w:szCs w:val="24"/>
          <w:shd w:val="clear" w:color="auto" w:fill="FFFFFF"/>
          <w:lang w:val="sq-AL"/>
        </w:rPr>
        <w:t>Gjonaj.</w:t>
      </w:r>
      <w:r>
        <w:rPr>
          <w:rFonts w:ascii="Times New Roman" w:hAnsi="Times New Roman"/>
          <w:sz w:val="24"/>
          <w:szCs w:val="24"/>
          <w:lang w:val="sq-AL"/>
        </w:rPr>
        <w:t xml:space="preserve"> </w:t>
      </w:r>
      <w:r w:rsidRPr="00EE2DE7">
        <w:rPr>
          <w:rFonts w:ascii="Times New Roman" w:hAnsi="Times New Roman"/>
          <w:sz w:val="24"/>
          <w:szCs w:val="24"/>
          <w:shd w:val="clear" w:color="auto" w:fill="FFFFFF"/>
          <w:lang w:val="sq-AL"/>
        </w:rPr>
        <w:t>Gjithashtu, në aktivitet morën pjesë të gjithë magjistratët e diplomuar në Shkollën e Magjistraturës që nga krijimi i saj si dhe kandidatët për magjistratë që aktualisht vazhdojnë shkollën.</w:t>
      </w:r>
      <w:r>
        <w:rPr>
          <w:rFonts w:ascii="Times New Roman" w:hAnsi="Times New Roman"/>
          <w:sz w:val="24"/>
          <w:szCs w:val="24"/>
          <w:lang w:val="sq-AL"/>
        </w:rPr>
        <w:t xml:space="preserve"> </w:t>
      </w:r>
      <w:r w:rsidRPr="00EE2DE7">
        <w:rPr>
          <w:rFonts w:ascii="Times New Roman" w:hAnsi="Times New Roman"/>
          <w:sz w:val="24"/>
          <w:szCs w:val="24"/>
          <w:shd w:val="clear" w:color="auto" w:fill="FFFFFF"/>
          <w:lang w:val="sq-AL"/>
        </w:rPr>
        <w:t xml:space="preserve">Njëkohësisht ishin të ftuar drejtuesit e Institucioneve të Trajnimit Gjyqësor të rajonit </w:t>
      </w:r>
      <w:r w:rsidRPr="00EE2DE7">
        <w:rPr>
          <w:rFonts w:ascii="Times New Roman" w:hAnsi="Times New Roman"/>
          <w:sz w:val="24"/>
          <w:szCs w:val="24"/>
          <w:shd w:val="clear" w:color="auto" w:fill="FFFFFF"/>
          <w:lang w:val="sq-AL"/>
        </w:rPr>
        <w:lastRenderedPageBreak/>
        <w:t xml:space="preserve">të Ballkanit, si Drejtoresha e Akademisë së Drejtësisë të Kroacisë, </w:t>
      </w:r>
      <w:r>
        <w:rPr>
          <w:rFonts w:ascii="Times New Roman" w:hAnsi="Times New Roman"/>
          <w:sz w:val="24"/>
          <w:szCs w:val="24"/>
          <w:shd w:val="clear" w:color="auto" w:fill="FFFFFF"/>
          <w:lang w:val="sq-AL"/>
        </w:rPr>
        <w:t>znj</w:t>
      </w:r>
      <w:r w:rsidRPr="00EE2DE7">
        <w:rPr>
          <w:rFonts w:ascii="Times New Roman" w:hAnsi="Times New Roman"/>
          <w:sz w:val="24"/>
          <w:szCs w:val="24"/>
          <w:shd w:val="clear" w:color="auto" w:fill="FFFFFF"/>
          <w:lang w:val="sq-AL"/>
        </w:rPr>
        <w:t xml:space="preserve">. Andrea Posavec Franic, Drejtori i Akademisë së Drejtësisë të Serbisë, </w:t>
      </w:r>
      <w:r>
        <w:rPr>
          <w:rFonts w:ascii="Times New Roman" w:hAnsi="Times New Roman"/>
          <w:sz w:val="24"/>
          <w:szCs w:val="24"/>
          <w:shd w:val="clear" w:color="auto" w:fill="FFFFFF"/>
          <w:lang w:val="sq-AL"/>
        </w:rPr>
        <w:t>z</w:t>
      </w:r>
      <w:r w:rsidRPr="00EE2DE7">
        <w:rPr>
          <w:rFonts w:ascii="Times New Roman" w:hAnsi="Times New Roman"/>
          <w:sz w:val="24"/>
          <w:szCs w:val="24"/>
          <w:shd w:val="clear" w:color="auto" w:fill="FFFFFF"/>
          <w:lang w:val="sq-AL"/>
        </w:rPr>
        <w:t>. Nenad Vuji</w:t>
      </w:r>
      <w:r>
        <w:rPr>
          <w:rFonts w:ascii="Times New Roman" w:hAnsi="Times New Roman"/>
          <w:sz w:val="24"/>
          <w:szCs w:val="24"/>
          <w:shd w:val="clear" w:color="auto" w:fill="FFFFFF"/>
          <w:lang w:val="sq-AL"/>
        </w:rPr>
        <w:t>ç</w:t>
      </w:r>
      <w:r w:rsidRPr="00EE2DE7">
        <w:rPr>
          <w:rFonts w:ascii="Times New Roman" w:hAnsi="Times New Roman"/>
          <w:sz w:val="24"/>
          <w:szCs w:val="24"/>
          <w:shd w:val="clear" w:color="auto" w:fill="FFFFFF"/>
          <w:lang w:val="sq-AL"/>
        </w:rPr>
        <w:t xml:space="preserve">, Drejtori i Akademisë së Drejtësisë të Kosovës, </w:t>
      </w:r>
      <w:r>
        <w:rPr>
          <w:rFonts w:ascii="Times New Roman" w:hAnsi="Times New Roman"/>
          <w:sz w:val="24"/>
          <w:szCs w:val="24"/>
          <w:shd w:val="clear" w:color="auto" w:fill="FFFFFF"/>
          <w:lang w:val="sq-AL"/>
        </w:rPr>
        <w:t>z</w:t>
      </w:r>
      <w:r w:rsidRPr="00EE2DE7">
        <w:rPr>
          <w:rFonts w:ascii="Times New Roman" w:hAnsi="Times New Roman"/>
          <w:sz w:val="24"/>
          <w:szCs w:val="24"/>
          <w:shd w:val="clear" w:color="auto" w:fill="FFFFFF"/>
          <w:lang w:val="sq-AL"/>
        </w:rPr>
        <w:t xml:space="preserve">. Besim Morina, Drejtoresha e Akademisë Gjyqësore të Maqedonisë, </w:t>
      </w:r>
      <w:r>
        <w:rPr>
          <w:rFonts w:ascii="Times New Roman" w:hAnsi="Times New Roman"/>
          <w:sz w:val="24"/>
          <w:szCs w:val="24"/>
          <w:shd w:val="clear" w:color="auto" w:fill="FFFFFF"/>
          <w:lang w:val="sq-AL"/>
        </w:rPr>
        <w:t>znj.</w:t>
      </w:r>
      <w:r w:rsidRPr="00EE2DE7">
        <w:rPr>
          <w:rFonts w:ascii="Times New Roman" w:hAnsi="Times New Roman"/>
          <w:sz w:val="24"/>
          <w:szCs w:val="24"/>
          <w:shd w:val="clear" w:color="auto" w:fill="FFFFFF"/>
          <w:lang w:val="sq-AL"/>
        </w:rPr>
        <w:t xml:space="preserve"> Aneta Arnaudovska, Drejtori i Qendrës Institucionale Publike për trajnimin e gjyqtarëve dhe prokurorëve të Bosnj</w:t>
      </w:r>
      <w:r>
        <w:rPr>
          <w:rFonts w:ascii="Times New Roman" w:hAnsi="Times New Roman"/>
          <w:sz w:val="24"/>
          <w:szCs w:val="24"/>
          <w:shd w:val="clear" w:color="auto" w:fill="FFFFFF"/>
          <w:lang w:val="sq-AL"/>
        </w:rPr>
        <w:t>ë-</w:t>
      </w:r>
      <w:r w:rsidRPr="00EE2DE7">
        <w:rPr>
          <w:rFonts w:ascii="Times New Roman" w:hAnsi="Times New Roman"/>
          <w:sz w:val="24"/>
          <w:szCs w:val="24"/>
          <w:shd w:val="clear" w:color="auto" w:fill="FFFFFF"/>
          <w:lang w:val="sq-AL"/>
        </w:rPr>
        <w:t xml:space="preserve">Hercegovinës, </w:t>
      </w:r>
      <w:r>
        <w:rPr>
          <w:rFonts w:ascii="Times New Roman" w:hAnsi="Times New Roman"/>
          <w:sz w:val="24"/>
          <w:szCs w:val="24"/>
          <w:shd w:val="clear" w:color="auto" w:fill="FFFFFF"/>
          <w:lang w:val="sq-AL"/>
        </w:rPr>
        <w:t>z</w:t>
      </w:r>
      <w:r w:rsidRPr="00EE2DE7">
        <w:rPr>
          <w:rFonts w:ascii="Times New Roman" w:hAnsi="Times New Roman"/>
          <w:sz w:val="24"/>
          <w:szCs w:val="24"/>
          <w:shd w:val="clear" w:color="auto" w:fill="FFFFFF"/>
          <w:lang w:val="sq-AL"/>
        </w:rPr>
        <w:t xml:space="preserve">. Arben Murtezic, si dhe përfaqësuesi i Qendrës së Trajnimit Gjyqësor të Malit të Zi, </w:t>
      </w:r>
      <w:r>
        <w:rPr>
          <w:rFonts w:ascii="Times New Roman" w:hAnsi="Times New Roman"/>
          <w:sz w:val="24"/>
          <w:szCs w:val="24"/>
          <w:shd w:val="clear" w:color="auto" w:fill="FFFFFF"/>
          <w:lang w:val="sq-AL"/>
        </w:rPr>
        <w:t>z</w:t>
      </w:r>
      <w:r w:rsidRPr="00EE2DE7">
        <w:rPr>
          <w:rFonts w:ascii="Times New Roman" w:hAnsi="Times New Roman"/>
          <w:sz w:val="24"/>
          <w:szCs w:val="24"/>
          <w:shd w:val="clear" w:color="auto" w:fill="FFFFFF"/>
          <w:lang w:val="sq-AL"/>
        </w:rPr>
        <w:t>. Vuk Mandic. Gjithashtu</w:t>
      </w:r>
      <w:r>
        <w:rPr>
          <w:rFonts w:ascii="Times New Roman" w:hAnsi="Times New Roman"/>
          <w:sz w:val="24"/>
          <w:szCs w:val="24"/>
          <w:shd w:val="clear" w:color="auto" w:fill="FFFFFF"/>
          <w:lang w:val="sq-AL"/>
        </w:rPr>
        <w:t>,</w:t>
      </w:r>
      <w:r w:rsidRPr="00EE2DE7">
        <w:rPr>
          <w:rFonts w:ascii="Times New Roman" w:hAnsi="Times New Roman"/>
          <w:sz w:val="24"/>
          <w:szCs w:val="24"/>
          <w:shd w:val="clear" w:color="auto" w:fill="FFFFFF"/>
          <w:lang w:val="sq-AL"/>
        </w:rPr>
        <w:t xml:space="preserve"> ishin të ftuar edhe përfaqësuesit e Shkollës së Magjistraturës së Francës, </w:t>
      </w:r>
      <w:r>
        <w:rPr>
          <w:rFonts w:ascii="Times New Roman" w:hAnsi="Times New Roman"/>
          <w:sz w:val="24"/>
          <w:szCs w:val="24"/>
          <w:shd w:val="clear" w:color="auto" w:fill="FFFFFF"/>
          <w:lang w:val="sq-AL"/>
        </w:rPr>
        <w:t>znj</w:t>
      </w:r>
      <w:r w:rsidRPr="00EE2DE7">
        <w:rPr>
          <w:rFonts w:ascii="Times New Roman" w:hAnsi="Times New Roman"/>
          <w:sz w:val="24"/>
          <w:szCs w:val="24"/>
          <w:shd w:val="clear" w:color="auto" w:fill="FFFFFF"/>
          <w:lang w:val="sq-AL"/>
        </w:rPr>
        <w:t>. Benoit Chamouard, Qendr</w:t>
      </w:r>
      <w:r>
        <w:rPr>
          <w:rFonts w:ascii="Times New Roman" w:hAnsi="Times New Roman"/>
          <w:sz w:val="24"/>
          <w:szCs w:val="24"/>
          <w:shd w:val="clear" w:color="auto" w:fill="FFFFFF"/>
          <w:lang w:val="sq-AL"/>
        </w:rPr>
        <w:t>ës së Trajnimit Gjyqësor të Holandës, znj</w:t>
      </w:r>
      <w:r w:rsidRPr="00EE2DE7">
        <w:rPr>
          <w:rFonts w:ascii="Times New Roman" w:hAnsi="Times New Roman"/>
          <w:sz w:val="24"/>
          <w:szCs w:val="24"/>
          <w:shd w:val="clear" w:color="auto" w:fill="FFFFFF"/>
          <w:lang w:val="sq-AL"/>
        </w:rPr>
        <w:t xml:space="preserve">. Anne Tahapary, si dhe përfaqësuesit e Akademisë së Drejtësisë të Turqisë, </w:t>
      </w:r>
      <w:r>
        <w:rPr>
          <w:rFonts w:ascii="Times New Roman" w:hAnsi="Times New Roman"/>
          <w:sz w:val="24"/>
          <w:szCs w:val="24"/>
          <w:shd w:val="clear" w:color="auto" w:fill="FFFFFF"/>
          <w:lang w:val="sq-AL"/>
        </w:rPr>
        <w:t>z</w:t>
      </w:r>
      <w:r w:rsidRPr="00EE2DE7">
        <w:rPr>
          <w:rFonts w:ascii="Times New Roman" w:hAnsi="Times New Roman"/>
          <w:sz w:val="24"/>
          <w:szCs w:val="24"/>
          <w:shd w:val="clear" w:color="auto" w:fill="FFFFFF"/>
          <w:lang w:val="sq-AL"/>
        </w:rPr>
        <w:t xml:space="preserve">. Gokhan Karakose dhe </w:t>
      </w:r>
      <w:r>
        <w:rPr>
          <w:rFonts w:ascii="Times New Roman" w:hAnsi="Times New Roman"/>
          <w:sz w:val="24"/>
          <w:szCs w:val="24"/>
          <w:shd w:val="clear" w:color="auto" w:fill="FFFFFF"/>
          <w:lang w:val="sq-AL"/>
        </w:rPr>
        <w:t>z</w:t>
      </w:r>
      <w:r w:rsidRPr="00EE2DE7">
        <w:rPr>
          <w:rFonts w:ascii="Times New Roman" w:hAnsi="Times New Roman"/>
          <w:sz w:val="24"/>
          <w:szCs w:val="24"/>
          <w:shd w:val="clear" w:color="auto" w:fill="FFFFFF"/>
          <w:lang w:val="sq-AL"/>
        </w:rPr>
        <w:t>. Berat Duman. </w:t>
      </w:r>
    </w:p>
    <w:p w:rsidR="00D77236" w:rsidRDefault="00D77236" w:rsidP="00D77236">
      <w:pPr>
        <w:pStyle w:val="NoSpacing"/>
        <w:spacing w:line="276" w:lineRule="auto"/>
        <w:ind w:firstLine="720"/>
        <w:jc w:val="both"/>
        <w:rPr>
          <w:rFonts w:ascii="Times New Roman" w:hAnsi="Times New Roman"/>
          <w:sz w:val="24"/>
          <w:szCs w:val="24"/>
          <w:lang w:val="sq-AL"/>
        </w:rPr>
      </w:pPr>
      <w:r>
        <w:rPr>
          <w:rFonts w:ascii="Times New Roman" w:hAnsi="Times New Roman"/>
          <w:noProof/>
          <w:sz w:val="24"/>
          <w:szCs w:val="24"/>
        </w:rPr>
        <w:drawing>
          <wp:anchor distT="0" distB="0" distL="114300" distR="114300" simplePos="0" relativeHeight="251738624" behindDoc="0" locked="0" layoutInCell="1" allowOverlap="1">
            <wp:simplePos x="0" y="0"/>
            <wp:positionH relativeFrom="margin">
              <wp:posOffset>60960</wp:posOffset>
            </wp:positionH>
            <wp:positionV relativeFrom="margin">
              <wp:posOffset>1924050</wp:posOffset>
            </wp:positionV>
            <wp:extent cx="4575810" cy="2484120"/>
            <wp:effectExtent l="19050" t="0" r="0" b="0"/>
            <wp:wrapSquare wrapText="bothSides"/>
            <wp:docPr id="43" name="Picture 43" descr="Image may contain: 1 person, crow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may contain: 1 person, crowd"/>
                    <pic:cNvPicPr>
                      <a:picLocks noChangeAspect="1" noChangeArrowheads="1"/>
                    </pic:cNvPicPr>
                  </pic:nvPicPr>
                  <pic:blipFill>
                    <a:blip r:embed="rId29" cstate="print">
                      <a:extLst>
                        <a:ext uri="{28A0092B-C50C-407E-A947-70E740481C1C}">
                          <a14:useLocalDpi xmlns:a14="http://schemas.microsoft.com/office/drawing/2010/main" val="0"/>
                        </a:ext>
                      </a:extLst>
                    </a:blip>
                    <a:srcRect b="4558"/>
                    <a:stretch>
                      <a:fillRect/>
                    </a:stretch>
                  </pic:blipFill>
                  <pic:spPr bwMode="auto">
                    <a:xfrm>
                      <a:off x="0" y="0"/>
                      <a:ext cx="4575810" cy="2484120"/>
                    </a:xfrm>
                    <a:prstGeom prst="rect">
                      <a:avLst/>
                    </a:prstGeom>
                    <a:noFill/>
                    <a:ln>
                      <a:noFill/>
                    </a:ln>
                  </pic:spPr>
                </pic:pic>
              </a:graphicData>
            </a:graphic>
          </wp:anchor>
        </w:drawing>
      </w:r>
      <w:r w:rsidRPr="00EE2DE7">
        <w:rPr>
          <w:rFonts w:ascii="Times New Roman" w:hAnsi="Times New Roman"/>
          <w:sz w:val="24"/>
          <w:szCs w:val="24"/>
          <w:shd w:val="clear" w:color="auto" w:fill="FFFFFF"/>
          <w:lang w:val="sq-AL"/>
        </w:rPr>
        <w:t>Aktiviteti u zhvillua me dy komponentë, ceremonia e përshëndetjeve për 20 vitet e funksionimit të Shkollës dhe një konferencë shkencore ndërkombëtare “</w:t>
      </w:r>
      <w:r w:rsidRPr="00403656">
        <w:rPr>
          <w:rFonts w:ascii="Times New Roman" w:hAnsi="Times New Roman"/>
          <w:i/>
          <w:sz w:val="24"/>
          <w:szCs w:val="24"/>
          <w:shd w:val="clear" w:color="auto" w:fill="FFFFFF"/>
          <w:lang w:val="sq-AL"/>
        </w:rPr>
        <w:t xml:space="preserve">Magjistratura në </w:t>
      </w:r>
      <w:r>
        <w:rPr>
          <w:rFonts w:ascii="Times New Roman" w:hAnsi="Times New Roman"/>
          <w:i/>
          <w:sz w:val="24"/>
          <w:szCs w:val="24"/>
          <w:shd w:val="clear" w:color="auto" w:fill="FFFFFF"/>
          <w:lang w:val="sq-AL"/>
        </w:rPr>
        <w:t>p</w:t>
      </w:r>
      <w:r w:rsidRPr="00403656">
        <w:rPr>
          <w:rFonts w:ascii="Times New Roman" w:hAnsi="Times New Roman"/>
          <w:i/>
          <w:sz w:val="24"/>
          <w:szCs w:val="24"/>
          <w:shd w:val="clear" w:color="auto" w:fill="FFFFFF"/>
          <w:lang w:val="sq-AL"/>
        </w:rPr>
        <w:t xml:space="preserve">erspektivën </w:t>
      </w:r>
      <w:r>
        <w:rPr>
          <w:rFonts w:ascii="Times New Roman" w:hAnsi="Times New Roman"/>
          <w:i/>
          <w:sz w:val="24"/>
          <w:szCs w:val="24"/>
          <w:shd w:val="clear" w:color="auto" w:fill="FFFFFF"/>
          <w:lang w:val="sq-AL"/>
        </w:rPr>
        <w:t>eu</w:t>
      </w:r>
      <w:r w:rsidRPr="00403656">
        <w:rPr>
          <w:rFonts w:ascii="Times New Roman" w:hAnsi="Times New Roman"/>
          <w:i/>
          <w:sz w:val="24"/>
          <w:szCs w:val="24"/>
          <w:shd w:val="clear" w:color="auto" w:fill="FFFFFF"/>
          <w:lang w:val="sq-AL"/>
        </w:rPr>
        <w:t>ropiane</w:t>
      </w:r>
      <w:r w:rsidRPr="00EE2DE7">
        <w:rPr>
          <w:rFonts w:ascii="Times New Roman" w:hAnsi="Times New Roman"/>
          <w:sz w:val="24"/>
          <w:szCs w:val="24"/>
          <w:shd w:val="clear" w:color="auto" w:fill="FFFFFF"/>
          <w:lang w:val="sq-AL"/>
        </w:rPr>
        <w:t>” e ndarë në dy panele. Paneli i parë pati si temë: “</w:t>
      </w:r>
      <w:r w:rsidRPr="00403656">
        <w:rPr>
          <w:rFonts w:ascii="Times New Roman" w:hAnsi="Times New Roman"/>
          <w:i/>
          <w:sz w:val="24"/>
          <w:szCs w:val="24"/>
          <w:shd w:val="clear" w:color="auto" w:fill="FFFFFF"/>
          <w:lang w:val="sq-AL"/>
        </w:rPr>
        <w:t>Bashkëpunimi ndërkombëtar në rritjen e kapaciteteve dhe ngritjen institucionale të sistemit të drejtësisë. Roli i Shkollave të Magjistraturës në perspektivën e</w:t>
      </w:r>
      <w:r>
        <w:rPr>
          <w:rFonts w:ascii="Times New Roman" w:hAnsi="Times New Roman"/>
          <w:i/>
          <w:sz w:val="24"/>
          <w:szCs w:val="24"/>
          <w:shd w:val="clear" w:color="auto" w:fill="FFFFFF"/>
          <w:lang w:val="sq-AL"/>
        </w:rPr>
        <w:t>ur</w:t>
      </w:r>
      <w:r w:rsidRPr="00403656">
        <w:rPr>
          <w:rFonts w:ascii="Times New Roman" w:hAnsi="Times New Roman"/>
          <w:i/>
          <w:sz w:val="24"/>
          <w:szCs w:val="24"/>
          <w:shd w:val="clear" w:color="auto" w:fill="FFFFFF"/>
          <w:lang w:val="sq-AL"/>
        </w:rPr>
        <w:t>opiane</w:t>
      </w:r>
      <w:r w:rsidRPr="00EE2DE7">
        <w:rPr>
          <w:rFonts w:ascii="Times New Roman" w:hAnsi="Times New Roman"/>
          <w:sz w:val="24"/>
          <w:szCs w:val="24"/>
          <w:shd w:val="clear" w:color="auto" w:fill="FFFFFF"/>
          <w:lang w:val="sq-AL"/>
        </w:rPr>
        <w:t>”, ndërsa paneli i dytë, temën: “</w:t>
      </w:r>
      <w:r w:rsidRPr="00403656">
        <w:rPr>
          <w:rFonts w:ascii="Times New Roman" w:hAnsi="Times New Roman"/>
          <w:i/>
          <w:sz w:val="24"/>
          <w:szCs w:val="24"/>
          <w:shd w:val="clear" w:color="auto" w:fill="FFFFFF"/>
          <w:lang w:val="sq-AL"/>
        </w:rPr>
        <w:t>Roli i magjistratit në rritjen e cilësisë dhe eficencës së drejtësisë. Pozita para dhe pas ndryshimeve kushtetuese dhe ligjore</w:t>
      </w:r>
      <w:r w:rsidRPr="00EE2DE7">
        <w:rPr>
          <w:rFonts w:ascii="Times New Roman" w:hAnsi="Times New Roman"/>
          <w:sz w:val="24"/>
          <w:szCs w:val="24"/>
          <w:shd w:val="clear" w:color="auto" w:fill="FFFFFF"/>
          <w:lang w:val="sq-AL"/>
        </w:rPr>
        <w:t>”. </w:t>
      </w:r>
    </w:p>
    <w:p w:rsidR="00D77236" w:rsidRPr="00EE2DE7" w:rsidRDefault="00D77236" w:rsidP="00D77236">
      <w:pPr>
        <w:pStyle w:val="NoSpacing"/>
        <w:spacing w:line="276" w:lineRule="auto"/>
        <w:ind w:firstLine="720"/>
        <w:jc w:val="both"/>
        <w:rPr>
          <w:rFonts w:ascii="Times New Roman" w:hAnsi="Times New Roman"/>
          <w:sz w:val="24"/>
          <w:szCs w:val="24"/>
          <w:shd w:val="clear" w:color="auto" w:fill="FFFFFF"/>
          <w:lang w:val="sq-AL"/>
        </w:rPr>
      </w:pPr>
      <w:r w:rsidRPr="00EE2DE7">
        <w:rPr>
          <w:rFonts w:ascii="Times New Roman" w:hAnsi="Times New Roman"/>
          <w:sz w:val="24"/>
          <w:szCs w:val="24"/>
          <w:shd w:val="clear" w:color="auto" w:fill="FFFFFF"/>
          <w:lang w:val="sq-AL"/>
        </w:rPr>
        <w:t xml:space="preserve">Pjesëmarrja në panelin e parë </w:t>
      </w:r>
      <w:r>
        <w:rPr>
          <w:rFonts w:ascii="Times New Roman" w:hAnsi="Times New Roman"/>
          <w:sz w:val="24"/>
          <w:szCs w:val="24"/>
          <w:shd w:val="clear" w:color="auto" w:fill="FFFFFF"/>
          <w:lang w:val="sq-AL"/>
        </w:rPr>
        <w:t>të</w:t>
      </w:r>
      <w:r w:rsidRPr="00EE2DE7">
        <w:rPr>
          <w:rFonts w:ascii="Times New Roman" w:hAnsi="Times New Roman"/>
          <w:sz w:val="24"/>
          <w:szCs w:val="24"/>
          <w:shd w:val="clear" w:color="auto" w:fill="FFFFFF"/>
          <w:lang w:val="sq-AL"/>
        </w:rPr>
        <w:t xml:space="preserve"> institucioneve të trajnimit gjyqësor të rajonit synoi të përcjellë frymën e bashkëpunimit me të gjitha vendet në rajon në dhënien e përvojave individuale dhe ndarjen e të ardhmes së përbashkët </w:t>
      </w:r>
      <w:r>
        <w:rPr>
          <w:rFonts w:ascii="Times New Roman" w:hAnsi="Times New Roman"/>
          <w:sz w:val="24"/>
          <w:szCs w:val="24"/>
          <w:shd w:val="clear" w:color="auto" w:fill="FFFFFF"/>
          <w:lang w:val="sq-AL"/>
        </w:rPr>
        <w:t>eu</w:t>
      </w:r>
      <w:r w:rsidRPr="00EE2DE7">
        <w:rPr>
          <w:rFonts w:ascii="Times New Roman" w:hAnsi="Times New Roman"/>
          <w:sz w:val="24"/>
          <w:szCs w:val="24"/>
          <w:shd w:val="clear" w:color="auto" w:fill="FFFFFF"/>
          <w:lang w:val="sq-AL"/>
        </w:rPr>
        <w:t>ropiane.</w:t>
      </w:r>
    </w:p>
    <w:p w:rsidR="00D77236" w:rsidRPr="002737A9" w:rsidRDefault="00D77236" w:rsidP="002737A9">
      <w:pPr>
        <w:pStyle w:val="NoSpacing"/>
        <w:spacing w:line="276" w:lineRule="auto"/>
        <w:jc w:val="both"/>
        <w:rPr>
          <w:rFonts w:ascii="Times New Roman" w:hAnsi="Times New Roman"/>
          <w:b/>
          <w:color w:val="0070C0"/>
          <w:sz w:val="24"/>
          <w:szCs w:val="24"/>
          <w:shd w:val="clear" w:color="auto" w:fill="FFFFFF"/>
          <w:lang w:val="sq-AL"/>
        </w:rPr>
      </w:pPr>
    </w:p>
    <w:p w:rsidR="00B3782C" w:rsidRPr="002737A9" w:rsidRDefault="00B3782C" w:rsidP="005C2687">
      <w:pPr>
        <w:pStyle w:val="NoSpacing"/>
        <w:numPr>
          <w:ilvl w:val="0"/>
          <w:numId w:val="36"/>
        </w:numPr>
        <w:spacing w:line="276" w:lineRule="auto"/>
        <w:jc w:val="both"/>
        <w:rPr>
          <w:rFonts w:ascii="Times New Roman" w:hAnsi="Times New Roman"/>
          <w:b/>
          <w:color w:val="0070C0"/>
          <w:sz w:val="24"/>
          <w:szCs w:val="24"/>
          <w:shd w:val="clear" w:color="auto" w:fill="FFFFFF"/>
          <w:lang w:val="sq-AL"/>
        </w:rPr>
      </w:pPr>
      <w:r w:rsidRPr="002737A9">
        <w:rPr>
          <w:rFonts w:ascii="Times New Roman" w:hAnsi="Times New Roman"/>
          <w:b/>
          <w:color w:val="0070C0"/>
          <w:sz w:val="24"/>
          <w:szCs w:val="24"/>
          <w:shd w:val="clear" w:color="auto" w:fill="FFFFFF"/>
          <w:lang w:val="sq-AL"/>
        </w:rPr>
        <w:t>Vizita studimore në Akademinë e Drejtësisë së Turqisë, 16-20 tetor 2017</w:t>
      </w:r>
    </w:p>
    <w:p w:rsidR="00B3782C" w:rsidRPr="00EE2DE7" w:rsidRDefault="00755BAF" w:rsidP="00B3782C">
      <w:pPr>
        <w:pStyle w:val="NoSpacing"/>
        <w:jc w:val="center"/>
        <w:rPr>
          <w:rFonts w:ascii="Times New Roman" w:hAnsi="Times New Roman"/>
          <w:b/>
          <w:sz w:val="24"/>
          <w:szCs w:val="24"/>
          <w:lang w:val="sq-AL"/>
        </w:rPr>
      </w:pPr>
      <w:r>
        <w:rPr>
          <w:rFonts w:ascii="Times New Roman" w:hAnsi="Times New Roman"/>
          <w:b/>
          <w:noProof/>
          <w:sz w:val="24"/>
          <w:szCs w:val="24"/>
        </w:rPr>
        <w:drawing>
          <wp:anchor distT="0" distB="0" distL="114300" distR="114300" simplePos="0" relativeHeight="251739648" behindDoc="0" locked="0" layoutInCell="1" allowOverlap="1">
            <wp:simplePos x="0" y="0"/>
            <wp:positionH relativeFrom="margin">
              <wp:align>right</wp:align>
            </wp:positionH>
            <wp:positionV relativeFrom="margin">
              <wp:posOffset>5932170</wp:posOffset>
            </wp:positionV>
            <wp:extent cx="4522470" cy="2311400"/>
            <wp:effectExtent l="19050" t="0" r="0" b="0"/>
            <wp:wrapSquare wrapText="bothSides"/>
            <wp:docPr id="44" name="Picture 44" descr="Image may contain: 7 people, people smiling, people 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 may contain: 7 people, people smiling, people standing"/>
                    <pic:cNvPicPr>
                      <a:picLocks noChangeAspect="1" noChangeArrowheads="1"/>
                    </pic:cNvPicPr>
                  </pic:nvPicPr>
                  <pic:blipFill>
                    <a:blip r:embed="rId30" cstate="print">
                      <a:extLst>
                        <a:ext uri="{28A0092B-C50C-407E-A947-70E740481C1C}">
                          <a14:useLocalDpi xmlns:a14="http://schemas.microsoft.com/office/drawing/2010/main" val="0"/>
                        </a:ext>
                      </a:extLst>
                    </a:blip>
                    <a:srcRect l="4221" t="5483" r="9623" b="11335"/>
                    <a:stretch>
                      <a:fillRect/>
                    </a:stretch>
                  </pic:blipFill>
                  <pic:spPr bwMode="auto">
                    <a:xfrm>
                      <a:off x="0" y="0"/>
                      <a:ext cx="4522470" cy="2311400"/>
                    </a:xfrm>
                    <a:prstGeom prst="rect">
                      <a:avLst/>
                    </a:prstGeom>
                    <a:noFill/>
                    <a:ln>
                      <a:noFill/>
                    </a:ln>
                  </pic:spPr>
                </pic:pic>
              </a:graphicData>
            </a:graphic>
          </wp:anchor>
        </w:drawing>
      </w:r>
    </w:p>
    <w:p w:rsidR="00B3782C" w:rsidRDefault="00B3782C" w:rsidP="00B3782C">
      <w:pPr>
        <w:pStyle w:val="NoSpacing"/>
        <w:spacing w:line="276" w:lineRule="auto"/>
        <w:jc w:val="both"/>
        <w:rPr>
          <w:rStyle w:val="textexposedshow"/>
          <w:rFonts w:ascii="Times New Roman" w:hAnsi="Times New Roman"/>
          <w:color w:val="1D2129"/>
          <w:sz w:val="24"/>
          <w:szCs w:val="24"/>
          <w:lang w:val="sq-AL"/>
        </w:rPr>
      </w:pPr>
      <w:r w:rsidRPr="00EE2DE7">
        <w:rPr>
          <w:rFonts w:ascii="Times New Roman" w:hAnsi="Times New Roman"/>
          <w:sz w:val="24"/>
          <w:szCs w:val="24"/>
          <w:lang w:val="sq-AL"/>
        </w:rPr>
        <w:t xml:space="preserve">Në kuadër të bashkëpunimit me Akademinë e Drejtësisë të Turqisë, u zhvillua një vizitë trajnimi në </w:t>
      </w:r>
      <w:r w:rsidRPr="003F3013">
        <w:rPr>
          <w:rFonts w:ascii="Times New Roman" w:hAnsi="Times New Roman"/>
          <w:sz w:val="24"/>
          <w:szCs w:val="24"/>
          <w:lang w:val="sq-AL"/>
        </w:rPr>
        <w:t>Tu</w:t>
      </w:r>
      <w:r w:rsidRPr="00EE2DE7">
        <w:rPr>
          <w:rFonts w:ascii="Times New Roman" w:hAnsi="Times New Roman"/>
          <w:sz w:val="24"/>
          <w:szCs w:val="24"/>
          <w:lang w:val="sq-AL"/>
        </w:rPr>
        <w:t>rqi nga një delegacion i Shkollës së Magjistraturës, i përbërë nga anëtarë të Këshillit Drejtues, Pedagogë të Brendshëm dhe kandidatët për magji</w:t>
      </w:r>
      <w:r>
        <w:rPr>
          <w:rFonts w:ascii="Times New Roman" w:hAnsi="Times New Roman"/>
          <w:sz w:val="24"/>
          <w:szCs w:val="24"/>
          <w:lang w:val="sq-AL"/>
        </w:rPr>
        <w:t xml:space="preserve">stratë të vitit të dytë të saj. </w:t>
      </w:r>
      <w:r w:rsidRPr="00EE2DE7">
        <w:rPr>
          <w:rFonts w:ascii="Times New Roman" w:hAnsi="Times New Roman"/>
          <w:sz w:val="24"/>
          <w:szCs w:val="24"/>
          <w:lang w:val="sq-AL"/>
        </w:rPr>
        <w:t xml:space="preserve">Vizita u realizua në formën e një </w:t>
      </w:r>
      <w:r w:rsidRPr="00EE2DE7">
        <w:rPr>
          <w:rFonts w:ascii="Times New Roman" w:hAnsi="Times New Roman"/>
          <w:sz w:val="24"/>
          <w:szCs w:val="24"/>
          <w:lang w:val="sq-AL"/>
        </w:rPr>
        <w:lastRenderedPageBreak/>
        <w:t>sesion trajnues në lidhje me luftën kundër krimit të organizuar, që u pasua nga vizita/takime në</w:t>
      </w:r>
      <w:r w:rsidRPr="00EE2DE7">
        <w:rPr>
          <w:rStyle w:val="textexposedshow"/>
          <w:rFonts w:ascii="Times New Roman" w:hAnsi="Times New Roman"/>
          <w:color w:val="1D2129"/>
          <w:sz w:val="24"/>
          <w:szCs w:val="24"/>
          <w:lang w:val="sq-AL"/>
        </w:rPr>
        <w:t xml:space="preserve"> institucionet kryesore të drejtësisë së Turqisë. Gjatë trajnimit kandidatët morën informacion në lidhje me organizimin dhe funksionimin e sistemit të drejtësisë dhe të institucioneve të ndryshme, si dhe u trajtuan tematika si: detyrat dhe kompetencat e autoriteteve ligjzbatuese në luftën kundër krimit të organizuar, masat mbrojtëse që aplikohen </w:t>
      </w:r>
      <w:r w:rsidRPr="003F3013">
        <w:rPr>
          <w:rStyle w:val="textexposedshow"/>
          <w:rFonts w:ascii="Times New Roman" w:hAnsi="Times New Roman"/>
          <w:sz w:val="24"/>
          <w:szCs w:val="24"/>
          <w:lang w:val="sq-AL"/>
        </w:rPr>
        <w:t>në çështjet</w:t>
      </w:r>
      <w:r w:rsidRPr="00EE2DE7">
        <w:rPr>
          <w:rStyle w:val="textexposedshow"/>
          <w:rFonts w:ascii="Times New Roman" w:hAnsi="Times New Roman"/>
          <w:color w:val="1D2129"/>
          <w:sz w:val="24"/>
          <w:szCs w:val="24"/>
          <w:lang w:val="sq-AL"/>
        </w:rPr>
        <w:t xml:space="preserve"> përkatëse, ndjekja ligjore, menaxhimi i procesit gjyqësor dhe </w:t>
      </w:r>
      <w:r>
        <w:rPr>
          <w:rStyle w:val="textexposedshow"/>
          <w:rFonts w:ascii="Times New Roman" w:hAnsi="Times New Roman"/>
          <w:color w:val="1D2129"/>
          <w:sz w:val="24"/>
          <w:szCs w:val="24"/>
          <w:lang w:val="sq-AL"/>
        </w:rPr>
        <w:t>vlerësimi i provave nga gjykata</w:t>
      </w:r>
      <w:r w:rsidRPr="00EE2DE7">
        <w:rPr>
          <w:rStyle w:val="textexposedshow"/>
          <w:rFonts w:ascii="Times New Roman" w:hAnsi="Times New Roman"/>
          <w:color w:val="1D2129"/>
          <w:sz w:val="24"/>
          <w:szCs w:val="24"/>
          <w:lang w:val="sq-AL"/>
        </w:rPr>
        <w:t xml:space="preserve"> etj. Vizita u mbyll me aktivitete kulturore në qytetin e Stambollit.</w:t>
      </w:r>
    </w:p>
    <w:p w:rsidR="00B3782C" w:rsidRPr="00EE2DE7" w:rsidRDefault="00B3782C" w:rsidP="00B3782C">
      <w:pPr>
        <w:pStyle w:val="NoSpacing"/>
        <w:spacing w:line="276" w:lineRule="auto"/>
        <w:jc w:val="both"/>
        <w:rPr>
          <w:rStyle w:val="textexposedshow"/>
          <w:rFonts w:ascii="Times New Roman" w:hAnsi="Times New Roman"/>
          <w:color w:val="1D2129"/>
          <w:sz w:val="24"/>
          <w:szCs w:val="24"/>
          <w:lang w:val="sq-AL"/>
        </w:rPr>
      </w:pPr>
    </w:p>
    <w:p w:rsidR="00B3782C" w:rsidRPr="00B3782C" w:rsidRDefault="00B3782C" w:rsidP="005C2687">
      <w:pPr>
        <w:pStyle w:val="NoSpacing"/>
        <w:numPr>
          <w:ilvl w:val="0"/>
          <w:numId w:val="36"/>
        </w:numPr>
        <w:rPr>
          <w:rFonts w:ascii="Times New Roman" w:hAnsi="Times New Roman"/>
          <w:color w:val="0070C0"/>
          <w:sz w:val="24"/>
          <w:szCs w:val="24"/>
          <w:lang w:val="sq-AL"/>
        </w:rPr>
      </w:pPr>
      <w:r w:rsidRPr="007F5F77">
        <w:rPr>
          <w:rFonts w:ascii="Times New Roman" w:hAnsi="Times New Roman"/>
          <w:b/>
          <w:color w:val="0070C0"/>
          <w:sz w:val="24"/>
          <w:szCs w:val="24"/>
          <w:lang w:val="sq-AL"/>
        </w:rPr>
        <w:t>Vizitë studimore e kandidatëve për magjistratë në GJEDNJ, Strasburg</w:t>
      </w:r>
      <w:r>
        <w:rPr>
          <w:rFonts w:ascii="Times New Roman" w:hAnsi="Times New Roman"/>
          <w:color w:val="0070C0"/>
          <w:sz w:val="24"/>
          <w:szCs w:val="24"/>
          <w:lang w:val="sq-AL"/>
        </w:rPr>
        <w:t xml:space="preserve">, </w:t>
      </w:r>
      <w:r w:rsidRPr="007F5F77">
        <w:rPr>
          <w:rFonts w:ascii="Times New Roman" w:hAnsi="Times New Roman"/>
          <w:b/>
          <w:color w:val="0070C0"/>
          <w:sz w:val="24"/>
          <w:szCs w:val="24"/>
          <w:lang w:val="sq-AL"/>
        </w:rPr>
        <w:t>4-7 dhjetor 2017</w:t>
      </w:r>
    </w:p>
    <w:p w:rsidR="00B3782C" w:rsidRPr="00EE2DE7" w:rsidRDefault="00B3782C" w:rsidP="00B3782C">
      <w:pPr>
        <w:pStyle w:val="NoSpacing"/>
        <w:jc w:val="center"/>
        <w:rPr>
          <w:rFonts w:ascii="Times New Roman" w:hAnsi="Times New Roman"/>
          <w:b/>
          <w:sz w:val="24"/>
          <w:szCs w:val="24"/>
          <w:lang w:val="sq-AL"/>
        </w:rPr>
      </w:pPr>
    </w:p>
    <w:p w:rsidR="00B3782C" w:rsidRPr="00A06BA5" w:rsidRDefault="00B3782C" w:rsidP="002737A9">
      <w:pPr>
        <w:pStyle w:val="NoSpacing"/>
        <w:spacing w:line="276" w:lineRule="auto"/>
        <w:jc w:val="both"/>
        <w:rPr>
          <w:rFonts w:ascii="Times New Roman" w:hAnsi="Times New Roman"/>
          <w:sz w:val="24"/>
          <w:szCs w:val="24"/>
          <w:lang w:val="sq-AL"/>
        </w:rPr>
      </w:pPr>
      <w:r w:rsidRPr="00EE2DE7">
        <w:rPr>
          <w:rFonts w:ascii="Times New Roman" w:hAnsi="Times New Roman"/>
          <w:sz w:val="24"/>
          <w:szCs w:val="24"/>
          <w:lang w:val="sq-AL"/>
        </w:rPr>
        <w:t xml:space="preserve">Në kuadër të bashkëpunimit me Këshillin e </w:t>
      </w:r>
      <w:r w:rsidRPr="00A06BA5">
        <w:rPr>
          <w:rFonts w:ascii="Times New Roman" w:hAnsi="Times New Roman"/>
          <w:sz w:val="24"/>
          <w:szCs w:val="24"/>
          <w:lang w:val="sq-AL"/>
        </w:rPr>
        <w:t xml:space="preserve">Europës dhe Fondacionin </w:t>
      </w:r>
      <w:r w:rsidRPr="00A06BA5">
        <w:rPr>
          <w:rFonts w:ascii="Times New Roman" w:hAnsi="Times New Roman"/>
          <w:i/>
          <w:sz w:val="24"/>
          <w:szCs w:val="24"/>
          <w:lang w:val="sq-AL"/>
        </w:rPr>
        <w:t>Hanns Seidel</w:t>
      </w:r>
      <w:r w:rsidRPr="00A06BA5">
        <w:rPr>
          <w:rFonts w:ascii="Times New Roman" w:hAnsi="Times New Roman"/>
          <w:sz w:val="24"/>
          <w:szCs w:val="24"/>
          <w:lang w:val="sq-AL"/>
        </w:rPr>
        <w:t>, Shkolla e Magjistraturës organizoi një vizitë studimore për kandidatët për magjistratë të vitit të dytë në Gjykatën Europiane të të Drejtave të Njeriut dhe institucione të ndryshme të BE-së gjatë datave 4-7 dhjetor 2017.</w:t>
      </w:r>
    </w:p>
    <w:p w:rsidR="00B3782C" w:rsidRPr="001D6AC5" w:rsidRDefault="002737A9" w:rsidP="00B3782C">
      <w:pPr>
        <w:pStyle w:val="NoSpacing"/>
        <w:spacing w:line="276" w:lineRule="auto"/>
        <w:ind w:firstLine="720"/>
        <w:jc w:val="both"/>
        <w:rPr>
          <w:rFonts w:ascii="Times New Roman" w:hAnsi="Times New Roman"/>
          <w:sz w:val="24"/>
          <w:szCs w:val="24"/>
          <w:lang w:val="sq-AL"/>
        </w:rPr>
      </w:pPr>
      <w:r>
        <w:rPr>
          <w:rFonts w:ascii="Times New Roman" w:hAnsi="Times New Roman"/>
          <w:noProof/>
          <w:sz w:val="24"/>
          <w:szCs w:val="24"/>
        </w:rPr>
        <w:drawing>
          <wp:anchor distT="0" distB="0" distL="114300" distR="114300" simplePos="0" relativeHeight="251740672" behindDoc="0" locked="0" layoutInCell="1" allowOverlap="1">
            <wp:simplePos x="0" y="0"/>
            <wp:positionH relativeFrom="margin">
              <wp:align>left</wp:align>
            </wp:positionH>
            <wp:positionV relativeFrom="margin">
              <wp:align>center</wp:align>
            </wp:positionV>
            <wp:extent cx="4410710" cy="2369820"/>
            <wp:effectExtent l="19050" t="0" r="8890" b="0"/>
            <wp:wrapSquare wrapText="bothSides"/>
            <wp:docPr id="45" name="Picture 45" descr="Image may contain: 3 people,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may contain: 3 people, indoor"/>
                    <pic:cNvPicPr>
                      <a:picLocks noChangeAspect="1" noChangeArrowheads="1"/>
                    </pic:cNvPicPr>
                  </pic:nvPicPr>
                  <pic:blipFill>
                    <a:blip r:embed="rId31" cstate="print">
                      <a:lum bright="10000"/>
                      <a:extLst>
                        <a:ext uri="{28A0092B-C50C-407E-A947-70E740481C1C}">
                          <a14:useLocalDpi xmlns:a14="http://schemas.microsoft.com/office/drawing/2010/main" val="0"/>
                        </a:ext>
                      </a:extLst>
                    </a:blip>
                    <a:srcRect t="18304" b="9976"/>
                    <a:stretch>
                      <a:fillRect/>
                    </a:stretch>
                  </pic:blipFill>
                  <pic:spPr bwMode="auto">
                    <a:xfrm>
                      <a:off x="0" y="0"/>
                      <a:ext cx="4410710" cy="2369820"/>
                    </a:xfrm>
                    <a:prstGeom prst="rect">
                      <a:avLst/>
                    </a:prstGeom>
                    <a:noFill/>
                    <a:ln>
                      <a:noFill/>
                    </a:ln>
                  </pic:spPr>
                </pic:pic>
              </a:graphicData>
            </a:graphic>
          </wp:anchor>
        </w:drawing>
      </w:r>
      <w:r w:rsidR="00B3782C" w:rsidRPr="00A06BA5">
        <w:rPr>
          <w:rFonts w:ascii="Times New Roman" w:hAnsi="Times New Roman"/>
          <w:sz w:val="24"/>
          <w:szCs w:val="24"/>
          <w:lang w:val="sq-AL"/>
        </w:rPr>
        <w:t>Gjatë vizitës dhe takimeve që u zhvilluan në kuadër të saj, u vizituan Gjykata Europi</w:t>
      </w:r>
      <w:r w:rsidR="00B3782C" w:rsidRPr="00A06BA5">
        <w:rPr>
          <w:rStyle w:val="textexposedshow"/>
          <w:rFonts w:ascii="Times New Roman" w:hAnsi="Times New Roman"/>
          <w:sz w:val="24"/>
          <w:szCs w:val="24"/>
          <w:lang w:val="sq-AL"/>
        </w:rPr>
        <w:t xml:space="preserve">ane e të Drejtave të Njeriut, ku u zhvilluan edhe takime të ndryshme me gjyqtarë të gjykatës, këshilltarët juridik të tyre, por u mor pjesë edhe në seancën e Dhomës së Madhe për çështjen </w:t>
      </w:r>
      <w:r w:rsidR="00B3782C" w:rsidRPr="00A06BA5">
        <w:rPr>
          <w:rStyle w:val="textexposedshow"/>
          <w:rFonts w:ascii="Times New Roman" w:hAnsi="Times New Roman"/>
          <w:i/>
          <w:sz w:val="24"/>
          <w:szCs w:val="24"/>
          <w:lang w:val="sq-AL"/>
        </w:rPr>
        <w:t>Molla kundër Greqisë</w:t>
      </w:r>
      <w:r w:rsidR="00B3782C" w:rsidRPr="00A06BA5">
        <w:rPr>
          <w:rStyle w:val="textexposedshow"/>
          <w:rFonts w:ascii="Times New Roman" w:hAnsi="Times New Roman"/>
          <w:sz w:val="24"/>
          <w:szCs w:val="24"/>
          <w:lang w:val="sq-AL"/>
        </w:rPr>
        <w:t>. Njëkohësisht delegacioni nga Shkolla vizitoi Parlamentin Europian dhe Këshillin e Europës ku u njoh me funksionimin, organizimin dhe përbërjen e secilit institucion</w:t>
      </w:r>
      <w:r w:rsidR="00B3782C" w:rsidRPr="001D6AC5">
        <w:rPr>
          <w:rStyle w:val="textexposedshow"/>
          <w:rFonts w:ascii="Times New Roman" w:hAnsi="Times New Roman"/>
          <w:sz w:val="24"/>
          <w:szCs w:val="24"/>
          <w:lang w:val="sq-AL"/>
        </w:rPr>
        <w:t>.</w:t>
      </w:r>
    </w:p>
    <w:p w:rsidR="00B3782C" w:rsidRPr="00EE2DE7" w:rsidRDefault="00B3782C" w:rsidP="00B3782C">
      <w:pPr>
        <w:pStyle w:val="NoSpacing"/>
        <w:spacing w:line="276" w:lineRule="auto"/>
        <w:ind w:firstLine="720"/>
        <w:jc w:val="both"/>
        <w:rPr>
          <w:rFonts w:ascii="Times New Roman" w:hAnsi="Times New Roman"/>
          <w:sz w:val="24"/>
          <w:szCs w:val="24"/>
          <w:lang w:val="sq-AL"/>
        </w:rPr>
      </w:pPr>
      <w:r w:rsidRPr="003F3013">
        <w:rPr>
          <w:rFonts w:ascii="Times New Roman" w:hAnsi="Times New Roman"/>
          <w:sz w:val="24"/>
          <w:szCs w:val="24"/>
          <w:lang w:val="sq-AL"/>
        </w:rPr>
        <w:t>Delegacioni u drejtua nga Kryetari i Gjykatës së Lartë dhe Kryetari i Këshillit Drejtues të Shkollës, z. Xhezair Zaganjori, nga pedagogët, znj. Mariana Semini, z. Artan Hajdari nga znj. Ela Qokaj, Kancelare e Shkollës</w:t>
      </w:r>
      <w:r w:rsidRPr="00EE2DE7">
        <w:rPr>
          <w:rFonts w:ascii="Times New Roman" w:hAnsi="Times New Roman"/>
          <w:sz w:val="24"/>
          <w:szCs w:val="24"/>
          <w:lang w:val="sq-AL"/>
        </w:rPr>
        <w:t xml:space="preserve"> dhe nga kandidatët për magjistratë të vitit të dytë.</w:t>
      </w:r>
    </w:p>
    <w:p w:rsidR="002737A9" w:rsidRDefault="002737A9" w:rsidP="002737A9">
      <w:pPr>
        <w:pStyle w:val="NoSpacing"/>
        <w:rPr>
          <w:rFonts w:ascii="Times New Roman" w:hAnsi="Times New Roman"/>
          <w:b/>
          <w:color w:val="0070C0"/>
          <w:sz w:val="24"/>
          <w:szCs w:val="24"/>
          <w:lang w:val="sq-AL"/>
        </w:rPr>
      </w:pPr>
    </w:p>
    <w:p w:rsidR="002737A9" w:rsidRPr="007F5F77" w:rsidRDefault="002737A9" w:rsidP="005C2687">
      <w:pPr>
        <w:pStyle w:val="NoSpacing"/>
        <w:numPr>
          <w:ilvl w:val="0"/>
          <w:numId w:val="36"/>
        </w:numPr>
        <w:rPr>
          <w:rFonts w:ascii="Times New Roman" w:hAnsi="Times New Roman"/>
          <w:b/>
          <w:color w:val="0070C0"/>
          <w:sz w:val="24"/>
          <w:szCs w:val="24"/>
          <w:lang w:val="sq-AL"/>
        </w:rPr>
      </w:pPr>
      <w:r w:rsidRPr="007F5F77">
        <w:rPr>
          <w:rFonts w:ascii="Times New Roman" w:hAnsi="Times New Roman"/>
          <w:b/>
          <w:color w:val="0070C0"/>
          <w:sz w:val="24"/>
          <w:szCs w:val="24"/>
          <w:lang w:val="sq-AL"/>
        </w:rPr>
        <w:t>Vizita në Strasburg</w:t>
      </w:r>
      <w:r>
        <w:rPr>
          <w:rFonts w:ascii="Times New Roman" w:hAnsi="Times New Roman"/>
          <w:b/>
          <w:color w:val="0070C0"/>
          <w:sz w:val="24"/>
          <w:szCs w:val="24"/>
          <w:lang w:val="sq-AL"/>
        </w:rPr>
        <w:t>,</w:t>
      </w:r>
      <w:r w:rsidRPr="007F5F77">
        <w:rPr>
          <w:rFonts w:ascii="Times New Roman" w:hAnsi="Times New Roman"/>
          <w:b/>
          <w:color w:val="0070C0"/>
          <w:sz w:val="24"/>
          <w:szCs w:val="24"/>
          <w:lang w:val="sq-AL"/>
        </w:rPr>
        <w:t xml:space="preserve"> në KiE dhe në GJEDNJ</w:t>
      </w:r>
      <w:r>
        <w:rPr>
          <w:rFonts w:ascii="Times New Roman" w:hAnsi="Times New Roman"/>
          <w:b/>
          <w:color w:val="0070C0"/>
          <w:sz w:val="24"/>
          <w:szCs w:val="24"/>
          <w:lang w:val="sq-AL"/>
        </w:rPr>
        <w:t xml:space="preserve">. </w:t>
      </w:r>
      <w:r w:rsidRPr="007F5F77">
        <w:rPr>
          <w:rFonts w:ascii="Times New Roman" w:hAnsi="Times New Roman"/>
          <w:b/>
          <w:color w:val="0070C0"/>
          <w:sz w:val="24"/>
          <w:szCs w:val="24"/>
          <w:lang w:val="sq-AL"/>
        </w:rPr>
        <w:t xml:space="preserve">13-14 </w:t>
      </w:r>
      <w:r>
        <w:rPr>
          <w:rFonts w:ascii="Times New Roman" w:hAnsi="Times New Roman"/>
          <w:b/>
          <w:color w:val="0070C0"/>
          <w:sz w:val="24"/>
          <w:szCs w:val="24"/>
          <w:lang w:val="sq-AL"/>
        </w:rPr>
        <w:t>m</w:t>
      </w:r>
      <w:r w:rsidRPr="007F5F77">
        <w:rPr>
          <w:rFonts w:ascii="Times New Roman" w:hAnsi="Times New Roman"/>
          <w:b/>
          <w:color w:val="0070C0"/>
          <w:sz w:val="24"/>
          <w:szCs w:val="24"/>
          <w:lang w:val="sq-AL"/>
        </w:rPr>
        <w:t>ars 2018</w:t>
      </w:r>
    </w:p>
    <w:p w:rsidR="002737A9" w:rsidRPr="00EE2DE7" w:rsidRDefault="002737A9" w:rsidP="002737A9">
      <w:pPr>
        <w:pStyle w:val="NoSpacing"/>
        <w:jc w:val="center"/>
        <w:rPr>
          <w:rFonts w:ascii="Times New Roman" w:hAnsi="Times New Roman"/>
          <w:b/>
          <w:sz w:val="24"/>
          <w:szCs w:val="24"/>
          <w:lang w:val="sq-AL"/>
        </w:rPr>
      </w:pPr>
      <w:r>
        <w:rPr>
          <w:rFonts w:ascii="Times New Roman" w:hAnsi="Times New Roman"/>
          <w:b/>
          <w:noProof/>
          <w:sz w:val="24"/>
          <w:szCs w:val="24"/>
        </w:rPr>
        <w:drawing>
          <wp:anchor distT="0" distB="0" distL="114300" distR="114300" simplePos="0" relativeHeight="251741696" behindDoc="0" locked="0" layoutInCell="1" allowOverlap="1">
            <wp:simplePos x="0" y="0"/>
            <wp:positionH relativeFrom="margin">
              <wp:posOffset>2735580</wp:posOffset>
            </wp:positionH>
            <wp:positionV relativeFrom="margin">
              <wp:posOffset>6313170</wp:posOffset>
            </wp:positionV>
            <wp:extent cx="3897630" cy="2004060"/>
            <wp:effectExtent l="19050" t="0" r="7620" b="0"/>
            <wp:wrapSquare wrapText="bothSides"/>
            <wp:docPr id="46" name="Picture 46" descr="Image may contain: 6 people,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may contain: 6 people, indoor"/>
                    <pic:cNvPicPr>
                      <a:picLocks noChangeAspect="1" noChangeArrowheads="1"/>
                    </pic:cNvPicPr>
                  </pic:nvPicPr>
                  <pic:blipFill>
                    <a:blip r:embed="rId32" cstate="print">
                      <a:extLst>
                        <a:ext uri="{28A0092B-C50C-407E-A947-70E740481C1C}">
                          <a14:useLocalDpi xmlns:a14="http://schemas.microsoft.com/office/drawing/2010/main" val="0"/>
                        </a:ext>
                      </a:extLst>
                    </a:blip>
                    <a:srcRect t="31425"/>
                    <a:stretch>
                      <a:fillRect/>
                    </a:stretch>
                  </pic:blipFill>
                  <pic:spPr bwMode="auto">
                    <a:xfrm>
                      <a:off x="0" y="0"/>
                      <a:ext cx="3897630" cy="2004060"/>
                    </a:xfrm>
                    <a:prstGeom prst="rect">
                      <a:avLst/>
                    </a:prstGeom>
                    <a:noFill/>
                    <a:ln>
                      <a:noFill/>
                    </a:ln>
                  </pic:spPr>
                </pic:pic>
              </a:graphicData>
            </a:graphic>
          </wp:anchor>
        </w:drawing>
      </w:r>
    </w:p>
    <w:p w:rsidR="002737A9" w:rsidRPr="00A06BA5" w:rsidRDefault="002737A9" w:rsidP="002737A9">
      <w:pPr>
        <w:pStyle w:val="NoSpacing"/>
        <w:spacing w:line="276" w:lineRule="auto"/>
        <w:ind w:firstLine="720"/>
        <w:jc w:val="both"/>
        <w:rPr>
          <w:rFonts w:ascii="Times New Roman" w:hAnsi="Times New Roman"/>
          <w:sz w:val="24"/>
          <w:szCs w:val="24"/>
          <w:lang w:val="sq-AL"/>
        </w:rPr>
      </w:pPr>
      <w:r w:rsidRPr="007F5F77">
        <w:rPr>
          <w:rFonts w:ascii="Times New Roman" w:hAnsi="Times New Roman"/>
          <w:sz w:val="24"/>
          <w:szCs w:val="24"/>
          <w:lang w:val="sq-AL"/>
        </w:rPr>
        <w:t xml:space="preserve">Në </w:t>
      </w:r>
      <w:r w:rsidRPr="00A06BA5">
        <w:rPr>
          <w:rFonts w:ascii="Times New Roman" w:hAnsi="Times New Roman"/>
          <w:sz w:val="24"/>
          <w:szCs w:val="24"/>
          <w:lang w:val="sq-AL"/>
        </w:rPr>
        <w:t>kuadër të projektit “</w:t>
      </w:r>
      <w:r w:rsidRPr="00A06BA5">
        <w:rPr>
          <w:rFonts w:ascii="Times New Roman" w:hAnsi="Times New Roman"/>
          <w:i/>
          <w:sz w:val="24"/>
          <w:szCs w:val="24"/>
          <w:lang w:val="sq-AL"/>
        </w:rPr>
        <w:t>Mbështetja e mjeteve efektive të brendshme dhe lehtësimi i ekzekutimit të vendimeve gjyqësore</w:t>
      </w:r>
      <w:r w:rsidRPr="00A06BA5">
        <w:rPr>
          <w:rFonts w:ascii="Times New Roman" w:hAnsi="Times New Roman"/>
          <w:sz w:val="24"/>
          <w:szCs w:val="24"/>
          <w:lang w:val="sq-AL"/>
        </w:rPr>
        <w:t xml:space="preserve">”, që është pjesë e Aksionit Horizontal për Ballkanin Perëndimor dhe Turqinë, rezultat i bashkëpunimit ndërmjet Komisionit Europian dhe Këshillit të Europës, u zhvillua një vizitë studimore gjatë datave 13 dhe </w:t>
      </w:r>
      <w:r>
        <w:rPr>
          <w:rFonts w:ascii="Times New Roman" w:hAnsi="Times New Roman"/>
          <w:sz w:val="24"/>
          <w:szCs w:val="24"/>
          <w:lang w:val="sq-AL"/>
        </w:rPr>
        <w:t xml:space="preserve"> </w:t>
      </w:r>
      <w:r w:rsidRPr="00A06BA5">
        <w:rPr>
          <w:rFonts w:ascii="Times New Roman" w:hAnsi="Times New Roman"/>
          <w:sz w:val="24"/>
          <w:szCs w:val="24"/>
          <w:lang w:val="sq-AL"/>
        </w:rPr>
        <w:t xml:space="preserve">14 mars 2018, nga një përfaqësi e Shkollës së </w:t>
      </w:r>
      <w:r w:rsidRPr="00A06BA5">
        <w:rPr>
          <w:rFonts w:ascii="Times New Roman" w:hAnsi="Times New Roman"/>
          <w:sz w:val="24"/>
          <w:szCs w:val="24"/>
          <w:lang w:val="sq-AL"/>
        </w:rPr>
        <w:lastRenderedPageBreak/>
        <w:t>Magjistraturës në Këshillin e Europës dhe në </w:t>
      </w:r>
      <w:r w:rsidRPr="00A06BA5">
        <w:rPr>
          <w:rStyle w:val="textexposedshow"/>
          <w:rFonts w:ascii="Times New Roman" w:hAnsi="Times New Roman"/>
          <w:sz w:val="24"/>
          <w:szCs w:val="24"/>
          <w:lang w:val="sq-AL"/>
        </w:rPr>
        <w:t>Gjykatën Europiane të të Drejtave të Njeriut.</w:t>
      </w:r>
    </w:p>
    <w:p w:rsidR="002737A9" w:rsidRPr="00A06BA5" w:rsidRDefault="002737A9" w:rsidP="002737A9">
      <w:pPr>
        <w:pStyle w:val="NoSpacing"/>
        <w:spacing w:line="276" w:lineRule="auto"/>
        <w:jc w:val="both"/>
        <w:rPr>
          <w:rStyle w:val="textexposedshow"/>
          <w:rFonts w:ascii="Times New Roman" w:hAnsi="Times New Roman"/>
          <w:sz w:val="24"/>
          <w:szCs w:val="24"/>
          <w:lang w:val="sq-AL"/>
        </w:rPr>
      </w:pPr>
      <w:r w:rsidRPr="00A06BA5">
        <w:rPr>
          <w:rStyle w:val="textexposedshow"/>
          <w:rFonts w:ascii="Times New Roman" w:hAnsi="Times New Roman"/>
          <w:sz w:val="24"/>
          <w:szCs w:val="24"/>
          <w:lang w:val="sq-AL"/>
        </w:rPr>
        <w:t>Vizita konsistoi në zhvillimin e takimeve të ndryshme në këto dy institucione si me gjykatësin përfaqësues të Shqipërisë në GJEDNJ, z. Ledi Bianku dhe përfaqësues të tjerë të të dy institucioneve.</w:t>
      </w:r>
      <w:r w:rsidRPr="00A06BA5">
        <w:rPr>
          <w:rFonts w:ascii="Times New Roman" w:hAnsi="Times New Roman"/>
          <w:sz w:val="24"/>
          <w:szCs w:val="24"/>
          <w:lang w:val="sq-AL"/>
        </w:rPr>
        <w:br/>
      </w:r>
      <w:r w:rsidRPr="00A06BA5">
        <w:rPr>
          <w:rStyle w:val="textexposedshow"/>
          <w:rFonts w:ascii="Times New Roman" w:hAnsi="Times New Roman"/>
          <w:sz w:val="24"/>
          <w:szCs w:val="24"/>
          <w:lang w:val="sq-AL"/>
        </w:rPr>
        <w:t>Çështjet e trajtuara në këtë vizitë gjatë të dy ditëve ishin:</w:t>
      </w:r>
    </w:p>
    <w:p w:rsidR="002737A9" w:rsidRPr="00A06BA5" w:rsidRDefault="002737A9" w:rsidP="005C2687">
      <w:pPr>
        <w:pStyle w:val="NoSpacing"/>
        <w:numPr>
          <w:ilvl w:val="0"/>
          <w:numId w:val="35"/>
        </w:numPr>
        <w:spacing w:line="276" w:lineRule="auto"/>
        <w:jc w:val="both"/>
        <w:rPr>
          <w:rStyle w:val="textexposedshow"/>
          <w:rFonts w:ascii="Times New Roman" w:hAnsi="Times New Roman"/>
          <w:sz w:val="24"/>
          <w:szCs w:val="24"/>
          <w:lang w:val="sq-AL"/>
        </w:rPr>
      </w:pPr>
      <w:r w:rsidRPr="00A06BA5">
        <w:rPr>
          <w:rStyle w:val="textexposedshow"/>
          <w:rFonts w:ascii="Times New Roman" w:hAnsi="Times New Roman"/>
          <w:sz w:val="24"/>
          <w:szCs w:val="24"/>
          <w:lang w:val="sq-AL"/>
        </w:rPr>
        <w:t>Protokolli nr. 16 i KEDNJ-së dhe perspektiva e zbatimit të tij;</w:t>
      </w:r>
    </w:p>
    <w:p w:rsidR="002737A9" w:rsidRPr="00A06BA5" w:rsidRDefault="002737A9" w:rsidP="005C2687">
      <w:pPr>
        <w:pStyle w:val="NoSpacing"/>
        <w:numPr>
          <w:ilvl w:val="0"/>
          <w:numId w:val="35"/>
        </w:numPr>
        <w:spacing w:line="276" w:lineRule="auto"/>
        <w:jc w:val="both"/>
        <w:rPr>
          <w:rStyle w:val="textexposedshow"/>
          <w:rFonts w:ascii="Times New Roman" w:hAnsi="Times New Roman"/>
          <w:sz w:val="24"/>
          <w:szCs w:val="24"/>
          <w:lang w:val="sq-AL"/>
        </w:rPr>
      </w:pPr>
      <w:r w:rsidRPr="00A06BA5">
        <w:rPr>
          <w:rStyle w:val="textexposedshow"/>
          <w:rFonts w:ascii="Times New Roman" w:hAnsi="Times New Roman"/>
          <w:sz w:val="24"/>
          <w:szCs w:val="24"/>
          <w:lang w:val="sq-AL"/>
        </w:rPr>
        <w:t>Komisioni i Venecias dhe Shqipëria: Amicus Curiae për Gjykatën Kushtetuese;</w:t>
      </w:r>
    </w:p>
    <w:p w:rsidR="002737A9" w:rsidRPr="00A06BA5" w:rsidRDefault="002737A9" w:rsidP="005C2687">
      <w:pPr>
        <w:pStyle w:val="NoSpacing"/>
        <w:numPr>
          <w:ilvl w:val="0"/>
          <w:numId w:val="35"/>
        </w:numPr>
        <w:spacing w:line="276" w:lineRule="auto"/>
        <w:jc w:val="both"/>
        <w:rPr>
          <w:rStyle w:val="textexposedshow"/>
          <w:rFonts w:ascii="Times New Roman" w:hAnsi="Times New Roman"/>
          <w:sz w:val="24"/>
          <w:szCs w:val="24"/>
          <w:lang w:val="sq-AL"/>
        </w:rPr>
      </w:pPr>
      <w:r w:rsidRPr="00A06BA5">
        <w:rPr>
          <w:rStyle w:val="textexposedshow"/>
          <w:rFonts w:ascii="Times New Roman" w:hAnsi="Times New Roman"/>
          <w:sz w:val="24"/>
          <w:szCs w:val="24"/>
          <w:lang w:val="sq-AL"/>
        </w:rPr>
        <w:t>Edukimi i Profesionistëve të Ligjit me të Drejtat e Njeriut – HELP</w:t>
      </w:r>
      <w:r w:rsidRPr="00A06BA5">
        <w:rPr>
          <w:rFonts w:ascii="Times New Roman" w:hAnsi="Times New Roman"/>
          <w:sz w:val="24"/>
          <w:szCs w:val="24"/>
          <w:lang w:val="sq-AL"/>
        </w:rPr>
        <w:br/>
      </w:r>
      <w:r w:rsidRPr="00A06BA5">
        <w:rPr>
          <w:rStyle w:val="textexposedshow"/>
          <w:rFonts w:ascii="Times New Roman" w:hAnsi="Times New Roman"/>
          <w:sz w:val="24"/>
          <w:szCs w:val="24"/>
          <w:lang w:val="sq-AL"/>
        </w:rPr>
        <w:t xml:space="preserve">Vendimet e GJEDNJ-së për Shqipërinë. </w:t>
      </w:r>
    </w:p>
    <w:p w:rsidR="002737A9" w:rsidRDefault="002737A9" w:rsidP="002737A9">
      <w:pPr>
        <w:pStyle w:val="NoSpacing"/>
        <w:spacing w:line="276" w:lineRule="auto"/>
        <w:jc w:val="both"/>
        <w:rPr>
          <w:rFonts w:ascii="Times New Roman" w:hAnsi="Times New Roman"/>
          <w:noProof/>
          <w:sz w:val="24"/>
          <w:szCs w:val="24"/>
        </w:rPr>
      </w:pPr>
      <w:r w:rsidRPr="00A06BA5">
        <w:rPr>
          <w:rStyle w:val="textexposedshow"/>
          <w:rFonts w:ascii="Times New Roman" w:hAnsi="Times New Roman"/>
          <w:sz w:val="24"/>
          <w:szCs w:val="24"/>
          <w:lang w:val="sq-AL"/>
        </w:rPr>
        <w:t>Njëkohësisht, u realizua pjesëmarrja</w:t>
      </w:r>
      <w:r w:rsidRPr="007F5F77">
        <w:rPr>
          <w:rStyle w:val="textexposedshow"/>
          <w:rFonts w:ascii="Times New Roman" w:hAnsi="Times New Roman"/>
          <w:sz w:val="24"/>
          <w:szCs w:val="24"/>
          <w:lang w:val="sq-AL"/>
        </w:rPr>
        <w:t xml:space="preserve"> në Dhomën e Madhe të GJEDNJ</w:t>
      </w:r>
      <w:r>
        <w:rPr>
          <w:rStyle w:val="textexposedshow"/>
          <w:rFonts w:ascii="Times New Roman" w:hAnsi="Times New Roman"/>
          <w:sz w:val="24"/>
          <w:szCs w:val="24"/>
          <w:lang w:val="sq-AL"/>
        </w:rPr>
        <w:t>-së</w:t>
      </w:r>
      <w:r w:rsidRPr="007F5F77">
        <w:rPr>
          <w:rStyle w:val="textexposedshow"/>
          <w:rFonts w:ascii="Times New Roman" w:hAnsi="Times New Roman"/>
          <w:sz w:val="24"/>
          <w:szCs w:val="24"/>
          <w:lang w:val="sq-AL"/>
        </w:rPr>
        <w:t xml:space="preserve"> për të ndjekur gjykimin e çështjes </w:t>
      </w:r>
      <w:r w:rsidRPr="007F5F77">
        <w:rPr>
          <w:rStyle w:val="textexposedshow"/>
          <w:rFonts w:ascii="Times New Roman" w:hAnsi="Times New Roman"/>
          <w:i/>
          <w:sz w:val="24"/>
          <w:szCs w:val="24"/>
          <w:lang w:val="sq-AL"/>
        </w:rPr>
        <w:t>Lekic kundër Sllovenisë</w:t>
      </w:r>
      <w:r w:rsidRPr="007F5F77">
        <w:rPr>
          <w:rStyle w:val="textexposedshow"/>
          <w:rFonts w:ascii="Times New Roman" w:hAnsi="Times New Roman"/>
          <w:sz w:val="24"/>
          <w:szCs w:val="24"/>
          <w:lang w:val="sq-AL"/>
        </w:rPr>
        <w:t>.</w:t>
      </w:r>
      <w:r w:rsidRPr="002737A9">
        <w:rPr>
          <w:rFonts w:ascii="Times New Roman" w:hAnsi="Times New Roman"/>
          <w:noProof/>
          <w:sz w:val="24"/>
          <w:szCs w:val="24"/>
        </w:rPr>
        <w:t xml:space="preserve"> </w:t>
      </w:r>
    </w:p>
    <w:p w:rsidR="002737A9" w:rsidRDefault="002737A9" w:rsidP="002737A9">
      <w:pPr>
        <w:pStyle w:val="NoSpacing"/>
        <w:spacing w:line="276" w:lineRule="auto"/>
        <w:jc w:val="both"/>
        <w:rPr>
          <w:rStyle w:val="textexposedshow"/>
          <w:rFonts w:ascii="Times New Roman" w:hAnsi="Times New Roman"/>
          <w:sz w:val="24"/>
          <w:szCs w:val="24"/>
          <w:lang w:val="sq-AL"/>
        </w:rPr>
      </w:pPr>
    </w:p>
    <w:p w:rsidR="002737A9" w:rsidRPr="002737A9" w:rsidRDefault="002737A9" w:rsidP="005C2687">
      <w:pPr>
        <w:pStyle w:val="NoSpacing"/>
        <w:numPr>
          <w:ilvl w:val="0"/>
          <w:numId w:val="37"/>
        </w:numPr>
        <w:rPr>
          <w:rFonts w:ascii="Times New Roman" w:hAnsi="Times New Roman"/>
          <w:b/>
          <w:color w:val="0070C0"/>
          <w:sz w:val="24"/>
          <w:szCs w:val="24"/>
          <w:lang w:val="sq-AL"/>
        </w:rPr>
      </w:pPr>
      <w:r w:rsidRPr="007F5F77">
        <w:rPr>
          <w:rFonts w:ascii="Times New Roman" w:hAnsi="Times New Roman"/>
          <w:b/>
          <w:color w:val="0070C0"/>
          <w:sz w:val="24"/>
          <w:szCs w:val="24"/>
          <w:lang w:val="sq-AL"/>
        </w:rPr>
        <w:t>Konkursi Ndërkombëtar THEMIS, Barcelonë</w:t>
      </w:r>
      <w:r>
        <w:rPr>
          <w:rFonts w:ascii="Times New Roman" w:hAnsi="Times New Roman"/>
          <w:b/>
          <w:color w:val="0070C0"/>
          <w:sz w:val="24"/>
          <w:szCs w:val="24"/>
          <w:lang w:val="sq-AL"/>
        </w:rPr>
        <w:t xml:space="preserve">, </w:t>
      </w:r>
      <w:r w:rsidRPr="002737A9">
        <w:rPr>
          <w:rFonts w:ascii="Times New Roman" w:hAnsi="Times New Roman"/>
          <w:b/>
          <w:color w:val="0070C0"/>
          <w:sz w:val="24"/>
          <w:szCs w:val="24"/>
          <w:lang w:val="sq-AL"/>
        </w:rPr>
        <w:t>24-27 prill 2018</w:t>
      </w:r>
    </w:p>
    <w:p w:rsidR="002737A9" w:rsidRPr="00EE2DE7" w:rsidRDefault="002737A9" w:rsidP="002737A9">
      <w:pPr>
        <w:pStyle w:val="NoSpacing"/>
        <w:jc w:val="center"/>
        <w:rPr>
          <w:rFonts w:ascii="Times New Roman" w:hAnsi="Times New Roman"/>
          <w:b/>
          <w:sz w:val="24"/>
          <w:szCs w:val="24"/>
          <w:lang w:val="sq-AL"/>
        </w:rPr>
      </w:pPr>
    </w:p>
    <w:p w:rsidR="002737A9" w:rsidRPr="00EE2DE7" w:rsidRDefault="002737A9" w:rsidP="002737A9">
      <w:pPr>
        <w:pStyle w:val="NoSpacing"/>
        <w:spacing w:line="276" w:lineRule="auto"/>
        <w:ind w:firstLine="720"/>
        <w:jc w:val="both"/>
        <w:rPr>
          <w:rFonts w:ascii="Times New Roman" w:hAnsi="Times New Roman"/>
          <w:sz w:val="24"/>
          <w:szCs w:val="24"/>
          <w:lang w:val="sq-AL"/>
        </w:rPr>
      </w:pPr>
      <w:r w:rsidRPr="00EE2DE7">
        <w:rPr>
          <w:rFonts w:ascii="Times New Roman" w:hAnsi="Times New Roman"/>
          <w:sz w:val="24"/>
          <w:szCs w:val="24"/>
          <w:lang w:val="sq-AL"/>
        </w:rPr>
        <w:t>Në kuadër të bashkëpunimit me Rrjetin E</w:t>
      </w:r>
      <w:r>
        <w:rPr>
          <w:rFonts w:ascii="Times New Roman" w:hAnsi="Times New Roman"/>
          <w:sz w:val="24"/>
          <w:szCs w:val="24"/>
          <w:lang w:val="sq-AL"/>
        </w:rPr>
        <w:t>u</w:t>
      </w:r>
      <w:r w:rsidRPr="00EE2DE7">
        <w:rPr>
          <w:rFonts w:ascii="Times New Roman" w:hAnsi="Times New Roman"/>
          <w:sz w:val="24"/>
          <w:szCs w:val="24"/>
          <w:lang w:val="sq-AL"/>
        </w:rPr>
        <w:t>ropian të Trajnimit Gjyqësor, Shkolla e Magjistraturës mori pjesë në Konkursin Ndërkombëtar THEMIS, me një skuadër studentësh e shoqëruar me një pedagog të brendshëm të Shkollës.</w:t>
      </w:r>
    </w:p>
    <w:p w:rsidR="002737A9" w:rsidRPr="006A1529" w:rsidRDefault="002737A9" w:rsidP="002737A9">
      <w:pPr>
        <w:pStyle w:val="NoSpacing"/>
        <w:spacing w:line="276" w:lineRule="auto"/>
        <w:ind w:firstLine="720"/>
        <w:jc w:val="both"/>
        <w:rPr>
          <w:rFonts w:ascii="Times New Roman" w:hAnsi="Times New Roman"/>
          <w:sz w:val="24"/>
          <w:szCs w:val="24"/>
          <w:lang w:val="sq-AL"/>
        </w:rPr>
      </w:pPr>
      <w:r w:rsidRPr="006A1529">
        <w:rPr>
          <w:rFonts w:ascii="Times New Roman" w:hAnsi="Times New Roman"/>
          <w:sz w:val="24"/>
          <w:szCs w:val="24"/>
          <w:lang w:val="sq-AL"/>
        </w:rPr>
        <w:t>Konkursi pati synimin të promovonte një forum diskutimi për të drejtën e</w:t>
      </w:r>
      <w:r>
        <w:rPr>
          <w:rFonts w:ascii="Times New Roman" w:hAnsi="Times New Roman"/>
          <w:sz w:val="24"/>
          <w:szCs w:val="24"/>
          <w:lang w:val="sq-AL"/>
        </w:rPr>
        <w:t>u</w:t>
      </w:r>
      <w:r w:rsidRPr="006A1529">
        <w:rPr>
          <w:rFonts w:ascii="Times New Roman" w:hAnsi="Times New Roman"/>
          <w:sz w:val="24"/>
          <w:szCs w:val="24"/>
          <w:lang w:val="sq-AL"/>
        </w:rPr>
        <w:t>ropiane dhe ndërkombëtare, të promovonte shkëmbimin e përvojave ndërmjet shkollave të trajnimit gjyqësor në E</w:t>
      </w:r>
      <w:r>
        <w:rPr>
          <w:rFonts w:ascii="Times New Roman" w:hAnsi="Times New Roman"/>
          <w:sz w:val="24"/>
          <w:szCs w:val="24"/>
          <w:lang w:val="sq-AL"/>
        </w:rPr>
        <w:t>u</w:t>
      </w:r>
      <w:r w:rsidRPr="006A1529">
        <w:rPr>
          <w:rFonts w:ascii="Times New Roman" w:hAnsi="Times New Roman"/>
          <w:sz w:val="24"/>
          <w:szCs w:val="24"/>
          <w:lang w:val="sq-AL"/>
        </w:rPr>
        <w:t>ropë, si dhe të inkurajonte</w:t>
      </w:r>
      <w:r w:rsidRPr="006A1529">
        <w:rPr>
          <w:rStyle w:val="textexposedshow"/>
          <w:rFonts w:ascii="Times New Roman" w:hAnsi="Times New Roman"/>
          <w:sz w:val="24"/>
          <w:szCs w:val="24"/>
          <w:lang w:val="sq-AL"/>
        </w:rPr>
        <w:t xml:space="preserve"> zhvillimin e të menduarit kritik dhe të aftësive të komunikimit.</w:t>
      </w:r>
      <w:r w:rsidRPr="006A1529">
        <w:rPr>
          <w:rFonts w:ascii="Times New Roman" w:hAnsi="Times New Roman"/>
          <w:sz w:val="24"/>
          <w:szCs w:val="24"/>
          <w:lang w:val="sq-AL"/>
        </w:rPr>
        <w:br/>
      </w:r>
      <w:r w:rsidRPr="006A1529">
        <w:rPr>
          <w:rStyle w:val="textexposedshow"/>
          <w:rFonts w:ascii="Times New Roman" w:hAnsi="Times New Roman"/>
          <w:sz w:val="24"/>
          <w:szCs w:val="24"/>
          <w:lang w:val="sq-AL"/>
        </w:rPr>
        <w:t xml:space="preserve">Skuadra e Shkollës së Magjistraturës përbëhej nga </w:t>
      </w:r>
      <w:r>
        <w:rPr>
          <w:rStyle w:val="textexposedshow"/>
          <w:rFonts w:ascii="Times New Roman" w:hAnsi="Times New Roman"/>
          <w:sz w:val="24"/>
          <w:szCs w:val="24"/>
          <w:lang w:val="sq-AL"/>
        </w:rPr>
        <w:t>z</w:t>
      </w:r>
      <w:r w:rsidRPr="006A1529">
        <w:rPr>
          <w:rStyle w:val="textexposedshow"/>
          <w:rFonts w:ascii="Times New Roman" w:hAnsi="Times New Roman"/>
          <w:sz w:val="24"/>
          <w:szCs w:val="24"/>
          <w:lang w:val="sq-AL"/>
        </w:rPr>
        <w:t xml:space="preserve">. Olti Skrame, </w:t>
      </w:r>
      <w:r>
        <w:rPr>
          <w:rStyle w:val="textexposedshow"/>
          <w:rFonts w:ascii="Times New Roman" w:hAnsi="Times New Roman"/>
          <w:sz w:val="24"/>
          <w:szCs w:val="24"/>
          <w:lang w:val="sq-AL"/>
        </w:rPr>
        <w:t>znj. Iva Çorri dhe z</w:t>
      </w:r>
      <w:r w:rsidRPr="006A1529">
        <w:rPr>
          <w:rStyle w:val="textexposedshow"/>
          <w:rFonts w:ascii="Times New Roman" w:hAnsi="Times New Roman"/>
          <w:sz w:val="24"/>
          <w:szCs w:val="24"/>
          <w:lang w:val="sq-AL"/>
        </w:rPr>
        <w:t>. Florian Boriçi, kandidatë për magjistratë në vitin e tretë dhe të d</w:t>
      </w:r>
      <w:r>
        <w:rPr>
          <w:rStyle w:val="textexposedshow"/>
          <w:rFonts w:ascii="Times New Roman" w:hAnsi="Times New Roman"/>
          <w:sz w:val="24"/>
          <w:szCs w:val="24"/>
          <w:lang w:val="sq-AL"/>
        </w:rPr>
        <w:t>ytë të Shkollës, shoqëruar nga pedagogu z. Arben Rakipi</w:t>
      </w:r>
      <w:r w:rsidRPr="006A1529">
        <w:rPr>
          <w:rStyle w:val="textexposedshow"/>
          <w:rFonts w:ascii="Times New Roman" w:hAnsi="Times New Roman"/>
          <w:sz w:val="24"/>
          <w:szCs w:val="24"/>
          <w:lang w:val="sq-AL"/>
        </w:rPr>
        <w:t xml:space="preserve"> dhe mori pjesë në forumin me tematikë: </w:t>
      </w:r>
      <w:r>
        <w:rPr>
          <w:rStyle w:val="textexposedshow"/>
          <w:rFonts w:ascii="Times New Roman" w:hAnsi="Times New Roman"/>
          <w:sz w:val="24"/>
          <w:szCs w:val="24"/>
          <w:lang w:val="sq-AL"/>
        </w:rPr>
        <w:t>“</w:t>
      </w:r>
      <w:r w:rsidRPr="006A1529">
        <w:rPr>
          <w:rStyle w:val="textexposedshow"/>
          <w:rFonts w:ascii="Times New Roman" w:hAnsi="Times New Roman"/>
          <w:i/>
          <w:sz w:val="24"/>
          <w:szCs w:val="24"/>
          <w:lang w:val="sq-AL"/>
        </w:rPr>
        <w:t>Bashkëpunimi ndërkombëtar në çështjet penale</w:t>
      </w:r>
      <w:r>
        <w:rPr>
          <w:rStyle w:val="textexposedshow"/>
          <w:rFonts w:ascii="Times New Roman" w:hAnsi="Times New Roman"/>
          <w:sz w:val="24"/>
          <w:szCs w:val="24"/>
          <w:lang w:val="sq-AL"/>
        </w:rPr>
        <w:t>”</w:t>
      </w:r>
      <w:r w:rsidRPr="006A1529">
        <w:rPr>
          <w:rStyle w:val="textexposedshow"/>
          <w:rFonts w:ascii="Times New Roman" w:hAnsi="Times New Roman"/>
          <w:sz w:val="24"/>
          <w:szCs w:val="24"/>
          <w:lang w:val="sq-AL"/>
        </w:rPr>
        <w:t>.</w:t>
      </w:r>
    </w:p>
    <w:p w:rsidR="002737A9" w:rsidRDefault="002737A9" w:rsidP="002737A9">
      <w:pPr>
        <w:pStyle w:val="NoSpacing"/>
        <w:spacing w:line="276" w:lineRule="auto"/>
        <w:ind w:firstLine="720"/>
        <w:jc w:val="both"/>
        <w:rPr>
          <w:rFonts w:ascii="Times New Roman" w:hAnsi="Times New Roman"/>
          <w:sz w:val="24"/>
          <w:szCs w:val="24"/>
          <w:lang w:val="sq-AL"/>
        </w:rPr>
      </w:pPr>
      <w:r w:rsidRPr="006A1529">
        <w:rPr>
          <w:rFonts w:ascii="Times New Roman" w:hAnsi="Times New Roman"/>
          <w:sz w:val="24"/>
          <w:szCs w:val="24"/>
          <w:lang w:val="sq-AL"/>
        </w:rPr>
        <w:t xml:space="preserve">Në mbyllje të këtij </w:t>
      </w:r>
      <w:r>
        <w:rPr>
          <w:rFonts w:ascii="Times New Roman" w:hAnsi="Times New Roman"/>
          <w:sz w:val="24"/>
          <w:szCs w:val="24"/>
          <w:lang w:val="sq-AL"/>
        </w:rPr>
        <w:t>k</w:t>
      </w:r>
      <w:r w:rsidRPr="006A1529">
        <w:rPr>
          <w:rFonts w:ascii="Times New Roman" w:hAnsi="Times New Roman"/>
          <w:sz w:val="24"/>
          <w:szCs w:val="24"/>
          <w:lang w:val="sq-AL"/>
        </w:rPr>
        <w:t>onkursi, skuadra e Shkollës së Magjistraturës u vlerësua me Çmimin Special të Jurisë.</w:t>
      </w:r>
    </w:p>
    <w:p w:rsidR="002737A9" w:rsidRPr="00A07C6C" w:rsidRDefault="002737A9" w:rsidP="002737A9">
      <w:pPr>
        <w:pStyle w:val="NoSpacing"/>
        <w:spacing w:line="276" w:lineRule="auto"/>
        <w:ind w:firstLine="720"/>
        <w:jc w:val="both"/>
        <w:rPr>
          <w:rFonts w:ascii="Times New Roman" w:hAnsi="Times New Roman"/>
          <w:sz w:val="24"/>
          <w:szCs w:val="24"/>
          <w:lang w:val="sq-AL"/>
        </w:rPr>
      </w:pPr>
    </w:p>
    <w:p w:rsidR="002737A9" w:rsidRPr="007B1E3D" w:rsidRDefault="002737A9" w:rsidP="002737A9">
      <w:pPr>
        <w:pStyle w:val="NoSpacing"/>
        <w:jc w:val="center"/>
        <w:rPr>
          <w:rFonts w:ascii="Times New Roman" w:hAnsi="Times New Roman"/>
          <w:bCs/>
          <w:color w:val="4C4C4C" w:themeColor="accent5" w:themeShade="80"/>
          <w:sz w:val="24"/>
          <w:szCs w:val="24"/>
          <w:lang w:val="sq-AL"/>
        </w:rPr>
      </w:pPr>
      <w:r w:rsidRPr="00EE2DE7">
        <w:rPr>
          <w:rFonts w:ascii="Times New Roman" w:hAnsi="Times New Roman"/>
          <w:noProof/>
          <w:sz w:val="24"/>
          <w:szCs w:val="24"/>
        </w:rPr>
        <w:drawing>
          <wp:inline distT="0" distB="0" distL="0" distR="0">
            <wp:extent cx="3029522" cy="1737360"/>
            <wp:effectExtent l="19050" t="0" r="0" b="0"/>
            <wp:docPr id="48" name="Picture 48" descr="Image may contain: one or more people, people sitting and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may contain: one or more people, people sitting and indoor"/>
                    <pic:cNvPicPr>
                      <a:picLocks noChangeAspect="1" noChangeArrowheads="1"/>
                    </pic:cNvPicPr>
                  </pic:nvPicPr>
                  <pic:blipFill>
                    <a:blip r:embed="rId33" cstate="print">
                      <a:extLst>
                        <a:ext uri="{28A0092B-C50C-407E-A947-70E740481C1C}">
                          <a14:useLocalDpi xmlns:a14="http://schemas.microsoft.com/office/drawing/2010/main" val="0"/>
                        </a:ext>
                      </a:extLst>
                    </a:blip>
                    <a:srcRect l="3185" t="20147"/>
                    <a:stretch>
                      <a:fillRect/>
                    </a:stretch>
                  </pic:blipFill>
                  <pic:spPr bwMode="auto">
                    <a:xfrm>
                      <a:off x="0" y="0"/>
                      <a:ext cx="3029522" cy="1737360"/>
                    </a:xfrm>
                    <a:prstGeom prst="rect">
                      <a:avLst/>
                    </a:prstGeom>
                    <a:noFill/>
                    <a:ln>
                      <a:noFill/>
                    </a:ln>
                  </pic:spPr>
                </pic:pic>
              </a:graphicData>
            </a:graphic>
          </wp:inline>
        </w:drawing>
      </w:r>
      <w:r w:rsidRPr="00EE2DE7">
        <w:rPr>
          <w:rFonts w:ascii="Times New Roman" w:hAnsi="Times New Roman"/>
          <w:b/>
          <w:noProof/>
          <w:sz w:val="24"/>
          <w:szCs w:val="24"/>
        </w:rPr>
        <w:drawing>
          <wp:inline distT="0" distB="0" distL="0" distR="0">
            <wp:extent cx="2861310" cy="1737360"/>
            <wp:effectExtent l="19050" t="0" r="0" b="0"/>
            <wp:docPr id="54" name="Picture 54" descr="C:\Users\Dori\Desktop\DSC_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ori\Desktop\DSC_0042.JPG"/>
                    <pic:cNvPicPr>
                      <a:picLocks noChangeAspect="1" noChangeArrowheads="1"/>
                    </pic:cNvPicPr>
                  </pic:nvPicPr>
                  <pic:blipFill>
                    <a:blip r:embed="rId34" cstate="print">
                      <a:extLst>
                        <a:ext uri="{28A0092B-C50C-407E-A947-70E740481C1C}">
                          <a14:useLocalDpi xmlns:a14="http://schemas.microsoft.com/office/drawing/2010/main" val="0"/>
                        </a:ext>
                      </a:extLst>
                    </a:blip>
                    <a:srcRect t="15584" r="3097"/>
                    <a:stretch>
                      <a:fillRect/>
                    </a:stretch>
                  </pic:blipFill>
                  <pic:spPr bwMode="auto">
                    <a:xfrm>
                      <a:off x="0" y="0"/>
                      <a:ext cx="2861310" cy="1737360"/>
                    </a:xfrm>
                    <a:prstGeom prst="rect">
                      <a:avLst/>
                    </a:prstGeom>
                    <a:noFill/>
                    <a:ln>
                      <a:noFill/>
                    </a:ln>
                  </pic:spPr>
                </pic:pic>
              </a:graphicData>
            </a:graphic>
          </wp:inline>
        </w:drawing>
      </w:r>
    </w:p>
    <w:p w:rsidR="00B3782C" w:rsidRDefault="00B3782C" w:rsidP="008D2205">
      <w:pPr>
        <w:spacing w:line="276" w:lineRule="auto"/>
        <w:jc w:val="both"/>
        <w:rPr>
          <w:b/>
          <w:color w:val="CC9966" w:themeColor="accent2"/>
          <w:sz w:val="32"/>
        </w:rPr>
      </w:pPr>
    </w:p>
    <w:p w:rsidR="002737A9" w:rsidRPr="002737A9" w:rsidRDefault="002737A9" w:rsidP="005C2687">
      <w:pPr>
        <w:pStyle w:val="NoSpacing"/>
        <w:numPr>
          <w:ilvl w:val="0"/>
          <w:numId w:val="37"/>
        </w:numPr>
        <w:rPr>
          <w:rFonts w:ascii="Times New Roman" w:hAnsi="Times New Roman"/>
          <w:b/>
          <w:color w:val="0070C0"/>
          <w:sz w:val="24"/>
          <w:szCs w:val="24"/>
          <w:lang w:val="sq-AL"/>
        </w:rPr>
      </w:pPr>
      <w:r w:rsidRPr="006A1529">
        <w:rPr>
          <w:rFonts w:ascii="Times New Roman" w:hAnsi="Times New Roman"/>
          <w:b/>
          <w:color w:val="0070C0"/>
          <w:sz w:val="24"/>
          <w:szCs w:val="24"/>
          <w:lang w:val="sq-AL"/>
        </w:rPr>
        <w:t>Vizitë pune e delegacionit nga Akademia e Drejtësisë së Turqisë</w:t>
      </w:r>
      <w:r>
        <w:rPr>
          <w:rFonts w:ascii="Times New Roman" w:hAnsi="Times New Roman"/>
          <w:b/>
          <w:color w:val="0070C0"/>
          <w:sz w:val="24"/>
          <w:szCs w:val="24"/>
          <w:lang w:val="sq-AL"/>
        </w:rPr>
        <w:t xml:space="preserve">. </w:t>
      </w:r>
      <w:r w:rsidRPr="002737A9">
        <w:rPr>
          <w:rFonts w:ascii="Times New Roman" w:hAnsi="Times New Roman"/>
          <w:b/>
          <w:color w:val="0070C0"/>
          <w:sz w:val="24"/>
          <w:szCs w:val="24"/>
          <w:lang w:val="sq-AL"/>
        </w:rPr>
        <w:t>23-27 prill 2018</w:t>
      </w:r>
    </w:p>
    <w:p w:rsidR="002737A9" w:rsidRPr="00EE2DE7" w:rsidRDefault="002737A9" w:rsidP="002737A9">
      <w:pPr>
        <w:pStyle w:val="NoSpacing"/>
        <w:jc w:val="center"/>
        <w:rPr>
          <w:rFonts w:ascii="Times New Roman" w:hAnsi="Times New Roman"/>
          <w:b/>
          <w:sz w:val="24"/>
          <w:szCs w:val="24"/>
          <w:lang w:val="sq-AL"/>
        </w:rPr>
      </w:pPr>
    </w:p>
    <w:p w:rsidR="002737A9" w:rsidRPr="006A1529" w:rsidRDefault="002737A9" w:rsidP="002737A9">
      <w:pPr>
        <w:pStyle w:val="NoSpacing"/>
        <w:spacing w:line="276" w:lineRule="auto"/>
        <w:ind w:firstLine="720"/>
        <w:jc w:val="both"/>
        <w:rPr>
          <w:rFonts w:ascii="Times New Roman" w:hAnsi="Times New Roman"/>
          <w:sz w:val="24"/>
          <w:szCs w:val="24"/>
          <w:lang w:val="sq-AL"/>
        </w:rPr>
      </w:pPr>
      <w:r w:rsidRPr="006A1529">
        <w:rPr>
          <w:rFonts w:ascii="Times New Roman" w:hAnsi="Times New Roman"/>
          <w:sz w:val="24"/>
          <w:szCs w:val="24"/>
          <w:lang w:val="sq-AL"/>
        </w:rPr>
        <w:t xml:space="preserve">Në kuadër të bashkëpunimit me Akademinë e Drejtësisë së Turqisë, u zhvillua vizita e punës e një delegacioni përfaqësues të akademisë dhe institucioneve të drejtësisë së Turqisë, i përbërë nga përfaqësues të Akademisë dhe Ministrisë së Drejtësisë </w:t>
      </w:r>
      <w:r>
        <w:rPr>
          <w:rFonts w:ascii="Times New Roman" w:hAnsi="Times New Roman"/>
          <w:sz w:val="24"/>
          <w:szCs w:val="24"/>
          <w:lang w:val="sq-AL"/>
        </w:rPr>
        <w:t>s</w:t>
      </w:r>
      <w:r w:rsidRPr="006A1529">
        <w:rPr>
          <w:rFonts w:ascii="Times New Roman" w:hAnsi="Times New Roman"/>
          <w:sz w:val="24"/>
          <w:szCs w:val="24"/>
          <w:lang w:val="sq-AL"/>
        </w:rPr>
        <w:t>ë Turqisë.</w:t>
      </w:r>
    </w:p>
    <w:p w:rsidR="002737A9" w:rsidRPr="006A1529" w:rsidRDefault="002737A9" w:rsidP="002737A9">
      <w:pPr>
        <w:pStyle w:val="NoSpacing"/>
        <w:spacing w:line="276" w:lineRule="auto"/>
        <w:ind w:firstLine="720"/>
        <w:jc w:val="both"/>
        <w:rPr>
          <w:rFonts w:ascii="Times New Roman" w:hAnsi="Times New Roman"/>
          <w:sz w:val="24"/>
          <w:szCs w:val="24"/>
          <w:lang w:val="sq-AL"/>
        </w:rPr>
      </w:pPr>
      <w:r w:rsidRPr="006A1529">
        <w:rPr>
          <w:rFonts w:ascii="Times New Roman" w:hAnsi="Times New Roman"/>
          <w:sz w:val="24"/>
          <w:szCs w:val="24"/>
          <w:lang w:val="sq-AL"/>
        </w:rPr>
        <w:lastRenderedPageBreak/>
        <w:t>Gjatë qëndrimit të tyre delegacioni zhvilloi takime me drejtuesit e institucioneve kryesore të drejtësisë në Shqipëri, si në Gjykatën e La</w:t>
      </w:r>
      <w:r w:rsidRPr="006A1529">
        <w:rPr>
          <w:rStyle w:val="textexposedshow"/>
          <w:rFonts w:ascii="Times New Roman" w:hAnsi="Times New Roman"/>
          <w:sz w:val="24"/>
          <w:szCs w:val="24"/>
          <w:lang w:val="sq-AL"/>
        </w:rPr>
        <w:t>rtë, Gjykatën Kushtetuese, Prokurorinë e Përgjithshme, Këshillin e Lartë të Drejtësisë si dhe në Shkollën e Magjistraturës.</w:t>
      </w:r>
    </w:p>
    <w:p w:rsidR="002737A9" w:rsidRDefault="002737A9" w:rsidP="002737A9">
      <w:pPr>
        <w:pStyle w:val="NoSpacing"/>
        <w:spacing w:line="276" w:lineRule="auto"/>
        <w:ind w:firstLine="720"/>
        <w:jc w:val="both"/>
        <w:rPr>
          <w:rFonts w:ascii="Times New Roman" w:hAnsi="Times New Roman"/>
          <w:sz w:val="24"/>
          <w:szCs w:val="24"/>
          <w:lang w:val="sq-AL"/>
        </w:rPr>
      </w:pPr>
      <w:r w:rsidRPr="006A1529">
        <w:rPr>
          <w:rFonts w:ascii="Times New Roman" w:hAnsi="Times New Roman"/>
          <w:sz w:val="24"/>
          <w:szCs w:val="24"/>
          <w:lang w:val="sq-AL"/>
        </w:rPr>
        <w:t>Vizita mbyllet me një prezantim të kulturës dhe traditave të Shqipërisë nëpërmjet vizitave në vende kulturore me interes njohës.</w:t>
      </w:r>
    </w:p>
    <w:p w:rsidR="002737A9" w:rsidRPr="00EE2DE7" w:rsidRDefault="002737A9" w:rsidP="002737A9">
      <w:pPr>
        <w:pStyle w:val="NoSpacing"/>
        <w:spacing w:line="276" w:lineRule="auto"/>
        <w:ind w:firstLine="720"/>
        <w:jc w:val="both"/>
        <w:rPr>
          <w:rFonts w:ascii="Times New Roman" w:hAnsi="Times New Roman"/>
          <w:sz w:val="24"/>
          <w:szCs w:val="24"/>
          <w:lang w:val="sq-AL"/>
        </w:rPr>
      </w:pPr>
    </w:p>
    <w:p w:rsidR="002737A9" w:rsidRPr="002737A9" w:rsidRDefault="002737A9" w:rsidP="005C2687">
      <w:pPr>
        <w:pStyle w:val="NoSpacing"/>
        <w:numPr>
          <w:ilvl w:val="0"/>
          <w:numId w:val="37"/>
        </w:numPr>
        <w:rPr>
          <w:rFonts w:ascii="Times New Roman" w:hAnsi="Times New Roman"/>
          <w:bCs/>
          <w:color w:val="0070C0"/>
          <w:sz w:val="24"/>
          <w:szCs w:val="24"/>
          <w:lang w:val="sq-AL"/>
        </w:rPr>
      </w:pPr>
      <w:r w:rsidRPr="002737A9">
        <w:rPr>
          <w:b/>
          <w:noProof/>
          <w:color w:val="CC9966" w:themeColor="accent2"/>
          <w:sz w:val="32"/>
          <w:szCs w:val="24"/>
        </w:rPr>
        <w:drawing>
          <wp:anchor distT="0" distB="0" distL="114300" distR="114300" simplePos="0" relativeHeight="251742720" behindDoc="0" locked="0" layoutInCell="1" allowOverlap="1">
            <wp:simplePos x="1093470" y="1905000"/>
            <wp:positionH relativeFrom="margin">
              <wp:align>left</wp:align>
            </wp:positionH>
            <wp:positionV relativeFrom="margin">
              <wp:align>top</wp:align>
            </wp:positionV>
            <wp:extent cx="4461510" cy="2179320"/>
            <wp:effectExtent l="19050" t="0" r="0" b="0"/>
            <wp:wrapSquare wrapText="bothSides"/>
            <wp:docPr id="49" name="Picture 49" descr="Image may contain: 4 people, people smiling, people sitting, table and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may contain: 4 people, people smiling, people sitting, table and indoor"/>
                    <pic:cNvPicPr>
                      <a:picLocks noChangeAspect="1" noChangeArrowheads="1"/>
                    </pic:cNvPicPr>
                  </pic:nvPicPr>
                  <pic:blipFill>
                    <a:blip r:embed="rId35" cstate="print">
                      <a:extLst>
                        <a:ext uri="{28A0092B-C50C-407E-A947-70E740481C1C}">
                          <a14:useLocalDpi xmlns:a14="http://schemas.microsoft.com/office/drawing/2010/main" val="0"/>
                        </a:ext>
                      </a:extLst>
                    </a:blip>
                    <a:srcRect t="28461" r="2498"/>
                    <a:stretch>
                      <a:fillRect/>
                    </a:stretch>
                  </pic:blipFill>
                  <pic:spPr bwMode="auto">
                    <a:xfrm>
                      <a:off x="0" y="0"/>
                      <a:ext cx="4461510" cy="2179320"/>
                    </a:xfrm>
                    <a:prstGeom prst="rect">
                      <a:avLst/>
                    </a:prstGeom>
                    <a:noFill/>
                    <a:ln>
                      <a:noFill/>
                    </a:ln>
                  </pic:spPr>
                </pic:pic>
              </a:graphicData>
            </a:graphic>
          </wp:anchor>
        </w:drawing>
      </w:r>
      <w:r w:rsidRPr="006A1529">
        <w:rPr>
          <w:rFonts w:ascii="Times New Roman" w:hAnsi="Times New Roman"/>
          <w:b/>
          <w:color w:val="0070C0"/>
          <w:sz w:val="24"/>
          <w:szCs w:val="24"/>
          <w:lang w:val="sq-AL"/>
        </w:rPr>
        <w:t>Vizita e Kryetarit të Gjykatës së Lartë të Los Anxhelos, S.Czuleger</w:t>
      </w:r>
      <w:r>
        <w:rPr>
          <w:rFonts w:ascii="Times New Roman" w:hAnsi="Times New Roman"/>
          <w:bCs/>
          <w:color w:val="0070C0"/>
          <w:sz w:val="24"/>
          <w:szCs w:val="24"/>
          <w:lang w:val="sq-AL"/>
        </w:rPr>
        <w:t xml:space="preserve">, </w:t>
      </w:r>
      <w:r w:rsidRPr="002737A9">
        <w:rPr>
          <w:rFonts w:ascii="Times New Roman" w:hAnsi="Times New Roman"/>
          <w:b/>
          <w:color w:val="0070C0"/>
          <w:sz w:val="24"/>
          <w:szCs w:val="24"/>
          <w:lang w:val="sq-AL"/>
        </w:rPr>
        <w:t>7-10 maj 2018</w:t>
      </w:r>
    </w:p>
    <w:p w:rsidR="002737A9" w:rsidRPr="00EE2DE7" w:rsidRDefault="002737A9" w:rsidP="002737A9">
      <w:pPr>
        <w:pStyle w:val="NoSpacing"/>
        <w:jc w:val="both"/>
        <w:rPr>
          <w:rFonts w:ascii="Times New Roman" w:hAnsi="Times New Roman"/>
          <w:sz w:val="24"/>
          <w:szCs w:val="24"/>
          <w:lang w:val="sq-AL"/>
        </w:rPr>
      </w:pPr>
    </w:p>
    <w:p w:rsidR="002737A9" w:rsidRPr="00A06BA5" w:rsidRDefault="004E1FD3" w:rsidP="004E1FD3">
      <w:pPr>
        <w:pStyle w:val="NoSpacing"/>
        <w:spacing w:line="276" w:lineRule="auto"/>
        <w:jc w:val="both"/>
        <w:rPr>
          <w:rFonts w:ascii="Times New Roman" w:hAnsi="Times New Roman"/>
          <w:sz w:val="24"/>
          <w:szCs w:val="24"/>
          <w:lang w:val="sq-AL"/>
        </w:rPr>
      </w:pPr>
      <w:r>
        <w:rPr>
          <w:rFonts w:ascii="Times New Roman" w:hAnsi="Times New Roman"/>
          <w:noProof/>
          <w:sz w:val="24"/>
          <w:szCs w:val="24"/>
        </w:rPr>
        <w:drawing>
          <wp:anchor distT="0" distB="0" distL="114300" distR="114300" simplePos="0" relativeHeight="251743744" behindDoc="0" locked="0" layoutInCell="1" allowOverlap="1">
            <wp:simplePos x="0" y="0"/>
            <wp:positionH relativeFrom="margin">
              <wp:align>right</wp:align>
            </wp:positionH>
            <wp:positionV relativeFrom="margin">
              <wp:posOffset>2998470</wp:posOffset>
            </wp:positionV>
            <wp:extent cx="4613910" cy="2194560"/>
            <wp:effectExtent l="19050" t="0" r="0" b="0"/>
            <wp:wrapSquare wrapText="bothSides"/>
            <wp:docPr id="50" name="Picture 50" descr="Image may contain: 17 people, people smiling, people sitting, table and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may contain: 17 people, people smiling, people sitting, table and indoor"/>
                    <pic:cNvPicPr>
                      <a:picLocks noChangeAspect="1" noChangeArrowheads="1"/>
                    </pic:cNvPicPr>
                  </pic:nvPicPr>
                  <pic:blipFill>
                    <a:blip r:embed="rId36" cstate="print">
                      <a:extLst>
                        <a:ext uri="{28A0092B-C50C-407E-A947-70E740481C1C}">
                          <a14:useLocalDpi xmlns:a14="http://schemas.microsoft.com/office/drawing/2010/main" val="0"/>
                        </a:ext>
                      </a:extLst>
                    </a:blip>
                    <a:srcRect l="8298" t="25377" r="3269" b="11558"/>
                    <a:stretch>
                      <a:fillRect/>
                    </a:stretch>
                  </pic:blipFill>
                  <pic:spPr bwMode="auto">
                    <a:xfrm>
                      <a:off x="0" y="0"/>
                      <a:ext cx="4613910" cy="2194560"/>
                    </a:xfrm>
                    <a:prstGeom prst="rect">
                      <a:avLst/>
                    </a:prstGeom>
                    <a:noFill/>
                    <a:ln>
                      <a:noFill/>
                    </a:ln>
                  </pic:spPr>
                </pic:pic>
              </a:graphicData>
            </a:graphic>
          </wp:anchor>
        </w:drawing>
      </w:r>
      <w:r w:rsidR="002737A9" w:rsidRPr="00EE2DE7">
        <w:rPr>
          <w:rFonts w:ascii="Times New Roman" w:hAnsi="Times New Roman"/>
          <w:sz w:val="24"/>
          <w:szCs w:val="24"/>
          <w:lang w:val="sq-AL"/>
        </w:rPr>
        <w:t>Në kuadër të bashkëpunimit me Ambasadën e Shteteve të Bashkuara të Amerikës, zhvilloi në shkollë një seri leksionesh gjykatësi S</w:t>
      </w:r>
      <w:r w:rsidR="002737A9" w:rsidRPr="00A06BA5">
        <w:rPr>
          <w:rFonts w:ascii="Times New Roman" w:hAnsi="Times New Roman"/>
          <w:sz w:val="24"/>
          <w:szCs w:val="24"/>
          <w:lang w:val="sq-AL"/>
        </w:rPr>
        <w:t>. Czuleger, Kryetar i Gjykatës Superiore të Los Anxhelosit, Shtetet e Bashkuara. </w:t>
      </w:r>
    </w:p>
    <w:p w:rsidR="002737A9" w:rsidRPr="00A06BA5" w:rsidRDefault="002737A9" w:rsidP="002737A9">
      <w:pPr>
        <w:pStyle w:val="NoSpacing"/>
        <w:spacing w:line="276" w:lineRule="auto"/>
        <w:ind w:firstLine="720"/>
        <w:jc w:val="both"/>
        <w:rPr>
          <w:rStyle w:val="textexposedshow"/>
          <w:rFonts w:ascii="Times New Roman" w:hAnsi="Times New Roman"/>
          <w:sz w:val="24"/>
          <w:szCs w:val="24"/>
          <w:lang w:val="sq-AL"/>
        </w:rPr>
      </w:pPr>
      <w:r w:rsidRPr="00A06BA5">
        <w:rPr>
          <w:rFonts w:ascii="Times New Roman" w:hAnsi="Times New Roman"/>
          <w:sz w:val="24"/>
          <w:szCs w:val="24"/>
          <w:lang w:val="sq-AL"/>
        </w:rPr>
        <w:t>Z. Czuleger zhvilloi leksione me kandidatët për magjistratë të të tri viteve të Shkollës si dhe një seminar të shkurtër me kancelarët e gjykatave dhe të proku</w:t>
      </w:r>
      <w:r w:rsidRPr="00A06BA5">
        <w:rPr>
          <w:rStyle w:val="textexposedshow"/>
          <w:rFonts w:ascii="Times New Roman" w:hAnsi="Times New Roman"/>
          <w:sz w:val="24"/>
          <w:szCs w:val="24"/>
          <w:lang w:val="sq-AL"/>
        </w:rPr>
        <w:t>rorive.</w:t>
      </w:r>
    </w:p>
    <w:p w:rsidR="002737A9" w:rsidRDefault="002737A9" w:rsidP="004E1FD3">
      <w:pPr>
        <w:pStyle w:val="NoSpacing"/>
        <w:spacing w:line="276" w:lineRule="auto"/>
        <w:jc w:val="both"/>
        <w:rPr>
          <w:rStyle w:val="textexposedshow"/>
          <w:rFonts w:ascii="Times New Roman" w:hAnsi="Times New Roman"/>
          <w:color w:val="1D2129"/>
          <w:sz w:val="24"/>
          <w:szCs w:val="24"/>
          <w:lang w:val="sq-AL"/>
        </w:rPr>
      </w:pPr>
      <w:r w:rsidRPr="00A06BA5">
        <w:rPr>
          <w:rStyle w:val="textexposedshow"/>
          <w:rFonts w:ascii="Times New Roman" w:hAnsi="Times New Roman"/>
          <w:sz w:val="24"/>
          <w:szCs w:val="24"/>
          <w:lang w:val="sq-AL"/>
        </w:rPr>
        <w:t xml:space="preserve">Tematikat e trajtuara ishin: Etika Gjyqësore – Shmangia e grackave, korrupsioni në gjyqësor. Përzgjedhja, rekrutimi dhe trajnimi i gjyqtarëve, pavarësia e gjyqësorit. </w:t>
      </w:r>
      <w:r w:rsidR="004E1FD3">
        <w:rPr>
          <w:rStyle w:val="textexposedshow"/>
          <w:rFonts w:ascii="Times New Roman" w:hAnsi="Times New Roman"/>
          <w:sz w:val="24"/>
          <w:szCs w:val="24"/>
          <w:lang w:val="sq-AL"/>
        </w:rPr>
        <w:t xml:space="preserve"> </w:t>
      </w:r>
      <w:r w:rsidRPr="00A06BA5">
        <w:rPr>
          <w:rStyle w:val="textexposedshow"/>
          <w:rFonts w:ascii="Times New Roman" w:hAnsi="Times New Roman"/>
          <w:sz w:val="24"/>
          <w:szCs w:val="24"/>
          <w:lang w:val="sq-AL"/>
        </w:rPr>
        <w:t xml:space="preserve">Procedura Penale në SHBA – Shqipëri.  Amendamenti i 4-t: kontrolli dhe sekuestrimi. </w:t>
      </w:r>
      <w:r w:rsidRPr="00EE2DE7">
        <w:rPr>
          <w:rStyle w:val="textexposedshow"/>
          <w:rFonts w:ascii="Times New Roman" w:hAnsi="Times New Roman"/>
          <w:color w:val="1D2129"/>
          <w:sz w:val="24"/>
          <w:szCs w:val="24"/>
          <w:lang w:val="sq-AL"/>
        </w:rPr>
        <w:t>Amendamenti i 5</w:t>
      </w:r>
      <w:r>
        <w:rPr>
          <w:rStyle w:val="textexposedshow"/>
          <w:rFonts w:ascii="Times New Roman" w:hAnsi="Times New Roman"/>
          <w:color w:val="1D2129"/>
          <w:sz w:val="24"/>
          <w:szCs w:val="24"/>
          <w:lang w:val="sq-AL"/>
        </w:rPr>
        <w:t>-të: v</w:t>
      </w:r>
      <w:r w:rsidRPr="00EE2DE7">
        <w:rPr>
          <w:rStyle w:val="textexposedshow"/>
          <w:rFonts w:ascii="Times New Roman" w:hAnsi="Times New Roman"/>
          <w:color w:val="1D2129"/>
          <w:sz w:val="24"/>
          <w:szCs w:val="24"/>
          <w:lang w:val="sq-AL"/>
        </w:rPr>
        <w:t>e</w:t>
      </w:r>
      <w:r>
        <w:rPr>
          <w:rStyle w:val="textexposedshow"/>
          <w:rFonts w:ascii="Times New Roman" w:hAnsi="Times New Roman"/>
          <w:color w:val="1D2129"/>
          <w:sz w:val="24"/>
          <w:szCs w:val="24"/>
          <w:lang w:val="sq-AL"/>
        </w:rPr>
        <w:t xml:space="preserve">të-inkriminimi. </w:t>
      </w:r>
      <w:r w:rsidRPr="00EE2DE7">
        <w:rPr>
          <w:rStyle w:val="textexposedshow"/>
          <w:rFonts w:ascii="Times New Roman" w:hAnsi="Times New Roman"/>
          <w:color w:val="1D2129"/>
          <w:sz w:val="24"/>
          <w:szCs w:val="24"/>
          <w:lang w:val="sq-AL"/>
        </w:rPr>
        <w:t>Amendamenti i 6</w:t>
      </w:r>
      <w:r>
        <w:rPr>
          <w:rStyle w:val="textexposedshow"/>
          <w:rFonts w:ascii="Times New Roman" w:hAnsi="Times New Roman"/>
          <w:color w:val="1D2129"/>
          <w:sz w:val="24"/>
          <w:szCs w:val="24"/>
          <w:lang w:val="sq-AL"/>
        </w:rPr>
        <w:t>: të drejtat për gjykim.</w:t>
      </w:r>
      <w:r w:rsidR="004E1FD3">
        <w:rPr>
          <w:rStyle w:val="textexposedshow"/>
          <w:rFonts w:ascii="Times New Roman" w:hAnsi="Times New Roman"/>
          <w:color w:val="1D2129"/>
          <w:sz w:val="24"/>
          <w:szCs w:val="24"/>
          <w:lang w:val="sq-AL"/>
        </w:rPr>
        <w:t xml:space="preserve"> </w:t>
      </w:r>
      <w:r w:rsidRPr="00EE2DE7">
        <w:rPr>
          <w:rStyle w:val="textexposedshow"/>
          <w:rFonts w:ascii="Times New Roman" w:hAnsi="Times New Roman"/>
          <w:color w:val="1D2129"/>
          <w:sz w:val="24"/>
          <w:szCs w:val="24"/>
          <w:lang w:val="sq-AL"/>
        </w:rPr>
        <w:t>Amendamenti i 8</w:t>
      </w:r>
      <w:r>
        <w:rPr>
          <w:rStyle w:val="textexposedshow"/>
          <w:rFonts w:ascii="Times New Roman" w:hAnsi="Times New Roman"/>
          <w:color w:val="1D2129"/>
          <w:sz w:val="24"/>
          <w:szCs w:val="24"/>
          <w:lang w:val="sq-AL"/>
        </w:rPr>
        <w:t>:</w:t>
      </w:r>
      <w:r w:rsidRPr="00EE2DE7">
        <w:rPr>
          <w:rStyle w:val="textexposedshow"/>
          <w:rFonts w:ascii="Times New Roman" w:hAnsi="Times New Roman"/>
          <w:color w:val="1D2129"/>
          <w:sz w:val="24"/>
          <w:szCs w:val="24"/>
          <w:lang w:val="sq-AL"/>
        </w:rPr>
        <w:t xml:space="preserve"> garancia pasurore dhe ndëshkimi</w:t>
      </w:r>
      <w:r>
        <w:rPr>
          <w:rStyle w:val="textexposedshow"/>
          <w:rFonts w:ascii="Times New Roman" w:hAnsi="Times New Roman"/>
          <w:color w:val="1D2129"/>
          <w:sz w:val="24"/>
          <w:szCs w:val="24"/>
          <w:lang w:val="sq-AL"/>
        </w:rPr>
        <w:t xml:space="preserve">. </w:t>
      </w:r>
      <w:r w:rsidRPr="00EE2DE7">
        <w:rPr>
          <w:rStyle w:val="textexposedshow"/>
          <w:rFonts w:ascii="Times New Roman" w:hAnsi="Times New Roman"/>
          <w:color w:val="1D2129"/>
          <w:sz w:val="24"/>
          <w:szCs w:val="24"/>
          <w:lang w:val="sq-AL"/>
        </w:rPr>
        <w:t>Etika gjyqësore,</w:t>
      </w:r>
      <w:r>
        <w:rPr>
          <w:rStyle w:val="textexposedshow"/>
          <w:rFonts w:ascii="Times New Roman" w:hAnsi="Times New Roman"/>
          <w:color w:val="1D2129"/>
          <w:sz w:val="24"/>
          <w:szCs w:val="24"/>
          <w:lang w:val="sq-AL"/>
        </w:rPr>
        <w:t xml:space="preserve"> rëndësia e procedurave në kohë</w:t>
      </w:r>
      <w:r w:rsidRPr="00EE2DE7">
        <w:rPr>
          <w:rStyle w:val="textexposedshow"/>
          <w:rFonts w:ascii="Times New Roman" w:hAnsi="Times New Roman"/>
          <w:color w:val="1D2129"/>
          <w:sz w:val="24"/>
          <w:szCs w:val="24"/>
          <w:lang w:val="sq-AL"/>
        </w:rPr>
        <w:t xml:space="preserve"> etj.</w:t>
      </w:r>
    </w:p>
    <w:p w:rsidR="004E1FD3" w:rsidRPr="004E1FD3" w:rsidRDefault="004E1FD3" w:rsidP="004E1FD3">
      <w:pPr>
        <w:pStyle w:val="NoSpacing"/>
        <w:spacing w:line="276" w:lineRule="auto"/>
        <w:jc w:val="both"/>
        <w:rPr>
          <w:rStyle w:val="textexposedshow"/>
          <w:rFonts w:ascii="Times New Roman" w:hAnsi="Times New Roman"/>
          <w:sz w:val="24"/>
          <w:szCs w:val="24"/>
          <w:lang w:val="sq-AL"/>
        </w:rPr>
      </w:pPr>
    </w:p>
    <w:p w:rsidR="004E1FD3" w:rsidRPr="004E1FD3" w:rsidRDefault="004E1FD3" w:rsidP="005C2687">
      <w:pPr>
        <w:pStyle w:val="NoSpacing"/>
        <w:numPr>
          <w:ilvl w:val="0"/>
          <w:numId w:val="37"/>
        </w:numPr>
        <w:rPr>
          <w:rFonts w:ascii="Times New Roman" w:hAnsi="Times New Roman"/>
          <w:b/>
          <w:color w:val="0070C0"/>
          <w:sz w:val="24"/>
          <w:szCs w:val="24"/>
          <w:lang w:val="sq-AL"/>
        </w:rPr>
      </w:pPr>
      <w:r w:rsidRPr="006A1529">
        <w:rPr>
          <w:rFonts w:ascii="Times New Roman" w:hAnsi="Times New Roman"/>
          <w:b/>
          <w:color w:val="0070C0"/>
          <w:sz w:val="24"/>
          <w:szCs w:val="24"/>
          <w:lang w:val="sq-AL"/>
        </w:rPr>
        <w:t>Leksion me z. Clint Williamson</w:t>
      </w:r>
      <w:r>
        <w:rPr>
          <w:rFonts w:ascii="Times New Roman" w:hAnsi="Times New Roman"/>
          <w:b/>
          <w:color w:val="0070C0"/>
          <w:sz w:val="24"/>
          <w:szCs w:val="24"/>
          <w:lang w:val="sq-AL"/>
        </w:rPr>
        <w:t xml:space="preserve">, </w:t>
      </w:r>
      <w:r w:rsidRPr="004E1FD3">
        <w:rPr>
          <w:rFonts w:ascii="Times New Roman" w:hAnsi="Times New Roman"/>
          <w:b/>
          <w:color w:val="0070C0"/>
          <w:sz w:val="24"/>
          <w:szCs w:val="24"/>
          <w:lang w:val="sq-AL"/>
        </w:rPr>
        <w:t>16 maj 2018</w:t>
      </w:r>
    </w:p>
    <w:p w:rsidR="004E1FD3" w:rsidRPr="00EE2DE7" w:rsidRDefault="004E1FD3" w:rsidP="004E1FD3">
      <w:pPr>
        <w:pStyle w:val="NoSpacing"/>
        <w:jc w:val="both"/>
        <w:rPr>
          <w:rFonts w:ascii="Times New Roman" w:hAnsi="Times New Roman"/>
          <w:sz w:val="24"/>
          <w:szCs w:val="24"/>
          <w:lang w:val="sq-AL"/>
        </w:rPr>
      </w:pPr>
    </w:p>
    <w:p w:rsidR="004E1FD3" w:rsidRPr="00EE2DE7" w:rsidRDefault="004E1FD3" w:rsidP="004E1FD3">
      <w:pPr>
        <w:pStyle w:val="NoSpacing"/>
        <w:spacing w:line="276" w:lineRule="auto"/>
        <w:ind w:firstLine="720"/>
        <w:jc w:val="both"/>
        <w:rPr>
          <w:rFonts w:ascii="Times New Roman" w:hAnsi="Times New Roman"/>
          <w:sz w:val="24"/>
          <w:szCs w:val="24"/>
          <w:lang w:val="sq-AL"/>
        </w:rPr>
      </w:pPr>
      <w:r w:rsidRPr="00EE2DE7">
        <w:rPr>
          <w:rFonts w:ascii="Times New Roman" w:hAnsi="Times New Roman"/>
          <w:sz w:val="24"/>
          <w:szCs w:val="24"/>
          <w:lang w:val="sq-AL"/>
        </w:rPr>
        <w:t xml:space="preserve">Në bashkëpunim me Universitetin e Arizonës, në Shkollën e Magjistraturës u organizua një leksion për kandidatët për magjistratë me </w:t>
      </w:r>
      <w:r>
        <w:rPr>
          <w:rFonts w:ascii="Times New Roman" w:hAnsi="Times New Roman"/>
          <w:sz w:val="24"/>
          <w:szCs w:val="24"/>
          <w:lang w:val="sq-AL"/>
        </w:rPr>
        <w:t>z</w:t>
      </w:r>
      <w:r w:rsidRPr="00EE2DE7">
        <w:rPr>
          <w:rFonts w:ascii="Times New Roman" w:hAnsi="Times New Roman"/>
          <w:sz w:val="24"/>
          <w:szCs w:val="24"/>
          <w:lang w:val="sq-AL"/>
        </w:rPr>
        <w:t xml:space="preserve">. Clint </w:t>
      </w:r>
      <w:r>
        <w:rPr>
          <w:rFonts w:ascii="Times New Roman" w:hAnsi="Times New Roman"/>
          <w:sz w:val="24"/>
          <w:szCs w:val="24"/>
          <w:lang w:val="sq-AL"/>
        </w:rPr>
        <w:t>W</w:t>
      </w:r>
      <w:r w:rsidRPr="00EE2DE7">
        <w:rPr>
          <w:rFonts w:ascii="Times New Roman" w:hAnsi="Times New Roman"/>
          <w:sz w:val="24"/>
          <w:szCs w:val="24"/>
          <w:lang w:val="sq-AL"/>
        </w:rPr>
        <w:t xml:space="preserve">illiamson, i cili u prit nga Drejtori i Shkollës për </w:t>
      </w:r>
      <w:r w:rsidRPr="006A1529">
        <w:rPr>
          <w:rFonts w:ascii="Times New Roman" w:hAnsi="Times New Roman"/>
          <w:sz w:val="24"/>
          <w:szCs w:val="24"/>
          <w:lang w:val="sq-AL"/>
        </w:rPr>
        <w:t xml:space="preserve">t’u </w:t>
      </w:r>
      <w:r w:rsidRPr="00EE2DE7">
        <w:rPr>
          <w:rFonts w:ascii="Times New Roman" w:hAnsi="Times New Roman"/>
          <w:sz w:val="24"/>
          <w:szCs w:val="24"/>
          <w:lang w:val="sq-AL"/>
        </w:rPr>
        <w:t>informuar në lidhje me Shkollën dhe pozicionin e saj në tërësi dhe në kuadër të ndryshimeve ligjore.</w:t>
      </w:r>
    </w:p>
    <w:p w:rsidR="004E1FD3" w:rsidRDefault="004E1FD3" w:rsidP="004E1FD3">
      <w:pPr>
        <w:pStyle w:val="NoSpacing"/>
        <w:spacing w:line="276" w:lineRule="auto"/>
        <w:ind w:firstLine="720"/>
        <w:jc w:val="both"/>
        <w:rPr>
          <w:rStyle w:val="textexposedshow"/>
          <w:rFonts w:ascii="Times New Roman" w:hAnsi="Times New Roman"/>
          <w:color w:val="1D2129"/>
          <w:sz w:val="24"/>
          <w:szCs w:val="24"/>
          <w:lang w:val="sq-AL"/>
        </w:rPr>
      </w:pPr>
      <w:r w:rsidRPr="00EE2DE7">
        <w:rPr>
          <w:rFonts w:ascii="Times New Roman" w:hAnsi="Times New Roman"/>
          <w:sz w:val="24"/>
          <w:szCs w:val="24"/>
          <w:lang w:val="sq-AL"/>
        </w:rPr>
        <w:t xml:space="preserve">Ambasadori Williamson është Drejtori për Shtetin e së Drejtës, Qeverisjen dhe Sigurinë në Institutin </w:t>
      </w:r>
      <w:r w:rsidRPr="006A1529">
        <w:rPr>
          <w:rFonts w:ascii="Times New Roman" w:hAnsi="Times New Roman"/>
          <w:i/>
          <w:sz w:val="24"/>
          <w:szCs w:val="24"/>
          <w:lang w:val="sq-AL"/>
        </w:rPr>
        <w:t xml:space="preserve">McCain </w:t>
      </w:r>
      <w:r w:rsidRPr="00EE2DE7">
        <w:rPr>
          <w:rFonts w:ascii="Times New Roman" w:hAnsi="Times New Roman"/>
          <w:sz w:val="24"/>
          <w:szCs w:val="24"/>
          <w:lang w:val="sq-AL"/>
        </w:rPr>
        <w:t>të Universitetit të </w:t>
      </w:r>
      <w:r w:rsidRPr="00EE2DE7">
        <w:rPr>
          <w:rStyle w:val="textexposedshow"/>
          <w:rFonts w:ascii="Times New Roman" w:hAnsi="Times New Roman"/>
          <w:color w:val="1D2129"/>
          <w:sz w:val="24"/>
          <w:szCs w:val="24"/>
          <w:lang w:val="sq-AL"/>
        </w:rPr>
        <w:t xml:space="preserve">Arizonës. Ai ka shërbyer si Ambasador për Krimet e Luftës nga 2006-2009 dhe më parë si Drejtues i Lartë për Emergjencat, Stabilitetin dhe Zhvillimin në Këshillin e Sigurimit Kombëtar të Shteteve të Bashkuara të Amerikës. Njëkohësisht, Ambasadori Williamson ka shërbyer si </w:t>
      </w:r>
      <w:r w:rsidRPr="00EE2DE7">
        <w:rPr>
          <w:rStyle w:val="textexposedshow"/>
          <w:rFonts w:ascii="Times New Roman" w:hAnsi="Times New Roman"/>
          <w:color w:val="1D2129"/>
          <w:sz w:val="24"/>
          <w:szCs w:val="24"/>
          <w:lang w:val="sq-AL"/>
        </w:rPr>
        <w:lastRenderedPageBreak/>
        <w:t>ekspert i posaçëm i Sekretarit të Përgjithshëm të Kombeve të Bashkuara dhe Prokuror për krimet e luftës në Gjykatën Penale Ndërkombëtare për krimet e luftës në Jugosllavi.</w:t>
      </w:r>
    </w:p>
    <w:p w:rsidR="004E1FD3" w:rsidRDefault="004E1FD3" w:rsidP="004E1FD3">
      <w:pPr>
        <w:pStyle w:val="NoSpacing"/>
        <w:spacing w:line="276" w:lineRule="auto"/>
        <w:ind w:firstLine="720"/>
        <w:jc w:val="both"/>
        <w:rPr>
          <w:rStyle w:val="textexposedshow"/>
          <w:rFonts w:ascii="Times New Roman" w:hAnsi="Times New Roman"/>
          <w:color w:val="1D2129"/>
          <w:sz w:val="24"/>
          <w:szCs w:val="24"/>
          <w:lang w:val="sq-AL"/>
        </w:rPr>
      </w:pPr>
      <w:r w:rsidRPr="00EE2DE7">
        <w:rPr>
          <w:rStyle w:val="textexposedshow"/>
          <w:rFonts w:ascii="Times New Roman" w:hAnsi="Times New Roman"/>
          <w:color w:val="1D2129"/>
          <w:sz w:val="24"/>
          <w:szCs w:val="24"/>
          <w:lang w:val="sq-AL"/>
        </w:rPr>
        <w:t>Në leksionin e zhvilluar me kandidatët për magjistratë, Ambasadori Williamson shpjegoi dinamikën e zhvillimit të shtetit të së drejtës në vendet e rajonit të ballkanit, përvojën e tij me investigimin e krimeve të luftës dhe nxjerrjen përpara përgjegjësisë të drejtuesve të shtetit në kuadër të luftës në Jugosllavi.</w:t>
      </w:r>
    </w:p>
    <w:p w:rsidR="004E1FD3" w:rsidRPr="00EE2DE7" w:rsidRDefault="004E1FD3" w:rsidP="004E1FD3">
      <w:pPr>
        <w:pStyle w:val="NoSpacing"/>
        <w:spacing w:line="276" w:lineRule="auto"/>
        <w:ind w:firstLine="720"/>
        <w:jc w:val="both"/>
        <w:rPr>
          <w:rStyle w:val="textexposedshow"/>
          <w:rFonts w:ascii="Times New Roman" w:hAnsi="Times New Roman"/>
          <w:color w:val="1D2129"/>
          <w:sz w:val="24"/>
          <w:szCs w:val="24"/>
          <w:lang w:val="sq-AL"/>
        </w:rPr>
      </w:pPr>
    </w:p>
    <w:p w:rsidR="004E1FD3" w:rsidRPr="006A1529" w:rsidRDefault="004E1FD3" w:rsidP="005C2687">
      <w:pPr>
        <w:pStyle w:val="NoSpacing"/>
        <w:numPr>
          <w:ilvl w:val="0"/>
          <w:numId w:val="37"/>
        </w:numPr>
        <w:rPr>
          <w:rFonts w:ascii="Times New Roman" w:hAnsi="Times New Roman"/>
          <w:b/>
          <w:color w:val="0070C0"/>
          <w:sz w:val="24"/>
          <w:szCs w:val="24"/>
          <w:lang w:val="sq-AL"/>
        </w:rPr>
      </w:pPr>
      <w:r w:rsidRPr="006A1529">
        <w:rPr>
          <w:rFonts w:ascii="Times New Roman" w:hAnsi="Times New Roman"/>
          <w:b/>
          <w:color w:val="0070C0"/>
          <w:sz w:val="24"/>
          <w:szCs w:val="24"/>
          <w:lang w:val="sq-AL"/>
        </w:rPr>
        <w:t>Vizita e Sekretarit të Shtetit të Ministrisë Federale të Drejtësisë dhe Mbrojtjes se Konsumatorit Z. Christian Lange</w:t>
      </w:r>
    </w:p>
    <w:p w:rsidR="004E1FD3" w:rsidRPr="00EE2DE7" w:rsidRDefault="004E1FD3" w:rsidP="004E1FD3">
      <w:pPr>
        <w:pStyle w:val="NoSpacing"/>
        <w:jc w:val="center"/>
        <w:rPr>
          <w:rFonts w:ascii="Times New Roman" w:hAnsi="Times New Roman"/>
          <w:b/>
          <w:sz w:val="24"/>
          <w:szCs w:val="24"/>
          <w:lang w:val="sq-AL"/>
        </w:rPr>
      </w:pPr>
    </w:p>
    <w:p w:rsidR="004E1FD3" w:rsidRPr="003433EE" w:rsidRDefault="004E1FD3" w:rsidP="004E1FD3">
      <w:pPr>
        <w:pStyle w:val="NoSpacing"/>
        <w:spacing w:line="276" w:lineRule="auto"/>
        <w:ind w:firstLine="720"/>
        <w:jc w:val="both"/>
        <w:rPr>
          <w:rStyle w:val="textexposedshow"/>
          <w:rFonts w:ascii="Times New Roman" w:hAnsi="Times New Roman"/>
          <w:sz w:val="24"/>
          <w:szCs w:val="24"/>
          <w:lang w:val="sq-AL"/>
        </w:rPr>
      </w:pPr>
      <w:r w:rsidRPr="003433EE">
        <w:rPr>
          <w:rFonts w:ascii="Times New Roman" w:hAnsi="Times New Roman"/>
          <w:sz w:val="24"/>
          <w:szCs w:val="24"/>
          <w:lang w:val="sq-AL"/>
        </w:rPr>
        <w:t>Në kuadër të bashkëpunimit me Ambasadën Gjermane në Shqipëri, u mundësua realizimi i vizitës së Sekretarit të Shtetit të Ministrisë Federale të Drejtësisë dhe Mbrojtjes së Konsumatorit z. Christian Lange në Shkollë, bashkë me Ambasadoren e Republikës Federale të Gjermanisë në Shqipëri, znj. Susanne Schutz. Në përbërje të delegacionit nga gjermania ishte dhe znj</w:t>
      </w:r>
      <w:r w:rsidRPr="003433EE">
        <w:rPr>
          <w:rStyle w:val="textexposedshow"/>
          <w:rFonts w:ascii="Times New Roman" w:hAnsi="Times New Roman"/>
          <w:sz w:val="24"/>
          <w:szCs w:val="24"/>
          <w:lang w:val="sq-AL"/>
        </w:rPr>
        <w:t>. Uta Winterstein, CEO e Fondacionit Gjerman për Bashkëpunim Ligjor Ndërkombëtar – IRZ, me të cilin Shkolla ka një bashkëpunim të gjatë dhe të frytshëm.</w:t>
      </w:r>
    </w:p>
    <w:p w:rsidR="004E1FD3" w:rsidRPr="003433EE" w:rsidRDefault="004E1FD3" w:rsidP="004E1FD3">
      <w:pPr>
        <w:pStyle w:val="NoSpacing"/>
        <w:spacing w:line="276" w:lineRule="auto"/>
        <w:ind w:firstLine="720"/>
        <w:jc w:val="both"/>
        <w:rPr>
          <w:rStyle w:val="textexposedshow"/>
          <w:rFonts w:ascii="Times New Roman" w:hAnsi="Times New Roman"/>
          <w:sz w:val="24"/>
          <w:szCs w:val="24"/>
          <w:lang w:val="sq-AL"/>
        </w:rPr>
      </w:pPr>
      <w:r>
        <w:rPr>
          <w:rFonts w:ascii="Times New Roman" w:hAnsi="Times New Roman"/>
          <w:noProof/>
          <w:sz w:val="24"/>
          <w:szCs w:val="24"/>
        </w:rPr>
        <w:drawing>
          <wp:anchor distT="0" distB="0" distL="114300" distR="114300" simplePos="0" relativeHeight="251746816" behindDoc="0" locked="0" layoutInCell="1" allowOverlap="1">
            <wp:simplePos x="0" y="0"/>
            <wp:positionH relativeFrom="margin">
              <wp:posOffset>1821180</wp:posOffset>
            </wp:positionH>
            <wp:positionV relativeFrom="margin">
              <wp:posOffset>5253990</wp:posOffset>
            </wp:positionV>
            <wp:extent cx="4652010" cy="2286000"/>
            <wp:effectExtent l="19050" t="0" r="0" b="0"/>
            <wp:wrapSquare wrapText="bothSides"/>
            <wp:docPr id="23" name="Picture 52" descr="Image may contain: 6 people, people smiling, people sitting, table and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may contain: 6 people, people smiling, people sitting, table and indoor"/>
                    <pic:cNvPicPr>
                      <a:picLocks noChangeAspect="1" noChangeArrowheads="1"/>
                    </pic:cNvPicPr>
                  </pic:nvPicPr>
                  <pic:blipFill>
                    <a:blip r:embed="rId37" cstate="print">
                      <a:lum bright="10000" contrast="10000"/>
                      <a:extLst>
                        <a:ext uri="{28A0092B-C50C-407E-A947-70E740481C1C}">
                          <a14:useLocalDpi xmlns:a14="http://schemas.microsoft.com/office/drawing/2010/main" val="0"/>
                        </a:ext>
                      </a:extLst>
                    </a:blip>
                    <a:srcRect t="18721" b="7534"/>
                    <a:stretch>
                      <a:fillRect/>
                    </a:stretch>
                  </pic:blipFill>
                  <pic:spPr bwMode="auto">
                    <a:xfrm>
                      <a:off x="0" y="0"/>
                      <a:ext cx="4652010" cy="2286000"/>
                    </a:xfrm>
                    <a:prstGeom prst="rect">
                      <a:avLst/>
                    </a:prstGeom>
                    <a:noFill/>
                    <a:ln>
                      <a:noFill/>
                    </a:ln>
                  </pic:spPr>
                </pic:pic>
              </a:graphicData>
            </a:graphic>
          </wp:anchor>
        </w:drawing>
      </w:r>
      <w:r w:rsidRPr="003433EE">
        <w:rPr>
          <w:rStyle w:val="textexposedshow"/>
          <w:rFonts w:ascii="Times New Roman" w:hAnsi="Times New Roman"/>
          <w:sz w:val="24"/>
          <w:szCs w:val="24"/>
          <w:lang w:val="sq-AL"/>
        </w:rPr>
        <w:t>Gjatë takimit përfaqësuesit e shtetit gjerman u informuan në lidhje me situatën në Shkollën e Magjistraturës përsa i takon Formimit Fillestar, Formimit Vazhdues dhe formimit të profesioneve ligjore të tjera. Njëkohësisht, u diskutua gjerësisht në lidhje me kompetencat e reja të Shkollës në kuadër të ndryshimeve ligjore të reformës në drejtësi.</w:t>
      </w:r>
    </w:p>
    <w:p w:rsidR="004E1FD3" w:rsidRPr="003433EE" w:rsidRDefault="004E1FD3" w:rsidP="004E1FD3">
      <w:pPr>
        <w:pStyle w:val="NoSpacing"/>
        <w:spacing w:line="276" w:lineRule="auto"/>
        <w:ind w:firstLine="720"/>
        <w:jc w:val="both"/>
        <w:rPr>
          <w:rStyle w:val="textexposedshow"/>
          <w:rFonts w:ascii="Times New Roman" w:hAnsi="Times New Roman"/>
          <w:sz w:val="24"/>
          <w:szCs w:val="24"/>
          <w:lang w:val="sq-AL"/>
        </w:rPr>
      </w:pPr>
      <w:r w:rsidRPr="003433EE">
        <w:rPr>
          <w:rStyle w:val="textexposedshow"/>
          <w:rFonts w:ascii="Times New Roman" w:hAnsi="Times New Roman"/>
          <w:sz w:val="24"/>
          <w:szCs w:val="24"/>
          <w:lang w:val="sq-AL"/>
        </w:rPr>
        <w:t>Takimi u mbyll me garancitë e dhëna nga pala gjermane për vazhdimin e ofrimit të mbështetjes për Shkollën dhe proceset e ndryshme të saj akademike dhe institucionale.</w:t>
      </w:r>
    </w:p>
    <w:p w:rsidR="004E1FD3" w:rsidRPr="00EE2DE7" w:rsidRDefault="004E1FD3" w:rsidP="00353FCE">
      <w:pPr>
        <w:pStyle w:val="NoSpacing"/>
        <w:rPr>
          <w:rFonts w:ascii="Times New Roman" w:hAnsi="Times New Roman"/>
          <w:bCs/>
          <w:color w:val="4C4C4C" w:themeColor="accent5" w:themeShade="80"/>
          <w:sz w:val="24"/>
          <w:szCs w:val="24"/>
          <w:lang w:val="sq-AL"/>
        </w:rPr>
      </w:pPr>
      <w:r w:rsidRPr="00EE2DE7">
        <w:rPr>
          <w:rFonts w:ascii="Times New Roman" w:hAnsi="Times New Roman"/>
          <w:noProof/>
          <w:sz w:val="24"/>
          <w:szCs w:val="24"/>
        </w:rPr>
        <w:drawing>
          <wp:anchor distT="0" distB="0" distL="114300" distR="114300" simplePos="0" relativeHeight="251744768" behindDoc="0" locked="0" layoutInCell="1" allowOverlap="1">
            <wp:simplePos x="1664970" y="2011680"/>
            <wp:positionH relativeFrom="margin">
              <wp:align>left</wp:align>
            </wp:positionH>
            <wp:positionV relativeFrom="margin">
              <wp:align>top</wp:align>
            </wp:positionV>
            <wp:extent cx="4461510" cy="2346960"/>
            <wp:effectExtent l="19050" t="0" r="0" b="0"/>
            <wp:wrapSquare wrapText="bothSides"/>
            <wp:docPr id="51" name="Picture 51" descr="Image may contain: 3 people, people sitting, screen and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may contain: 3 people, people sitting, screen and indoor"/>
                    <pic:cNvPicPr>
                      <a:picLocks noChangeAspect="1" noChangeArrowheads="1"/>
                    </pic:cNvPicPr>
                  </pic:nvPicPr>
                  <pic:blipFill>
                    <a:blip r:embed="rId38" cstate="print">
                      <a:extLst>
                        <a:ext uri="{28A0092B-C50C-407E-A947-70E740481C1C}">
                          <a14:useLocalDpi xmlns:a14="http://schemas.microsoft.com/office/drawing/2010/main" val="0"/>
                        </a:ext>
                      </a:extLst>
                    </a:blip>
                    <a:srcRect t="21197"/>
                    <a:stretch>
                      <a:fillRect/>
                    </a:stretch>
                  </pic:blipFill>
                  <pic:spPr bwMode="auto">
                    <a:xfrm>
                      <a:off x="0" y="0"/>
                      <a:ext cx="4461510" cy="2346960"/>
                    </a:xfrm>
                    <a:prstGeom prst="rect">
                      <a:avLst/>
                    </a:prstGeom>
                    <a:noFill/>
                    <a:ln>
                      <a:noFill/>
                    </a:ln>
                  </pic:spPr>
                </pic:pic>
              </a:graphicData>
            </a:graphic>
          </wp:anchor>
        </w:drawing>
      </w:r>
    </w:p>
    <w:p w:rsidR="004E1FD3" w:rsidRPr="00EE2DE7" w:rsidRDefault="004E1FD3" w:rsidP="004E1FD3">
      <w:pPr>
        <w:pStyle w:val="NoSpacing"/>
        <w:rPr>
          <w:rFonts w:ascii="Times New Roman" w:hAnsi="Times New Roman"/>
          <w:b/>
          <w:sz w:val="24"/>
          <w:szCs w:val="24"/>
          <w:lang w:val="sq-AL"/>
        </w:rPr>
      </w:pPr>
    </w:p>
    <w:p w:rsidR="00B3782C" w:rsidRDefault="00B3782C" w:rsidP="008D2205">
      <w:pPr>
        <w:spacing w:line="276" w:lineRule="auto"/>
        <w:jc w:val="both"/>
        <w:rPr>
          <w:b/>
          <w:color w:val="CC9966" w:themeColor="accent2"/>
          <w:sz w:val="32"/>
        </w:rPr>
      </w:pPr>
    </w:p>
    <w:p w:rsidR="00353FCE" w:rsidRPr="00353FCE" w:rsidRDefault="00353FCE" w:rsidP="005C2687">
      <w:pPr>
        <w:pStyle w:val="NoSpacing"/>
        <w:numPr>
          <w:ilvl w:val="0"/>
          <w:numId w:val="37"/>
        </w:numPr>
        <w:rPr>
          <w:rFonts w:ascii="Times New Roman" w:hAnsi="Times New Roman"/>
          <w:b/>
          <w:color w:val="0070C0"/>
          <w:sz w:val="24"/>
          <w:szCs w:val="24"/>
          <w:lang w:val="sq-AL"/>
        </w:rPr>
      </w:pPr>
      <w:r w:rsidRPr="003433EE">
        <w:rPr>
          <w:rFonts w:ascii="Times New Roman" w:hAnsi="Times New Roman"/>
          <w:b/>
          <w:color w:val="0070C0"/>
          <w:sz w:val="24"/>
          <w:szCs w:val="24"/>
          <w:lang w:val="sq-AL"/>
        </w:rPr>
        <w:lastRenderedPageBreak/>
        <w:t>Workshop rajonal “Shkëmbimi i praktikave më të mira në trajnimin gjyqësor”</w:t>
      </w:r>
      <w:r>
        <w:rPr>
          <w:rFonts w:ascii="Times New Roman" w:hAnsi="Times New Roman"/>
          <w:b/>
          <w:color w:val="0070C0"/>
          <w:sz w:val="24"/>
          <w:szCs w:val="24"/>
          <w:lang w:val="sq-AL"/>
        </w:rPr>
        <w:t xml:space="preserve">. </w:t>
      </w:r>
      <w:r w:rsidRPr="00353FCE">
        <w:rPr>
          <w:rFonts w:ascii="Times New Roman" w:hAnsi="Times New Roman"/>
          <w:b/>
          <w:color w:val="0070C0"/>
          <w:sz w:val="24"/>
          <w:szCs w:val="24"/>
          <w:lang w:val="sq-AL"/>
        </w:rPr>
        <w:t>13-14 shtator 2018</w:t>
      </w:r>
    </w:p>
    <w:p w:rsidR="00353FCE" w:rsidRPr="00EE2DE7" w:rsidRDefault="00353FCE" w:rsidP="00353FCE">
      <w:pPr>
        <w:pStyle w:val="NoSpacing"/>
        <w:jc w:val="center"/>
        <w:rPr>
          <w:rFonts w:ascii="Times New Roman" w:hAnsi="Times New Roman"/>
          <w:b/>
          <w:sz w:val="24"/>
          <w:szCs w:val="24"/>
          <w:lang w:val="sq-AL"/>
        </w:rPr>
      </w:pPr>
      <w:r>
        <w:rPr>
          <w:rFonts w:ascii="Times New Roman" w:hAnsi="Times New Roman"/>
          <w:b/>
          <w:noProof/>
          <w:sz w:val="24"/>
          <w:szCs w:val="24"/>
        </w:rPr>
        <w:drawing>
          <wp:anchor distT="0" distB="0" distL="114300" distR="114300" simplePos="0" relativeHeight="251747840" behindDoc="0" locked="0" layoutInCell="1" allowOverlap="1">
            <wp:simplePos x="0" y="0"/>
            <wp:positionH relativeFrom="margin">
              <wp:posOffset>2506980</wp:posOffset>
            </wp:positionH>
            <wp:positionV relativeFrom="margin">
              <wp:posOffset>499110</wp:posOffset>
            </wp:positionV>
            <wp:extent cx="4118610" cy="1851660"/>
            <wp:effectExtent l="19050" t="0" r="0" b="0"/>
            <wp:wrapSquare wrapText="bothSides"/>
            <wp:docPr id="53" name="Picture 53" descr="Image may contain: 1 person, sitting, table and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may contain: 1 person, sitting, table and indoor"/>
                    <pic:cNvPicPr>
                      <a:picLocks noChangeAspect="1" noChangeArrowheads="1"/>
                    </pic:cNvPicPr>
                  </pic:nvPicPr>
                  <pic:blipFill>
                    <a:blip r:embed="rId39" cstate="print">
                      <a:extLst>
                        <a:ext uri="{28A0092B-C50C-407E-A947-70E740481C1C}">
                          <a14:useLocalDpi xmlns:a14="http://schemas.microsoft.com/office/drawing/2010/main" val="0"/>
                        </a:ext>
                      </a:extLst>
                    </a:blip>
                    <a:srcRect t="22364"/>
                    <a:stretch>
                      <a:fillRect/>
                    </a:stretch>
                  </pic:blipFill>
                  <pic:spPr bwMode="auto">
                    <a:xfrm>
                      <a:off x="0" y="0"/>
                      <a:ext cx="4118610" cy="1851660"/>
                    </a:xfrm>
                    <a:prstGeom prst="rect">
                      <a:avLst/>
                    </a:prstGeom>
                    <a:noFill/>
                    <a:ln>
                      <a:noFill/>
                    </a:ln>
                  </pic:spPr>
                </pic:pic>
              </a:graphicData>
            </a:graphic>
          </wp:anchor>
        </w:drawing>
      </w:r>
    </w:p>
    <w:p w:rsidR="00353FCE" w:rsidRPr="00EE2DE7" w:rsidRDefault="00353FCE" w:rsidP="00353FCE">
      <w:pPr>
        <w:pStyle w:val="NoSpacing"/>
        <w:spacing w:line="276" w:lineRule="auto"/>
        <w:jc w:val="both"/>
        <w:rPr>
          <w:rFonts w:ascii="Times New Roman" w:hAnsi="Times New Roman"/>
          <w:sz w:val="24"/>
          <w:szCs w:val="24"/>
          <w:lang w:val="sq-AL"/>
        </w:rPr>
      </w:pPr>
      <w:r w:rsidRPr="00EE2DE7">
        <w:rPr>
          <w:rFonts w:ascii="Times New Roman" w:hAnsi="Times New Roman"/>
          <w:sz w:val="24"/>
          <w:szCs w:val="24"/>
          <w:lang w:val="sq-AL"/>
        </w:rPr>
        <w:t>Në kuadër të bashkëpunimit me GIZ u zhvillua n</w:t>
      </w:r>
      <w:r>
        <w:rPr>
          <w:rFonts w:ascii="Times New Roman" w:hAnsi="Times New Roman"/>
          <w:sz w:val="24"/>
          <w:szCs w:val="24"/>
          <w:lang w:val="sq-AL"/>
        </w:rPr>
        <w:t>ë Beograd workshop-i me titull “</w:t>
      </w:r>
      <w:r w:rsidRPr="003433EE">
        <w:rPr>
          <w:rFonts w:ascii="Times New Roman" w:hAnsi="Times New Roman"/>
          <w:i/>
          <w:sz w:val="24"/>
          <w:szCs w:val="24"/>
          <w:lang w:val="sq-AL"/>
        </w:rPr>
        <w:t>Shkëmbimi rajonal i praktikave më të mira e</w:t>
      </w:r>
      <w:r>
        <w:rPr>
          <w:rFonts w:ascii="Times New Roman" w:hAnsi="Times New Roman"/>
          <w:i/>
          <w:sz w:val="24"/>
          <w:szCs w:val="24"/>
          <w:lang w:val="sq-AL"/>
        </w:rPr>
        <w:t>u</w:t>
      </w:r>
      <w:r w:rsidRPr="003433EE">
        <w:rPr>
          <w:rFonts w:ascii="Times New Roman" w:hAnsi="Times New Roman"/>
          <w:i/>
          <w:sz w:val="24"/>
          <w:szCs w:val="24"/>
          <w:lang w:val="sq-AL"/>
        </w:rPr>
        <w:t xml:space="preserve">ropiane në trajnimin </w:t>
      </w:r>
      <w:r>
        <w:rPr>
          <w:rFonts w:ascii="Times New Roman" w:hAnsi="Times New Roman"/>
          <w:i/>
          <w:sz w:val="24"/>
          <w:szCs w:val="24"/>
          <w:lang w:val="sq-AL"/>
        </w:rPr>
        <w:t>gjyqësor</w:t>
      </w:r>
      <w:r>
        <w:rPr>
          <w:rFonts w:ascii="Times New Roman" w:hAnsi="Times New Roman"/>
          <w:sz w:val="24"/>
          <w:szCs w:val="24"/>
          <w:lang w:val="sq-AL"/>
        </w:rPr>
        <w:t>”</w:t>
      </w:r>
      <w:r w:rsidRPr="00EE2DE7">
        <w:rPr>
          <w:rFonts w:ascii="Times New Roman" w:hAnsi="Times New Roman"/>
          <w:sz w:val="24"/>
          <w:szCs w:val="24"/>
          <w:lang w:val="sq-AL"/>
        </w:rPr>
        <w:t xml:space="preserve">. Aktiviteti u zhvillua në datat 13 dhe 14 </w:t>
      </w:r>
      <w:r>
        <w:rPr>
          <w:rFonts w:ascii="Times New Roman" w:hAnsi="Times New Roman"/>
          <w:sz w:val="24"/>
          <w:szCs w:val="24"/>
          <w:lang w:val="sq-AL"/>
        </w:rPr>
        <w:t>s</w:t>
      </w:r>
      <w:r w:rsidRPr="00EE2DE7">
        <w:rPr>
          <w:rFonts w:ascii="Times New Roman" w:hAnsi="Times New Roman"/>
          <w:sz w:val="24"/>
          <w:szCs w:val="24"/>
          <w:lang w:val="sq-AL"/>
        </w:rPr>
        <w:t>htator dhe Shkolla u përfaqësua në këtë aktivitet nga Drejtori i Shkollës, Kancelarja dhe Përgjegjësi p</w:t>
      </w:r>
      <w:r>
        <w:rPr>
          <w:rFonts w:ascii="Times New Roman" w:hAnsi="Times New Roman"/>
          <w:sz w:val="24"/>
          <w:szCs w:val="24"/>
          <w:lang w:val="sq-AL"/>
        </w:rPr>
        <w:t>ë</w:t>
      </w:r>
      <w:r w:rsidRPr="00EE2DE7">
        <w:rPr>
          <w:rFonts w:ascii="Times New Roman" w:hAnsi="Times New Roman"/>
          <w:sz w:val="24"/>
          <w:szCs w:val="24"/>
          <w:lang w:val="sq-AL"/>
        </w:rPr>
        <w:t>r Projektet dhe Marrëdhëniet me Jashtë.</w:t>
      </w:r>
    </w:p>
    <w:p w:rsidR="00353FCE" w:rsidRPr="00EE2DE7" w:rsidRDefault="00353FCE" w:rsidP="00353FCE">
      <w:pPr>
        <w:pStyle w:val="NoSpacing"/>
        <w:spacing w:line="276" w:lineRule="auto"/>
        <w:ind w:firstLine="720"/>
        <w:jc w:val="both"/>
        <w:rPr>
          <w:rFonts w:ascii="Times New Roman" w:hAnsi="Times New Roman"/>
          <w:sz w:val="24"/>
          <w:szCs w:val="24"/>
          <w:lang w:val="sq-AL"/>
        </w:rPr>
      </w:pPr>
      <w:r w:rsidRPr="00EE2DE7">
        <w:rPr>
          <w:rFonts w:ascii="Times New Roman" w:hAnsi="Times New Roman"/>
          <w:sz w:val="24"/>
          <w:szCs w:val="24"/>
          <w:lang w:val="sq-AL"/>
        </w:rPr>
        <w:t>Aktiviteti synoi të krijonte një ndërveprim strategjik dhe sistematik të institucioneve të trajnimit gjyqësor të rajonit për</w:t>
      </w:r>
      <w:r>
        <w:rPr>
          <w:rFonts w:ascii="Times New Roman" w:hAnsi="Times New Roman"/>
          <w:sz w:val="24"/>
          <w:szCs w:val="24"/>
          <w:lang w:val="sq-AL"/>
        </w:rPr>
        <w:t xml:space="preserve"> </w:t>
      </w:r>
      <w:r w:rsidRPr="00EE2DE7">
        <w:rPr>
          <w:rFonts w:ascii="Times New Roman" w:hAnsi="Times New Roman"/>
          <w:sz w:val="24"/>
          <w:szCs w:val="24"/>
          <w:lang w:val="sq-AL"/>
        </w:rPr>
        <w:t>sa i takon zbatimit të metodologjive dhe instrumenteve të trajnimit gjyqësor.</w:t>
      </w:r>
    </w:p>
    <w:p w:rsidR="00353FCE" w:rsidRPr="00EE2DE7" w:rsidRDefault="00353FCE" w:rsidP="00353FCE">
      <w:pPr>
        <w:pStyle w:val="NoSpacing"/>
        <w:jc w:val="both"/>
        <w:rPr>
          <w:rFonts w:ascii="Times New Roman" w:hAnsi="Times New Roman"/>
          <w:sz w:val="24"/>
          <w:szCs w:val="24"/>
          <w:lang w:val="sq-AL"/>
        </w:rPr>
      </w:pPr>
    </w:p>
    <w:p w:rsidR="00353FCE" w:rsidRPr="00EE2DE7" w:rsidRDefault="00353FCE" w:rsidP="00353FCE">
      <w:pPr>
        <w:pStyle w:val="NoSpacing"/>
        <w:jc w:val="center"/>
        <w:rPr>
          <w:rFonts w:asciiTheme="minorHAnsi" w:hAnsiTheme="minorHAnsi" w:cstheme="minorHAnsi"/>
          <w:lang w:val="sq-AL"/>
        </w:rPr>
      </w:pPr>
    </w:p>
    <w:p w:rsidR="00353FCE" w:rsidRPr="00EE2DE7" w:rsidRDefault="00353FCE" w:rsidP="00353FCE">
      <w:pPr>
        <w:autoSpaceDE w:val="0"/>
        <w:autoSpaceDN w:val="0"/>
        <w:adjustRightInd w:val="0"/>
        <w:jc w:val="both"/>
        <w:rPr>
          <w:rFonts w:eastAsia="Tw Cen MT"/>
          <w:b/>
          <w:color w:val="000000"/>
          <w:kern w:val="24"/>
        </w:rPr>
      </w:pPr>
    </w:p>
    <w:p w:rsidR="00353FCE" w:rsidRPr="00EE2DE7" w:rsidRDefault="00353FCE" w:rsidP="00353FCE">
      <w:pPr>
        <w:autoSpaceDE w:val="0"/>
        <w:autoSpaceDN w:val="0"/>
        <w:adjustRightInd w:val="0"/>
        <w:jc w:val="both"/>
        <w:rPr>
          <w:rFonts w:eastAsia="Tw Cen MT"/>
          <w:b/>
          <w:color w:val="000000"/>
          <w:kern w:val="24"/>
        </w:rPr>
      </w:pPr>
    </w:p>
    <w:p w:rsidR="00B3782C" w:rsidRDefault="00B3782C" w:rsidP="008D2205">
      <w:pPr>
        <w:spacing w:line="276" w:lineRule="auto"/>
        <w:jc w:val="both"/>
        <w:rPr>
          <w:b/>
          <w:color w:val="CC9966" w:themeColor="accent2"/>
          <w:sz w:val="32"/>
        </w:rPr>
      </w:pPr>
    </w:p>
    <w:p w:rsidR="00B3782C" w:rsidRDefault="00B3782C" w:rsidP="008D2205">
      <w:pPr>
        <w:spacing w:line="276" w:lineRule="auto"/>
        <w:jc w:val="both"/>
        <w:rPr>
          <w:b/>
          <w:color w:val="CC9966" w:themeColor="accent2"/>
          <w:sz w:val="32"/>
        </w:rPr>
      </w:pPr>
    </w:p>
    <w:p w:rsidR="00B3782C" w:rsidRDefault="00B3782C" w:rsidP="008D2205">
      <w:pPr>
        <w:spacing w:line="276" w:lineRule="auto"/>
        <w:jc w:val="both"/>
        <w:rPr>
          <w:b/>
          <w:color w:val="CC9966" w:themeColor="accent2"/>
          <w:sz w:val="32"/>
        </w:rPr>
      </w:pPr>
    </w:p>
    <w:p w:rsidR="00B3782C" w:rsidRDefault="00B3782C" w:rsidP="008D2205">
      <w:pPr>
        <w:spacing w:line="276" w:lineRule="auto"/>
        <w:jc w:val="both"/>
        <w:rPr>
          <w:b/>
          <w:color w:val="CC9966" w:themeColor="accent2"/>
          <w:sz w:val="32"/>
        </w:rPr>
      </w:pPr>
    </w:p>
    <w:p w:rsidR="00B3782C" w:rsidRDefault="00B3782C" w:rsidP="008D2205">
      <w:pPr>
        <w:spacing w:line="276" w:lineRule="auto"/>
        <w:jc w:val="both"/>
        <w:rPr>
          <w:b/>
          <w:color w:val="CC9966" w:themeColor="accent2"/>
          <w:sz w:val="32"/>
        </w:rPr>
      </w:pPr>
    </w:p>
    <w:p w:rsidR="00B3782C" w:rsidRDefault="00B3782C" w:rsidP="008D2205">
      <w:pPr>
        <w:spacing w:line="276" w:lineRule="auto"/>
        <w:jc w:val="both"/>
        <w:rPr>
          <w:b/>
          <w:color w:val="CC9966" w:themeColor="accent2"/>
          <w:sz w:val="32"/>
        </w:rPr>
      </w:pPr>
    </w:p>
    <w:p w:rsidR="00B3782C" w:rsidRDefault="00B3782C" w:rsidP="008D2205">
      <w:pPr>
        <w:spacing w:line="276" w:lineRule="auto"/>
        <w:jc w:val="both"/>
        <w:rPr>
          <w:b/>
          <w:color w:val="CC9966" w:themeColor="accent2"/>
          <w:sz w:val="32"/>
        </w:rPr>
      </w:pPr>
    </w:p>
    <w:p w:rsidR="00B3782C" w:rsidRDefault="00B3782C" w:rsidP="008D2205">
      <w:pPr>
        <w:spacing w:line="276" w:lineRule="auto"/>
        <w:jc w:val="both"/>
        <w:rPr>
          <w:b/>
          <w:color w:val="CC9966" w:themeColor="accent2"/>
          <w:sz w:val="32"/>
        </w:rPr>
      </w:pPr>
    </w:p>
    <w:p w:rsidR="00353FCE" w:rsidRDefault="00353FCE" w:rsidP="008D2205">
      <w:pPr>
        <w:spacing w:line="276" w:lineRule="auto"/>
        <w:jc w:val="both"/>
        <w:rPr>
          <w:b/>
          <w:color w:val="CC9966" w:themeColor="accent2"/>
          <w:sz w:val="32"/>
        </w:rPr>
      </w:pPr>
    </w:p>
    <w:p w:rsidR="00353FCE" w:rsidRDefault="00353FCE" w:rsidP="008D2205">
      <w:pPr>
        <w:spacing w:line="276" w:lineRule="auto"/>
        <w:jc w:val="both"/>
        <w:rPr>
          <w:b/>
          <w:color w:val="CC9966" w:themeColor="accent2"/>
          <w:sz w:val="32"/>
        </w:rPr>
      </w:pPr>
    </w:p>
    <w:p w:rsidR="00353FCE" w:rsidRDefault="00353FCE" w:rsidP="008D2205">
      <w:pPr>
        <w:spacing w:line="276" w:lineRule="auto"/>
        <w:jc w:val="both"/>
        <w:rPr>
          <w:b/>
          <w:color w:val="CC9966" w:themeColor="accent2"/>
          <w:sz w:val="32"/>
        </w:rPr>
      </w:pPr>
    </w:p>
    <w:p w:rsidR="00353FCE" w:rsidRDefault="00353FCE" w:rsidP="008D2205">
      <w:pPr>
        <w:spacing w:line="276" w:lineRule="auto"/>
        <w:jc w:val="both"/>
        <w:rPr>
          <w:b/>
          <w:color w:val="CC9966" w:themeColor="accent2"/>
          <w:sz w:val="32"/>
        </w:rPr>
      </w:pPr>
    </w:p>
    <w:p w:rsidR="00353FCE" w:rsidRDefault="00353FCE" w:rsidP="008D2205">
      <w:pPr>
        <w:spacing w:line="276" w:lineRule="auto"/>
        <w:jc w:val="both"/>
        <w:rPr>
          <w:b/>
          <w:color w:val="CC9966" w:themeColor="accent2"/>
          <w:sz w:val="32"/>
        </w:rPr>
      </w:pPr>
    </w:p>
    <w:p w:rsidR="00353FCE" w:rsidRDefault="00353FCE" w:rsidP="008D2205">
      <w:pPr>
        <w:spacing w:line="276" w:lineRule="auto"/>
        <w:jc w:val="both"/>
        <w:rPr>
          <w:b/>
          <w:color w:val="CC9966" w:themeColor="accent2"/>
          <w:sz w:val="32"/>
        </w:rPr>
      </w:pPr>
    </w:p>
    <w:p w:rsidR="00353FCE" w:rsidRDefault="00353FCE" w:rsidP="008D2205">
      <w:pPr>
        <w:spacing w:line="276" w:lineRule="auto"/>
        <w:jc w:val="both"/>
        <w:rPr>
          <w:b/>
          <w:color w:val="CC9966" w:themeColor="accent2"/>
          <w:sz w:val="32"/>
        </w:rPr>
      </w:pPr>
    </w:p>
    <w:p w:rsidR="00353FCE" w:rsidRDefault="00353FCE" w:rsidP="008D2205">
      <w:pPr>
        <w:spacing w:line="276" w:lineRule="auto"/>
        <w:jc w:val="both"/>
        <w:rPr>
          <w:b/>
          <w:color w:val="CC9966" w:themeColor="accent2"/>
          <w:sz w:val="32"/>
        </w:rPr>
      </w:pPr>
    </w:p>
    <w:p w:rsidR="00353FCE" w:rsidRDefault="00353FCE" w:rsidP="008D2205">
      <w:pPr>
        <w:spacing w:line="276" w:lineRule="auto"/>
        <w:jc w:val="both"/>
        <w:rPr>
          <w:b/>
          <w:color w:val="CC9966" w:themeColor="accent2"/>
          <w:sz w:val="32"/>
        </w:rPr>
      </w:pPr>
    </w:p>
    <w:p w:rsidR="00B3782C" w:rsidRDefault="00B3782C" w:rsidP="008D2205">
      <w:pPr>
        <w:spacing w:line="276" w:lineRule="auto"/>
        <w:jc w:val="both"/>
        <w:rPr>
          <w:b/>
          <w:color w:val="CC9966" w:themeColor="accent2"/>
          <w:sz w:val="32"/>
        </w:rPr>
      </w:pPr>
    </w:p>
    <w:p w:rsidR="00353FCE" w:rsidRPr="008D2205" w:rsidRDefault="00CF3AE0" w:rsidP="008D2205">
      <w:pPr>
        <w:spacing w:line="276" w:lineRule="auto"/>
        <w:jc w:val="both"/>
        <w:rPr>
          <w:b/>
          <w:color w:val="CC9966" w:themeColor="accent2"/>
          <w:sz w:val="32"/>
        </w:rPr>
      </w:pPr>
      <w:r>
        <w:rPr>
          <w:b/>
          <w:noProof/>
          <w:color w:val="CC9966" w:themeColor="accent2"/>
          <w:sz w:val="32"/>
          <w:lang w:eastAsia="en-US"/>
        </w:rPr>
        <w:pict>
          <v:rect id="_x0000_s1084" style="position:absolute;left:0;text-align:left;margin-left:-12.75pt;margin-top:-29.7pt;width:602.05pt;height:43.2pt;z-index:2517488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" fillcolor="#4f81bd" stroked="f" strokeweight="2pt">
            <v:textbox>
              <w:txbxContent>
                <w:p w:rsidR="005372E3" w:rsidRPr="00E57AC8" w:rsidRDefault="005372E3" w:rsidP="00E57AC8">
                  <w:pPr>
                    <w:rPr>
                      <w:szCs w:val="56"/>
                    </w:rPr>
                  </w:pPr>
                  <w:r w:rsidRPr="00E57AC8">
                    <w:rPr>
                      <w:b/>
                      <w:color w:val="FFFFFF" w:themeColor="background1"/>
                      <w:sz w:val="56"/>
                      <w:szCs w:val="56"/>
                    </w:rPr>
                    <w:t>4. BOTIME, PUBLIKIME DHE STUDIME</w:t>
                  </w:r>
                </w:p>
              </w:txbxContent>
            </v:textbox>
          </v:rect>
        </w:pict>
      </w:r>
    </w:p>
    <w:p w:rsidR="00E57AC8" w:rsidRDefault="00E57AC8" w:rsidP="00386F89">
      <w:pPr>
        <w:tabs>
          <w:tab w:val="left" w:pos="10260"/>
        </w:tabs>
        <w:ind w:firstLine="360"/>
        <w:jc w:val="both"/>
      </w:pPr>
    </w:p>
    <w:p w:rsidR="00E57AC8" w:rsidRPr="00E57AC8" w:rsidRDefault="00E57AC8" w:rsidP="00E57AC8">
      <w:pPr>
        <w:spacing w:line="276" w:lineRule="auto"/>
        <w:jc w:val="both"/>
        <w:rPr>
          <w:b/>
          <w:noProof/>
          <w:color w:val="CC9966" w:themeColor="accent2"/>
          <w:sz w:val="32"/>
          <w:lang w:eastAsia="en-US"/>
        </w:rPr>
      </w:pPr>
      <w:r w:rsidRPr="00E57AC8">
        <w:rPr>
          <w:b/>
          <w:noProof/>
          <w:color w:val="CC9966" w:themeColor="accent2"/>
          <w:sz w:val="32"/>
          <w:lang w:eastAsia="en-US"/>
        </w:rPr>
        <w:t>4.1 Botime të revistës “Jeta Juridike” për vitin akademik 2017-2018</w:t>
      </w:r>
    </w:p>
    <w:p w:rsidR="00E57AC8" w:rsidRDefault="00E57AC8" w:rsidP="00E57AC8">
      <w:pPr>
        <w:tabs>
          <w:tab w:val="left" w:pos="10260"/>
        </w:tabs>
        <w:jc w:val="both"/>
      </w:pPr>
    </w:p>
    <w:p w:rsidR="00E57AC8" w:rsidRPr="00EE2DE7" w:rsidRDefault="00E57AC8" w:rsidP="00E57AC8">
      <w:pPr>
        <w:spacing w:line="276" w:lineRule="auto"/>
        <w:ind w:firstLine="720"/>
        <w:jc w:val="both"/>
        <w:rPr>
          <w:rFonts w:eastAsia="Tw Cen MT"/>
          <w:kern w:val="24"/>
        </w:rPr>
      </w:pPr>
      <w:r w:rsidRPr="00EE2DE7">
        <w:rPr>
          <w:rFonts w:eastAsia="Tw Cen MT"/>
          <w:kern w:val="24"/>
        </w:rPr>
        <w:t>Shkolla e Magjistraturës botoi nën emrin dhe kujdesin e saj revistën “</w:t>
      </w:r>
      <w:r w:rsidRPr="003433EE">
        <w:rPr>
          <w:rFonts w:eastAsia="Tw Cen MT"/>
          <w:i/>
          <w:kern w:val="24"/>
        </w:rPr>
        <w:t>Jeta Juridike</w:t>
      </w:r>
      <w:r w:rsidRPr="00EE2DE7">
        <w:rPr>
          <w:rFonts w:eastAsia="Tw Cen MT"/>
          <w:kern w:val="24"/>
        </w:rPr>
        <w:t xml:space="preserve">”, revistë periodike tremujore, </w:t>
      </w:r>
      <w:r>
        <w:rPr>
          <w:rFonts w:eastAsia="Tw Cen MT"/>
          <w:kern w:val="24"/>
        </w:rPr>
        <w:t>që botohet në shqip dhe anglisht</w:t>
      </w:r>
      <w:r w:rsidRPr="00EE2DE7">
        <w:rPr>
          <w:rFonts w:eastAsia="Tw Cen MT"/>
          <w:kern w:val="24"/>
        </w:rPr>
        <w:t xml:space="preserve">. </w:t>
      </w:r>
    </w:p>
    <w:p w:rsidR="00E57AC8" w:rsidRPr="00EE2DE7" w:rsidRDefault="00E57AC8" w:rsidP="00E57AC8">
      <w:pPr>
        <w:autoSpaceDE w:val="0"/>
        <w:autoSpaceDN w:val="0"/>
        <w:adjustRightInd w:val="0"/>
        <w:spacing w:line="276" w:lineRule="auto"/>
        <w:ind w:firstLine="720"/>
        <w:jc w:val="both"/>
        <w:rPr>
          <w:rFonts w:eastAsia="Tw Cen MT"/>
          <w:b/>
          <w:kern w:val="24"/>
        </w:rPr>
      </w:pPr>
      <w:r w:rsidRPr="00EE2DE7">
        <w:rPr>
          <w:rFonts w:eastAsia="Tw Cen MT"/>
          <w:kern w:val="24"/>
        </w:rPr>
        <w:t>Gjatë vitit akademik 2017-2018 janë botuar 3 numra të revistës “Jeta Juridike”, nr. 3, viti 2017,  nr. 1, viti 2018, nr. 2, viti 2018. Botimi i këtyre numrave për këtë vit akademik është financuar nga buxheti i shtetit.</w:t>
      </w:r>
    </w:p>
    <w:p w:rsidR="00E57AC8" w:rsidRPr="00EE2DE7" w:rsidRDefault="00E57AC8" w:rsidP="00E57AC8">
      <w:pPr>
        <w:spacing w:line="276" w:lineRule="auto"/>
        <w:ind w:firstLine="720"/>
        <w:jc w:val="both"/>
        <w:rPr>
          <w:rFonts w:eastAsia="Tw Cen MT"/>
          <w:kern w:val="24"/>
          <w:lang w:eastAsia="en-GB"/>
        </w:rPr>
      </w:pPr>
      <w:r w:rsidRPr="00EE2DE7">
        <w:rPr>
          <w:rFonts w:eastAsia="Tw Cen MT"/>
          <w:b/>
          <w:kern w:val="24"/>
        </w:rPr>
        <w:t>Bordi i Redaktorëve të Botimeve.</w:t>
      </w:r>
      <w:r w:rsidRPr="00EE2DE7">
        <w:rPr>
          <w:rFonts w:eastAsia="Tw Cen MT"/>
          <w:kern w:val="24"/>
        </w:rPr>
        <w:t xml:space="preserve"> Botimet e revistës “Jeta Juridike” dhe të teksteve realizohen me vendim të Bordit të Redaktorëve. Ky është një organ vendimmarrës që përbëhet nga 7-9 anëtarë</w:t>
      </w:r>
      <w:r w:rsidRPr="00EE2DE7">
        <w:rPr>
          <w:rFonts w:eastAsia="Tw Cen MT"/>
          <w:kern w:val="24"/>
          <w:lang w:eastAsia="en-GB"/>
        </w:rPr>
        <w:t xml:space="preserve">, të cilët propozohen nga </w:t>
      </w:r>
      <w:r>
        <w:rPr>
          <w:rFonts w:eastAsia="Tw Cen MT"/>
          <w:kern w:val="24"/>
          <w:lang w:eastAsia="en-GB"/>
        </w:rPr>
        <w:t>D</w:t>
      </w:r>
      <w:r w:rsidRPr="00EE2DE7">
        <w:rPr>
          <w:rFonts w:eastAsia="Tw Cen MT"/>
          <w:kern w:val="24"/>
          <w:lang w:eastAsia="en-GB"/>
        </w:rPr>
        <w:t>rejtori i Shkollës së Magjistraturës dhe miratohen nga Këshilli Drejtues i saj. Kriteret e përzgjedhjes së tyre janë përc</w:t>
      </w:r>
      <w:r>
        <w:rPr>
          <w:rFonts w:eastAsia="Tw Cen MT"/>
          <w:kern w:val="24"/>
          <w:lang w:eastAsia="en-GB"/>
        </w:rPr>
        <w:t>aktuar në VKM-në nr. 241, datë 6.</w:t>
      </w:r>
      <w:r w:rsidRPr="00EE2DE7">
        <w:rPr>
          <w:rFonts w:eastAsia="Tw Cen MT"/>
          <w:kern w:val="24"/>
          <w:lang w:eastAsia="en-GB"/>
        </w:rPr>
        <w:t>4.2011 “</w:t>
      </w:r>
      <w:r w:rsidRPr="00EE2DE7">
        <w:rPr>
          <w:rFonts w:eastAsia="Tw Cen MT"/>
          <w:i/>
          <w:kern w:val="24"/>
          <w:lang w:eastAsia="en-GB"/>
        </w:rPr>
        <w:t>Për veprimtarinë akademike, në zbatimin e programit të Formimit Fillestar dhe Vazhdues në Shkollën e Magjistraturës</w:t>
      </w:r>
      <w:r w:rsidRPr="00EE2DE7">
        <w:rPr>
          <w:rFonts w:eastAsia="Tw Cen MT"/>
          <w:kern w:val="24"/>
          <w:lang w:eastAsia="en-GB"/>
        </w:rPr>
        <w:t xml:space="preserve">”. </w:t>
      </w:r>
    </w:p>
    <w:p w:rsidR="00E57AC8" w:rsidRPr="00EE2DE7" w:rsidRDefault="00E57AC8" w:rsidP="00E57AC8">
      <w:pPr>
        <w:spacing w:line="276" w:lineRule="auto"/>
        <w:ind w:firstLine="720"/>
        <w:jc w:val="both"/>
        <w:rPr>
          <w:rFonts w:eastAsia="Tw Cen MT"/>
          <w:b/>
          <w:kern w:val="24"/>
        </w:rPr>
      </w:pPr>
      <w:r w:rsidRPr="00EE2DE7">
        <w:rPr>
          <w:rFonts w:eastAsia="Tw Cen MT"/>
          <w:b/>
          <w:kern w:val="24"/>
        </w:rPr>
        <w:t>Bordi i Redaktorëve</w:t>
      </w:r>
      <w:r w:rsidRPr="00EE2DE7">
        <w:rPr>
          <w:rFonts w:eastAsia="Tw Cen MT"/>
          <w:kern w:val="24"/>
        </w:rPr>
        <w:t xml:space="preserve"> të </w:t>
      </w:r>
      <w:r>
        <w:rPr>
          <w:rFonts w:eastAsia="Tw Cen MT"/>
          <w:kern w:val="24"/>
        </w:rPr>
        <w:t>revistës “Jeta</w:t>
      </w:r>
      <w:r w:rsidRPr="00EE2DE7">
        <w:rPr>
          <w:rFonts w:eastAsia="Tw Cen MT"/>
          <w:kern w:val="24"/>
        </w:rPr>
        <w:t xml:space="preserve"> Juridike”, në përbërjen e vet ka 9 (nëntë) anëtarë si më poshtë, që është miratuar nga Këshilli Drejtues me vendimin nr. 17, datë 17.12.2014</w:t>
      </w:r>
      <w:r>
        <w:rPr>
          <w:rFonts w:eastAsia="Tw Cen MT"/>
          <w:kern w:val="24"/>
        </w:rPr>
        <w:t>,</w:t>
      </w:r>
      <w:r w:rsidRPr="00EE2DE7">
        <w:rPr>
          <w:rFonts w:eastAsia="Tw Cen MT"/>
          <w:kern w:val="24"/>
        </w:rPr>
        <w:t xml:space="preserve"> </w:t>
      </w:r>
      <w:r>
        <w:rPr>
          <w:rFonts w:eastAsia="Tw Cen MT"/>
          <w:b/>
          <w:kern w:val="24"/>
        </w:rPr>
        <w:t>“</w:t>
      </w:r>
      <w:r w:rsidRPr="003433EE">
        <w:rPr>
          <w:rFonts w:eastAsia="Tw Cen MT"/>
          <w:i/>
          <w:kern w:val="24"/>
        </w:rPr>
        <w:t>Për caktimin e anëtarëve të Bordit të Redaktorëve të revistës “Jeta Juridike” (i ndryshuar)</w:t>
      </w:r>
      <w:r>
        <w:rPr>
          <w:rFonts w:eastAsia="Tw Cen MT"/>
          <w:kern w:val="24"/>
        </w:rPr>
        <w:t>”</w:t>
      </w:r>
      <w:r w:rsidRPr="00EE2DE7">
        <w:rPr>
          <w:rFonts w:eastAsia="Tw Cen MT"/>
          <w:kern w:val="24"/>
        </w:rPr>
        <w:t xml:space="preserve">. </w:t>
      </w:r>
      <w:r w:rsidRPr="00EE2DE7">
        <w:rPr>
          <w:rFonts w:eastAsia="Tw Cen MT"/>
          <w:b/>
          <w:kern w:val="24"/>
        </w:rPr>
        <w:t xml:space="preserve"> </w:t>
      </w:r>
    </w:p>
    <w:p w:rsidR="00E57AC8" w:rsidRPr="00EE2DE7" w:rsidRDefault="00E57AC8" w:rsidP="00E57AC8">
      <w:pPr>
        <w:shd w:val="clear" w:color="auto" w:fill="FFFFFF"/>
        <w:ind w:left="720"/>
        <w:rPr>
          <w:rFonts w:eastAsia="Times New Roman"/>
          <w:color w:val="222222"/>
        </w:rPr>
      </w:pPr>
      <w:r w:rsidRPr="00EE2DE7">
        <w:rPr>
          <w:rFonts w:eastAsia="Times New Roman"/>
          <w:color w:val="222222"/>
        </w:rPr>
        <w:br/>
        <w:t>Prof. dr.  Xhezair ZAGANJORI</w:t>
      </w:r>
    </w:p>
    <w:p w:rsidR="00E57AC8" w:rsidRPr="00EE2DE7" w:rsidRDefault="00E57AC8" w:rsidP="00E57AC8">
      <w:pPr>
        <w:shd w:val="clear" w:color="auto" w:fill="FFFFFF"/>
        <w:ind w:firstLine="720"/>
        <w:rPr>
          <w:rFonts w:eastAsia="Times New Roman"/>
          <w:color w:val="222222"/>
        </w:rPr>
      </w:pPr>
      <w:r w:rsidRPr="00EE2DE7">
        <w:rPr>
          <w:rFonts w:eastAsia="Times New Roman"/>
          <w:color w:val="222222"/>
        </w:rPr>
        <w:t>Prof. asoc.</w:t>
      </w:r>
      <w:r>
        <w:rPr>
          <w:rFonts w:eastAsia="Times New Roman"/>
          <w:color w:val="222222"/>
        </w:rPr>
        <w:t xml:space="preserve"> </w:t>
      </w:r>
      <w:r w:rsidRPr="00EE2DE7">
        <w:rPr>
          <w:rFonts w:eastAsia="Times New Roman"/>
          <w:color w:val="222222"/>
        </w:rPr>
        <w:t>dr. Sokol SADUSHI</w:t>
      </w:r>
    </w:p>
    <w:p w:rsidR="00E57AC8" w:rsidRPr="00EE2DE7" w:rsidRDefault="00E57AC8" w:rsidP="00E57AC8">
      <w:pPr>
        <w:shd w:val="clear" w:color="auto" w:fill="FFFFFF"/>
        <w:ind w:firstLine="720"/>
        <w:rPr>
          <w:rFonts w:eastAsia="Times New Roman"/>
          <w:color w:val="222222"/>
        </w:rPr>
      </w:pPr>
      <w:r w:rsidRPr="00EE2DE7">
        <w:rPr>
          <w:rFonts w:eastAsia="Times New Roman"/>
          <w:color w:val="222222"/>
        </w:rPr>
        <w:t>Prof. dr. Aurela ANASTAS</w:t>
      </w:r>
    </w:p>
    <w:p w:rsidR="00E57AC8" w:rsidRPr="00EE2DE7" w:rsidRDefault="00E57AC8" w:rsidP="00E57AC8">
      <w:pPr>
        <w:shd w:val="clear" w:color="auto" w:fill="FFFFFF"/>
        <w:ind w:firstLine="720"/>
        <w:rPr>
          <w:rFonts w:eastAsia="Times New Roman"/>
          <w:color w:val="222222"/>
        </w:rPr>
      </w:pPr>
      <w:r w:rsidRPr="00EE2DE7">
        <w:rPr>
          <w:rFonts w:eastAsia="Times New Roman"/>
          <w:color w:val="222222"/>
        </w:rPr>
        <w:t>Prof. dr. Mariana SEMINI</w:t>
      </w:r>
    </w:p>
    <w:p w:rsidR="00E57AC8" w:rsidRPr="00EE2DE7" w:rsidRDefault="00E57AC8" w:rsidP="00E57AC8">
      <w:pPr>
        <w:shd w:val="clear" w:color="auto" w:fill="FFFFFF"/>
        <w:ind w:firstLine="720"/>
        <w:rPr>
          <w:rFonts w:eastAsia="Times New Roman"/>
          <w:color w:val="222222"/>
        </w:rPr>
      </w:pPr>
      <w:r w:rsidRPr="00EE2DE7">
        <w:rPr>
          <w:rFonts w:eastAsia="Times New Roman"/>
          <w:color w:val="222222"/>
        </w:rPr>
        <w:t>Prof. dr. Arta MANDRO</w:t>
      </w:r>
    </w:p>
    <w:p w:rsidR="00E57AC8" w:rsidRPr="00EE2DE7" w:rsidRDefault="00E57AC8" w:rsidP="00E57AC8">
      <w:pPr>
        <w:shd w:val="clear" w:color="auto" w:fill="FFFFFF"/>
        <w:ind w:firstLine="720"/>
        <w:rPr>
          <w:rFonts w:eastAsia="Times New Roman"/>
          <w:color w:val="222222"/>
        </w:rPr>
      </w:pPr>
      <w:r w:rsidRPr="00EE2DE7">
        <w:rPr>
          <w:rFonts w:eastAsia="Times New Roman"/>
          <w:color w:val="222222"/>
        </w:rPr>
        <w:t>Prof. dr. Argita MALLTEZI</w:t>
      </w:r>
    </w:p>
    <w:p w:rsidR="00E57AC8" w:rsidRPr="00EE2DE7" w:rsidRDefault="00E57AC8" w:rsidP="00E57AC8">
      <w:pPr>
        <w:shd w:val="clear" w:color="auto" w:fill="FFFFFF"/>
        <w:ind w:firstLine="720"/>
        <w:rPr>
          <w:rFonts w:eastAsia="Times New Roman"/>
          <w:color w:val="222222"/>
        </w:rPr>
      </w:pPr>
      <w:r w:rsidRPr="00EE2DE7">
        <w:rPr>
          <w:rFonts w:eastAsia="Times New Roman"/>
          <w:color w:val="222222"/>
        </w:rPr>
        <w:t>Prof. dr. Skënder KAÇUPI</w:t>
      </w:r>
    </w:p>
    <w:p w:rsidR="00E57AC8" w:rsidRPr="00EE2DE7" w:rsidRDefault="00E57AC8" w:rsidP="00E57AC8">
      <w:pPr>
        <w:shd w:val="clear" w:color="auto" w:fill="FFFFFF"/>
        <w:ind w:firstLine="720"/>
        <w:rPr>
          <w:rFonts w:eastAsia="Times New Roman"/>
          <w:color w:val="222222"/>
        </w:rPr>
      </w:pPr>
      <w:r w:rsidRPr="00EE2DE7">
        <w:rPr>
          <w:rFonts w:eastAsia="Times New Roman"/>
          <w:color w:val="222222"/>
        </w:rPr>
        <w:t>Prof. dr. Eralda MET'HASANI</w:t>
      </w:r>
    </w:p>
    <w:p w:rsidR="00E57AC8" w:rsidRPr="00EE2DE7" w:rsidRDefault="00E57AC8" w:rsidP="00E57AC8">
      <w:pPr>
        <w:shd w:val="clear" w:color="auto" w:fill="FFFFFF"/>
        <w:ind w:firstLine="720"/>
        <w:rPr>
          <w:rFonts w:eastAsia="Times New Roman"/>
          <w:color w:val="222222"/>
        </w:rPr>
      </w:pPr>
      <w:r>
        <w:rPr>
          <w:rFonts w:eastAsia="Times New Roman"/>
          <w:color w:val="222222"/>
        </w:rPr>
        <w:t>Z. Dashamir KORE</w:t>
      </w:r>
    </w:p>
    <w:p w:rsidR="00E57AC8" w:rsidRPr="00EE2DE7" w:rsidRDefault="00E57AC8" w:rsidP="00E57AC8">
      <w:pPr>
        <w:autoSpaceDE w:val="0"/>
        <w:autoSpaceDN w:val="0"/>
        <w:adjustRightInd w:val="0"/>
        <w:spacing w:line="276" w:lineRule="auto"/>
        <w:rPr>
          <w:rFonts w:eastAsia="Tw Cen MT"/>
          <w:kern w:val="24"/>
        </w:rPr>
      </w:pPr>
    </w:p>
    <w:p w:rsidR="00E57AC8" w:rsidRPr="00EE2DE7" w:rsidRDefault="00E57AC8" w:rsidP="00E57AC8">
      <w:pPr>
        <w:autoSpaceDE w:val="0"/>
        <w:autoSpaceDN w:val="0"/>
        <w:adjustRightInd w:val="0"/>
        <w:spacing w:after="200" w:line="276" w:lineRule="auto"/>
        <w:jc w:val="both"/>
        <w:rPr>
          <w:rFonts w:eastAsia="Tw Cen MT"/>
          <w:b/>
          <w:kern w:val="24"/>
        </w:rPr>
      </w:pPr>
      <w:r w:rsidRPr="00EE2DE7">
        <w:rPr>
          <w:rFonts w:eastAsia="Tw Cen MT"/>
          <w:b/>
          <w:kern w:val="24"/>
        </w:rPr>
        <w:t>Struktura e revistës</w:t>
      </w:r>
    </w:p>
    <w:p w:rsidR="00E57AC8" w:rsidRPr="00EE2DE7" w:rsidRDefault="00E57AC8" w:rsidP="00E57AC8">
      <w:pPr>
        <w:autoSpaceDE w:val="0"/>
        <w:autoSpaceDN w:val="0"/>
        <w:adjustRightInd w:val="0"/>
        <w:spacing w:after="200" w:line="276" w:lineRule="auto"/>
        <w:ind w:firstLine="360"/>
        <w:jc w:val="both"/>
        <w:rPr>
          <w:rFonts w:eastAsia="Tw Cen MT"/>
          <w:kern w:val="24"/>
        </w:rPr>
      </w:pPr>
      <w:r w:rsidRPr="00EE2DE7">
        <w:rPr>
          <w:rFonts w:eastAsia="Tw Cen MT"/>
          <w:kern w:val="24"/>
        </w:rPr>
        <w:t>Struktura e revistës “Jeta Juridike”, miratuar nga Bordi i Redaktorëve, vazhdon të jetë e njëjtë me rubrikat si më poshtë:</w:t>
      </w:r>
    </w:p>
    <w:p w:rsidR="00E57AC8" w:rsidRPr="00EE2DE7" w:rsidRDefault="00E57AC8" w:rsidP="00E57AC8">
      <w:pPr>
        <w:numPr>
          <w:ilvl w:val="0"/>
          <w:numId w:val="39"/>
        </w:numPr>
        <w:autoSpaceDE w:val="0"/>
        <w:autoSpaceDN w:val="0"/>
        <w:adjustRightInd w:val="0"/>
        <w:jc w:val="both"/>
        <w:rPr>
          <w:rFonts w:eastAsia="Tw Cen MT"/>
          <w:kern w:val="24"/>
        </w:rPr>
      </w:pPr>
      <w:r w:rsidRPr="00EE2DE7">
        <w:rPr>
          <w:rFonts w:eastAsia="Tw Cen MT"/>
          <w:kern w:val="24"/>
        </w:rPr>
        <w:t>Rubrika 1 - Artikuj teorikë.</w:t>
      </w:r>
    </w:p>
    <w:p w:rsidR="00E57AC8" w:rsidRPr="00EE2DE7" w:rsidRDefault="00E57AC8" w:rsidP="00E57AC8">
      <w:pPr>
        <w:numPr>
          <w:ilvl w:val="0"/>
          <w:numId w:val="39"/>
        </w:numPr>
        <w:autoSpaceDE w:val="0"/>
        <w:autoSpaceDN w:val="0"/>
        <w:adjustRightInd w:val="0"/>
        <w:jc w:val="both"/>
        <w:rPr>
          <w:rFonts w:eastAsia="Tw Cen MT"/>
          <w:kern w:val="24"/>
        </w:rPr>
      </w:pPr>
      <w:r w:rsidRPr="00EE2DE7">
        <w:rPr>
          <w:rFonts w:eastAsia="Tw Cen MT"/>
          <w:kern w:val="24"/>
        </w:rPr>
        <w:t>Rubrika 2 – Opinione dhe debat juridik.</w:t>
      </w:r>
    </w:p>
    <w:p w:rsidR="00E57AC8" w:rsidRPr="00EE2DE7" w:rsidRDefault="00E57AC8" w:rsidP="00E57AC8">
      <w:pPr>
        <w:numPr>
          <w:ilvl w:val="0"/>
          <w:numId w:val="39"/>
        </w:numPr>
        <w:autoSpaceDE w:val="0"/>
        <w:autoSpaceDN w:val="0"/>
        <w:adjustRightInd w:val="0"/>
        <w:jc w:val="both"/>
        <w:rPr>
          <w:rFonts w:eastAsia="Tw Cen MT"/>
          <w:kern w:val="24"/>
        </w:rPr>
      </w:pPr>
      <w:r w:rsidRPr="00EE2DE7">
        <w:rPr>
          <w:rFonts w:eastAsia="Tw Cen MT"/>
          <w:kern w:val="24"/>
        </w:rPr>
        <w:t>Rubrika 3 – Njohje me legjislacionin e ri.</w:t>
      </w:r>
    </w:p>
    <w:p w:rsidR="00E57AC8" w:rsidRPr="00EE2DE7" w:rsidRDefault="00E57AC8" w:rsidP="00E57AC8">
      <w:pPr>
        <w:numPr>
          <w:ilvl w:val="0"/>
          <w:numId w:val="39"/>
        </w:numPr>
        <w:autoSpaceDE w:val="0"/>
        <w:autoSpaceDN w:val="0"/>
        <w:adjustRightInd w:val="0"/>
        <w:jc w:val="both"/>
        <w:rPr>
          <w:rFonts w:eastAsia="Tw Cen MT"/>
          <w:kern w:val="24"/>
        </w:rPr>
      </w:pPr>
      <w:r w:rsidRPr="00EE2DE7">
        <w:rPr>
          <w:rFonts w:eastAsia="Tw Cen MT"/>
          <w:kern w:val="24"/>
        </w:rPr>
        <w:t>Rubrika 4 – Njohje me praktikën gjyqësore.</w:t>
      </w:r>
    </w:p>
    <w:p w:rsidR="00E57AC8" w:rsidRPr="00EE2DE7" w:rsidRDefault="00E57AC8" w:rsidP="00E57AC8">
      <w:pPr>
        <w:numPr>
          <w:ilvl w:val="0"/>
          <w:numId w:val="39"/>
        </w:numPr>
        <w:autoSpaceDE w:val="0"/>
        <w:autoSpaceDN w:val="0"/>
        <w:adjustRightInd w:val="0"/>
        <w:jc w:val="both"/>
        <w:rPr>
          <w:rFonts w:eastAsia="Tw Cen MT"/>
          <w:kern w:val="24"/>
        </w:rPr>
      </w:pPr>
      <w:r w:rsidRPr="00EE2DE7">
        <w:rPr>
          <w:rFonts w:eastAsia="Tw Cen MT"/>
          <w:kern w:val="24"/>
        </w:rPr>
        <w:t>Rubrika 5 – Njohje me përvojën ndërkombëtare teorike dhe praktike.</w:t>
      </w:r>
    </w:p>
    <w:p w:rsidR="00E57AC8" w:rsidRPr="00EE2DE7" w:rsidRDefault="00E57AC8" w:rsidP="00E57AC8">
      <w:pPr>
        <w:numPr>
          <w:ilvl w:val="0"/>
          <w:numId w:val="39"/>
        </w:numPr>
        <w:autoSpaceDE w:val="0"/>
        <w:autoSpaceDN w:val="0"/>
        <w:adjustRightInd w:val="0"/>
        <w:jc w:val="both"/>
        <w:rPr>
          <w:rFonts w:eastAsia="Tw Cen MT"/>
          <w:kern w:val="24"/>
        </w:rPr>
      </w:pPr>
      <w:r w:rsidRPr="00EE2DE7">
        <w:rPr>
          <w:rFonts w:eastAsia="Tw Cen MT"/>
          <w:kern w:val="24"/>
        </w:rPr>
        <w:t>Rubrika 6 – Shkrime nga juristë të rinj.</w:t>
      </w:r>
    </w:p>
    <w:p w:rsidR="00E57AC8" w:rsidRPr="00EE2DE7" w:rsidRDefault="00E57AC8" w:rsidP="00E57AC8">
      <w:pPr>
        <w:numPr>
          <w:ilvl w:val="0"/>
          <w:numId w:val="39"/>
        </w:numPr>
        <w:autoSpaceDE w:val="0"/>
        <w:autoSpaceDN w:val="0"/>
        <w:adjustRightInd w:val="0"/>
        <w:jc w:val="both"/>
        <w:rPr>
          <w:rFonts w:eastAsia="Tw Cen MT"/>
          <w:kern w:val="24"/>
        </w:rPr>
      </w:pPr>
      <w:r w:rsidRPr="00EE2DE7">
        <w:rPr>
          <w:rFonts w:eastAsia="Tw Cen MT"/>
          <w:kern w:val="24"/>
        </w:rPr>
        <w:t>Rubrika 7 – Aktivitete të Shkollës së Magjistraturës</w:t>
      </w:r>
      <w:r>
        <w:rPr>
          <w:rFonts w:eastAsia="Tw Cen MT"/>
          <w:kern w:val="24"/>
        </w:rPr>
        <w:t xml:space="preserve">. </w:t>
      </w:r>
      <w:r w:rsidRPr="00EE2DE7">
        <w:rPr>
          <w:rFonts w:eastAsia="Tw Cen MT"/>
          <w:kern w:val="24"/>
        </w:rPr>
        <w:t xml:space="preserve"> </w:t>
      </w:r>
    </w:p>
    <w:p w:rsidR="00E57AC8" w:rsidRPr="00EE2DE7" w:rsidRDefault="00E57AC8" w:rsidP="00E57AC8">
      <w:pPr>
        <w:numPr>
          <w:ilvl w:val="0"/>
          <w:numId w:val="39"/>
        </w:numPr>
        <w:autoSpaceDE w:val="0"/>
        <w:autoSpaceDN w:val="0"/>
        <w:adjustRightInd w:val="0"/>
        <w:jc w:val="both"/>
        <w:rPr>
          <w:rFonts w:eastAsia="Tw Cen MT"/>
          <w:kern w:val="24"/>
        </w:rPr>
      </w:pPr>
      <w:r w:rsidRPr="00EE2DE7">
        <w:rPr>
          <w:rFonts w:eastAsia="Tw Cen MT"/>
          <w:bCs/>
          <w:iCs/>
          <w:kern w:val="24"/>
        </w:rPr>
        <w:t xml:space="preserve">Rubrika 8 – Artikuj të spikatur </w:t>
      </w:r>
      <w:r w:rsidRPr="00EE2DE7">
        <w:rPr>
          <w:rFonts w:eastAsia="Tw Cen MT"/>
          <w:kern w:val="24"/>
        </w:rPr>
        <w:t>“</w:t>
      </w:r>
      <w:r w:rsidRPr="003433EE">
        <w:rPr>
          <w:rFonts w:eastAsia="Tw Cen MT"/>
          <w:i/>
          <w:kern w:val="24"/>
        </w:rPr>
        <w:t>Botime e artikuj të përkthyer nga periodikë të ndryshëm ndërkombëtarë</w:t>
      </w:r>
      <w:r w:rsidRPr="00EE2DE7">
        <w:rPr>
          <w:rFonts w:eastAsia="Tw Cen MT"/>
          <w:kern w:val="24"/>
        </w:rPr>
        <w:t xml:space="preserve">”. </w:t>
      </w:r>
    </w:p>
    <w:p w:rsidR="00E57AC8" w:rsidRPr="00EE2DE7" w:rsidRDefault="00E57AC8" w:rsidP="00E57AC8">
      <w:pPr>
        <w:numPr>
          <w:ilvl w:val="0"/>
          <w:numId w:val="39"/>
        </w:numPr>
        <w:autoSpaceDE w:val="0"/>
        <w:autoSpaceDN w:val="0"/>
        <w:adjustRightInd w:val="0"/>
        <w:jc w:val="both"/>
        <w:rPr>
          <w:rFonts w:eastAsia="Tw Cen MT"/>
          <w:kern w:val="24"/>
        </w:rPr>
      </w:pPr>
      <w:r w:rsidRPr="00EE2DE7">
        <w:rPr>
          <w:rFonts w:eastAsia="Tw Cen MT"/>
          <w:kern w:val="24"/>
        </w:rPr>
        <w:lastRenderedPageBreak/>
        <w:t>Artikujt e rubrikave të mësipërme përkthehen të gjith</w:t>
      </w:r>
      <w:r>
        <w:rPr>
          <w:rFonts w:eastAsia="Tw Cen MT"/>
          <w:kern w:val="24"/>
        </w:rPr>
        <w:t>a</w:t>
      </w:r>
      <w:r w:rsidRPr="00EE2DE7">
        <w:rPr>
          <w:rFonts w:eastAsia="Tw Cen MT"/>
          <w:kern w:val="24"/>
        </w:rPr>
        <w:t xml:space="preserve"> në anglisht. </w:t>
      </w:r>
    </w:p>
    <w:p w:rsidR="00E57AC8" w:rsidRPr="00EE2DE7" w:rsidRDefault="00E57AC8" w:rsidP="00E57AC8">
      <w:pPr>
        <w:autoSpaceDE w:val="0"/>
        <w:autoSpaceDN w:val="0"/>
        <w:adjustRightInd w:val="0"/>
        <w:ind w:left="720"/>
        <w:jc w:val="both"/>
        <w:rPr>
          <w:rFonts w:eastAsia="Tw Cen MT"/>
          <w:kern w:val="24"/>
        </w:rPr>
      </w:pPr>
    </w:p>
    <w:p w:rsidR="00E57AC8" w:rsidRPr="00EE2DE7" w:rsidRDefault="00E57AC8" w:rsidP="00E57AC8">
      <w:pPr>
        <w:autoSpaceDE w:val="0"/>
        <w:autoSpaceDN w:val="0"/>
        <w:adjustRightInd w:val="0"/>
        <w:spacing w:after="200" w:line="276" w:lineRule="auto"/>
        <w:ind w:firstLine="720"/>
        <w:jc w:val="both"/>
        <w:rPr>
          <w:rFonts w:eastAsia="Tw Cen MT"/>
          <w:kern w:val="24"/>
        </w:rPr>
      </w:pPr>
      <w:r w:rsidRPr="00EE2DE7">
        <w:rPr>
          <w:rFonts w:eastAsia="Tw Cen MT"/>
          <w:kern w:val="24"/>
        </w:rPr>
        <w:t>Revista për vitet 2017-2018 përmban rreth 300 faqe, shqip dhe anglisht (+/- 10 faqe); botohet në një tirazh prej 300 kopjesh dhe kopertina pasqyron emblemën (logon) e Shkollës së Magjistraturës. Si përfitues të botimit shkencor “Jeta Juridike” janë identifikuar gjyqtarët dhe prokurorët në të gjithë vendin, si dhe studentët e Shkollës së Magjistraturës, pa lënë mënjanë edhe studentët e drejtësisë, avokatët, noterët, juristët e institucioneve dhe organizatave etj.</w:t>
      </w:r>
    </w:p>
    <w:p w:rsidR="00E57AC8" w:rsidRPr="00EE2DE7" w:rsidRDefault="00E57AC8" w:rsidP="00E57AC8">
      <w:pPr>
        <w:autoSpaceDE w:val="0"/>
        <w:autoSpaceDN w:val="0"/>
        <w:adjustRightInd w:val="0"/>
        <w:spacing w:after="200" w:line="276" w:lineRule="auto"/>
        <w:jc w:val="both"/>
        <w:rPr>
          <w:rFonts w:eastAsia="Tw Cen MT"/>
          <w:b/>
          <w:kern w:val="24"/>
        </w:rPr>
      </w:pPr>
      <w:r w:rsidRPr="00EE2DE7">
        <w:rPr>
          <w:rFonts w:eastAsia="Tw Cen MT"/>
          <w:b/>
          <w:kern w:val="24"/>
        </w:rPr>
        <w:t>Kriteret e zbatuara për artikujt</w:t>
      </w:r>
    </w:p>
    <w:p w:rsidR="00E57AC8" w:rsidRPr="00EE2DE7" w:rsidRDefault="00E57AC8" w:rsidP="00E57AC8">
      <w:pPr>
        <w:autoSpaceDE w:val="0"/>
        <w:autoSpaceDN w:val="0"/>
        <w:adjustRightInd w:val="0"/>
        <w:spacing w:after="200" w:line="276" w:lineRule="auto"/>
        <w:ind w:firstLine="720"/>
        <w:jc w:val="both"/>
        <w:rPr>
          <w:rFonts w:eastAsia="Tw Cen MT"/>
          <w:kern w:val="24"/>
        </w:rPr>
      </w:pPr>
      <w:r w:rsidRPr="00EE2DE7">
        <w:rPr>
          <w:rFonts w:eastAsia="Tw Cen MT"/>
          <w:kern w:val="24"/>
        </w:rPr>
        <w:t xml:space="preserve">Bordi i Redaktorëve ka miratuar Rregulloren e revistës “Jeta Juridike” si dhe ka adoptuar standarde të larta përzgjedhjeje për artikujt që janë botuar në </w:t>
      </w:r>
      <w:r>
        <w:rPr>
          <w:rFonts w:eastAsia="Tw Cen MT"/>
          <w:kern w:val="24"/>
        </w:rPr>
        <w:t xml:space="preserve">këtë revistë. </w:t>
      </w:r>
      <w:r w:rsidRPr="00EE2DE7">
        <w:rPr>
          <w:rFonts w:eastAsia="Tw Cen MT"/>
          <w:kern w:val="24"/>
        </w:rPr>
        <w:t>Kështu disa nga kriteret e zbatuara kanë qenë dhe janë:</w:t>
      </w:r>
    </w:p>
    <w:p w:rsidR="00E57AC8" w:rsidRPr="00EE2DE7" w:rsidRDefault="00E57AC8" w:rsidP="00E57AC8">
      <w:pPr>
        <w:numPr>
          <w:ilvl w:val="0"/>
          <w:numId w:val="38"/>
        </w:numPr>
        <w:autoSpaceDE w:val="0"/>
        <w:autoSpaceDN w:val="0"/>
        <w:adjustRightInd w:val="0"/>
        <w:spacing w:line="276" w:lineRule="auto"/>
        <w:ind w:hanging="436"/>
        <w:jc w:val="both"/>
        <w:rPr>
          <w:rFonts w:eastAsia="Tw Cen MT"/>
          <w:kern w:val="24"/>
        </w:rPr>
      </w:pPr>
      <w:r w:rsidRPr="00EE2DE7">
        <w:rPr>
          <w:rFonts w:eastAsia="Tw Cen MT"/>
          <w:kern w:val="24"/>
        </w:rPr>
        <w:t xml:space="preserve">Përzgjedhja e shkrimeve nga personalitete të jetës juridike shqiptare. </w:t>
      </w:r>
    </w:p>
    <w:p w:rsidR="00E57AC8" w:rsidRPr="00EE2DE7" w:rsidRDefault="00EF3D3E" w:rsidP="00E57AC8">
      <w:pPr>
        <w:numPr>
          <w:ilvl w:val="0"/>
          <w:numId w:val="38"/>
        </w:numPr>
        <w:tabs>
          <w:tab w:val="num" w:pos="0"/>
        </w:tabs>
        <w:autoSpaceDE w:val="0"/>
        <w:autoSpaceDN w:val="0"/>
        <w:adjustRightInd w:val="0"/>
        <w:spacing w:line="276" w:lineRule="auto"/>
        <w:ind w:left="0" w:firstLine="284"/>
        <w:jc w:val="both"/>
        <w:rPr>
          <w:rFonts w:eastAsia="Tw Cen MT"/>
          <w:kern w:val="24"/>
        </w:rPr>
      </w:pPr>
      <w:r>
        <w:rPr>
          <w:rFonts w:eastAsia="Tw Cen MT"/>
          <w:noProof/>
          <w:kern w:val="24"/>
          <w:lang w:eastAsia="en-US"/>
        </w:rPr>
        <w:drawing>
          <wp:anchor distT="0" distB="0" distL="114300" distR="114300" simplePos="0" relativeHeight="251749888" behindDoc="0" locked="0" layoutInCell="1" allowOverlap="1">
            <wp:simplePos x="0" y="0"/>
            <wp:positionH relativeFrom="margin">
              <wp:align>right</wp:align>
            </wp:positionH>
            <wp:positionV relativeFrom="margin">
              <wp:posOffset>3082290</wp:posOffset>
            </wp:positionV>
            <wp:extent cx="2137410" cy="2727960"/>
            <wp:effectExtent l="19050" t="0" r="0" b="0"/>
            <wp:wrapSquare wrapText="bothSides"/>
            <wp:docPr id="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srcRect l="4809" t="4720" r="4692" b="6426"/>
                    <a:stretch>
                      <a:fillRect/>
                    </a:stretch>
                  </pic:blipFill>
                  <pic:spPr bwMode="auto">
                    <a:xfrm>
                      <a:off x="0" y="0"/>
                      <a:ext cx="2137410" cy="2727960"/>
                    </a:xfrm>
                    <a:prstGeom prst="rect">
                      <a:avLst/>
                    </a:prstGeom>
                    <a:noFill/>
                    <a:ln w="9525">
                      <a:noFill/>
                      <a:miter lim="800000"/>
                      <a:headEnd/>
                      <a:tailEnd/>
                    </a:ln>
                  </pic:spPr>
                </pic:pic>
              </a:graphicData>
            </a:graphic>
          </wp:anchor>
        </w:drawing>
      </w:r>
      <w:r w:rsidR="00E57AC8" w:rsidRPr="00EE2DE7">
        <w:rPr>
          <w:rFonts w:eastAsia="Tw Cen MT"/>
          <w:kern w:val="24"/>
        </w:rPr>
        <w:t xml:space="preserve">Heterogjeniteti i autorëve. Kështu revista pasqyron shkrime nga juristë të moshave të ndryshme, të profileve të ndryshme, të rretheve të ndryshme dhe madje edhe të huaj; </w:t>
      </w:r>
    </w:p>
    <w:p w:rsidR="00E57AC8" w:rsidRPr="00EE2DE7" w:rsidRDefault="00E57AC8" w:rsidP="00E57AC8">
      <w:pPr>
        <w:numPr>
          <w:ilvl w:val="0"/>
          <w:numId w:val="38"/>
        </w:numPr>
        <w:tabs>
          <w:tab w:val="num" w:pos="0"/>
        </w:tabs>
        <w:autoSpaceDE w:val="0"/>
        <w:autoSpaceDN w:val="0"/>
        <w:adjustRightInd w:val="0"/>
        <w:spacing w:line="276" w:lineRule="auto"/>
        <w:ind w:left="0" w:firstLine="284"/>
        <w:jc w:val="both"/>
        <w:rPr>
          <w:rFonts w:eastAsia="Tw Cen MT"/>
          <w:kern w:val="24"/>
        </w:rPr>
      </w:pPr>
      <w:r w:rsidRPr="00EE2DE7">
        <w:rPr>
          <w:rFonts w:eastAsia="Tw Cen MT"/>
          <w:kern w:val="24"/>
        </w:rPr>
        <w:t>Larmia e temave që prekin aspekte të ndryshme të teorisë dhe praktikës së të drejtës.</w:t>
      </w:r>
    </w:p>
    <w:p w:rsidR="00E57AC8" w:rsidRPr="00EE2DE7" w:rsidRDefault="00E57AC8" w:rsidP="00E57AC8">
      <w:pPr>
        <w:numPr>
          <w:ilvl w:val="0"/>
          <w:numId w:val="38"/>
        </w:numPr>
        <w:tabs>
          <w:tab w:val="num" w:pos="0"/>
        </w:tabs>
        <w:autoSpaceDE w:val="0"/>
        <w:autoSpaceDN w:val="0"/>
        <w:adjustRightInd w:val="0"/>
        <w:spacing w:line="276" w:lineRule="auto"/>
        <w:ind w:left="0" w:firstLine="284"/>
        <w:jc w:val="both"/>
        <w:rPr>
          <w:rFonts w:eastAsia="Tw Cen MT"/>
          <w:kern w:val="24"/>
        </w:rPr>
      </w:pPr>
      <w:r w:rsidRPr="00EE2DE7">
        <w:rPr>
          <w:rFonts w:eastAsia="Tw Cen MT"/>
          <w:kern w:val="24"/>
        </w:rPr>
        <w:t xml:space="preserve">Duke qenë se lexuesi kryesor është menduar se do të jetë gjyqtari apo prokurori, artikujt dhe struktura janë konceptuar në mënyrë të tillë që t’u shërbejnë këtyre juristëve, përveçse juristëve të rinj. Kështu edhe kur artikujt kanë trajtuar çështje të së drejtës ndërkombëtare apo asaj të huaj, gjithmonë ato janë parë edhe nga këndvështrimi i realitetit shqiptar. </w:t>
      </w:r>
    </w:p>
    <w:p w:rsidR="00E57AC8" w:rsidRPr="00EE2DE7" w:rsidRDefault="00E57AC8" w:rsidP="00E57AC8">
      <w:pPr>
        <w:numPr>
          <w:ilvl w:val="0"/>
          <w:numId w:val="38"/>
        </w:numPr>
        <w:tabs>
          <w:tab w:val="num" w:pos="0"/>
        </w:tabs>
        <w:autoSpaceDE w:val="0"/>
        <w:autoSpaceDN w:val="0"/>
        <w:adjustRightInd w:val="0"/>
        <w:spacing w:line="276" w:lineRule="auto"/>
        <w:ind w:left="0" w:firstLine="284"/>
        <w:jc w:val="both"/>
        <w:rPr>
          <w:rFonts w:eastAsia="Tw Cen MT"/>
          <w:kern w:val="24"/>
        </w:rPr>
      </w:pPr>
      <w:r w:rsidRPr="00EE2DE7">
        <w:rPr>
          <w:rFonts w:eastAsia="Tw Cen MT"/>
          <w:kern w:val="24"/>
        </w:rPr>
        <w:t xml:space="preserve">Nga ana tjetër zgjidhen artikuj që të jenë të pasur me shembuj nga praktika. </w:t>
      </w:r>
    </w:p>
    <w:p w:rsidR="00E57AC8" w:rsidRPr="00EE2DE7" w:rsidRDefault="00E57AC8" w:rsidP="00E57AC8">
      <w:pPr>
        <w:numPr>
          <w:ilvl w:val="0"/>
          <w:numId w:val="38"/>
        </w:numPr>
        <w:tabs>
          <w:tab w:val="num" w:pos="0"/>
        </w:tabs>
        <w:autoSpaceDE w:val="0"/>
        <w:autoSpaceDN w:val="0"/>
        <w:adjustRightInd w:val="0"/>
        <w:ind w:left="0" w:firstLine="284"/>
        <w:jc w:val="both"/>
        <w:rPr>
          <w:rFonts w:eastAsia="Tw Cen MT"/>
          <w:kern w:val="24"/>
        </w:rPr>
      </w:pPr>
      <w:r w:rsidRPr="00EE2DE7">
        <w:rPr>
          <w:rFonts w:eastAsia="Tw Cen MT"/>
          <w:kern w:val="24"/>
        </w:rPr>
        <w:t>Shkrimet janë seleksionuar mbi bazën e risive dhe origjinalitetit shkencor që ato përcjellin te lexuesi dhe janë shmangur shkrimet me ngjyrime politike apo emocionale.</w:t>
      </w:r>
    </w:p>
    <w:p w:rsidR="00EF3D3E" w:rsidRDefault="00E57AC8" w:rsidP="00EF3D3E">
      <w:pPr>
        <w:numPr>
          <w:ilvl w:val="0"/>
          <w:numId w:val="38"/>
        </w:numPr>
        <w:tabs>
          <w:tab w:val="num" w:pos="0"/>
        </w:tabs>
        <w:autoSpaceDE w:val="0"/>
        <w:autoSpaceDN w:val="0"/>
        <w:adjustRightInd w:val="0"/>
        <w:ind w:left="0" w:firstLine="284"/>
        <w:jc w:val="both"/>
        <w:rPr>
          <w:rFonts w:eastAsia="Tw Cen MT"/>
          <w:kern w:val="24"/>
        </w:rPr>
      </w:pPr>
      <w:r w:rsidRPr="00EE2DE7">
        <w:rPr>
          <w:rFonts w:eastAsia="Tw Cen MT"/>
          <w:kern w:val="24"/>
        </w:rPr>
        <w:t>Artikujt janë përzgjedhur edhe mbi bazën e formatit shkencor të paraqitjes së tyre, strukturës, bibliografisë, citimeve etj.</w:t>
      </w:r>
    </w:p>
    <w:p w:rsidR="00EF3D3E" w:rsidRDefault="00EF3D3E" w:rsidP="00EF3D3E">
      <w:pPr>
        <w:rPr>
          <w:rFonts w:eastAsia="Tw Cen MT"/>
        </w:rPr>
      </w:pPr>
    </w:p>
    <w:p w:rsidR="00EF3D3E" w:rsidRPr="00EF3D3E" w:rsidRDefault="00EF3D3E" w:rsidP="00EF3D3E">
      <w:pPr>
        <w:spacing w:line="276" w:lineRule="auto"/>
        <w:jc w:val="both"/>
        <w:rPr>
          <w:b/>
          <w:noProof/>
          <w:color w:val="CC9966" w:themeColor="accent2"/>
          <w:lang w:eastAsia="en-US"/>
        </w:rPr>
      </w:pPr>
      <w:r w:rsidRPr="00EF3D3E">
        <w:rPr>
          <w:b/>
          <w:noProof/>
          <w:color w:val="CC9966" w:themeColor="accent2"/>
          <w:lang w:eastAsia="en-US"/>
        </w:rPr>
        <w:t>Disa arritje dhe probleme</w:t>
      </w:r>
    </w:p>
    <w:p w:rsidR="00EF3D3E" w:rsidRPr="00EE2DE7" w:rsidRDefault="00EF3D3E" w:rsidP="00EF3D3E">
      <w:pPr>
        <w:autoSpaceDE w:val="0"/>
        <w:autoSpaceDN w:val="0"/>
        <w:adjustRightInd w:val="0"/>
        <w:jc w:val="both"/>
        <w:rPr>
          <w:rFonts w:eastAsia="Tw Cen MT"/>
          <w:b/>
          <w:kern w:val="24"/>
        </w:rPr>
      </w:pPr>
    </w:p>
    <w:p w:rsidR="00E57AC8" w:rsidRPr="00EF3D3E" w:rsidRDefault="00EF3D3E" w:rsidP="00EF3D3E">
      <w:pPr>
        <w:rPr>
          <w:rFonts w:eastAsia="Tw Cen MT"/>
        </w:rPr>
      </w:pPr>
      <w:r w:rsidRPr="00EE2DE7">
        <w:rPr>
          <w:rFonts w:eastAsia="Tw Cen MT"/>
          <w:kern w:val="24"/>
        </w:rPr>
        <w:t xml:space="preserve">Shkolla e Magjistraturës i konsideron shpenzimet lidhur me revistën, si të domosdoshme për vazhdimësinë e një aktiviteti, që në të gjitha aspektet, përbën një arritje për institucionin si dhe një kontribut të rëndësishëm për doktrinën juridike të vendit tonë. Këtë vendim, strukturat drejtuese të Shkollës e morën duke u nisur nga komentet shumë pozitive për cilësinë dhe seriozitetin e revistës të </w:t>
      </w:r>
      <w:r>
        <w:rPr>
          <w:rFonts w:eastAsia="Tw Cen MT"/>
          <w:kern w:val="24"/>
        </w:rPr>
        <w:t>nëpër</w:t>
      </w:r>
      <w:r w:rsidRPr="00EE2DE7">
        <w:rPr>
          <w:rFonts w:eastAsia="Tw Cen MT"/>
          <w:kern w:val="24"/>
        </w:rPr>
        <w:t xml:space="preserve"> takime të ndryshme me juristë nga i gjithë vendi. Veç kësaj, mjaft gjyqtarë, prokurorë e juristë të tjerë, madje pena të njohura të drejtësisë shqiptare, kontaktojnë vazhdimisht me redaksinë për të botuar artikujt e tyre.</w:t>
      </w:r>
    </w:p>
    <w:p w:rsidR="00E57AC8" w:rsidRDefault="00EF3D3E" w:rsidP="00E57AC8">
      <w:pPr>
        <w:autoSpaceDE w:val="0"/>
        <w:autoSpaceDN w:val="0"/>
        <w:adjustRightInd w:val="0"/>
        <w:rPr>
          <w:rFonts w:eastAsia="Tw Cen MT"/>
          <w:b/>
          <w:color w:val="0070C0"/>
          <w:kern w:val="24"/>
        </w:rPr>
      </w:pPr>
      <w:r>
        <w:rPr>
          <w:rFonts w:eastAsia="Tw Cen MT"/>
          <w:b/>
          <w:noProof/>
          <w:color w:val="0070C0"/>
          <w:kern w:val="24"/>
          <w:lang w:eastAsia="en-US"/>
        </w:rPr>
        <w:lastRenderedPageBreak/>
        <w:drawing>
          <wp:anchor distT="0" distB="0" distL="114300" distR="114300" simplePos="0" relativeHeight="251750912" behindDoc="0" locked="0" layoutInCell="1" allowOverlap="1">
            <wp:simplePos x="0" y="0"/>
            <wp:positionH relativeFrom="margin">
              <wp:align>center</wp:align>
            </wp:positionH>
            <wp:positionV relativeFrom="margin">
              <wp:align>top</wp:align>
            </wp:positionV>
            <wp:extent cx="2137410" cy="2567940"/>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srcRect l="6329" t="3254" r="6470" b="3037"/>
                    <a:stretch>
                      <a:fillRect/>
                    </a:stretch>
                  </pic:blipFill>
                  <pic:spPr bwMode="auto">
                    <a:xfrm>
                      <a:off x="0" y="0"/>
                      <a:ext cx="2137410" cy="2567940"/>
                    </a:xfrm>
                    <a:prstGeom prst="rect">
                      <a:avLst/>
                    </a:prstGeom>
                    <a:noFill/>
                    <a:ln w="9525">
                      <a:noFill/>
                      <a:miter lim="800000"/>
                      <a:headEnd/>
                      <a:tailEnd/>
                    </a:ln>
                  </pic:spPr>
                </pic:pic>
              </a:graphicData>
            </a:graphic>
          </wp:anchor>
        </w:drawing>
      </w:r>
      <w:r w:rsidR="00E57AC8">
        <w:rPr>
          <w:rFonts w:eastAsia="Tw Cen MT"/>
          <w:b/>
          <w:color w:val="0070C0"/>
          <w:kern w:val="24"/>
        </w:rPr>
        <w:t xml:space="preserve">                           </w:t>
      </w:r>
      <w:r w:rsidRPr="00EF3D3E">
        <w:rPr>
          <w:rFonts w:eastAsia="Tw Cen MT"/>
          <w:b/>
          <w:noProof/>
          <w:color w:val="0070C0"/>
          <w:kern w:val="24"/>
          <w:lang w:eastAsia="en-US"/>
        </w:rPr>
        <w:drawing>
          <wp:anchor distT="0" distB="0" distL="114300" distR="114300" simplePos="0" relativeHeight="251751936" behindDoc="0" locked="0" layoutInCell="1" allowOverlap="1">
            <wp:simplePos x="5101590" y="632460"/>
            <wp:positionH relativeFrom="margin">
              <wp:align>right</wp:align>
            </wp:positionH>
            <wp:positionV relativeFrom="margin">
              <wp:align>top</wp:align>
            </wp:positionV>
            <wp:extent cx="2106930" cy="2567940"/>
            <wp:effectExtent l="19050" t="0" r="7620" b="0"/>
            <wp:wrapSquare wrapText="bothSides"/>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2"/>
                    <a:srcRect l="5553" t="3808" r="6293" b="3407"/>
                    <a:stretch>
                      <a:fillRect/>
                    </a:stretch>
                  </pic:blipFill>
                  <pic:spPr bwMode="auto">
                    <a:xfrm>
                      <a:off x="0" y="0"/>
                      <a:ext cx="2106930" cy="2567940"/>
                    </a:xfrm>
                    <a:prstGeom prst="rect">
                      <a:avLst/>
                    </a:prstGeom>
                    <a:noFill/>
                    <a:ln w="9525">
                      <a:noFill/>
                      <a:miter lim="800000"/>
                      <a:headEnd/>
                      <a:tailEnd/>
                    </a:ln>
                  </pic:spPr>
                </pic:pic>
              </a:graphicData>
            </a:graphic>
          </wp:anchor>
        </w:drawing>
      </w:r>
    </w:p>
    <w:p w:rsidR="00EF3D3E" w:rsidRPr="00EE2DE7" w:rsidRDefault="00EF3D3E" w:rsidP="00EF3D3E">
      <w:pPr>
        <w:autoSpaceDE w:val="0"/>
        <w:autoSpaceDN w:val="0"/>
        <w:adjustRightInd w:val="0"/>
        <w:spacing w:line="276" w:lineRule="auto"/>
        <w:jc w:val="both"/>
        <w:rPr>
          <w:rFonts w:eastAsia="Tw Cen MT"/>
          <w:kern w:val="24"/>
        </w:rPr>
      </w:pPr>
      <w:r w:rsidRPr="00EE2DE7">
        <w:rPr>
          <w:rFonts w:eastAsia="Tw Cen MT"/>
          <w:kern w:val="24"/>
        </w:rPr>
        <w:t>Kjo natyrisht flet për sukses cilësor të revistës dhe për pritjen e mirë të saj nga lexuesi. Por, nga ana tjetër, kjo e vendos redaksinë e revistës përpara një përgjegjësie të madhe që t’i përgjigjet edhe në kohë lexuesit që e pret me padurim daljen e revistës.</w:t>
      </w:r>
    </w:p>
    <w:p w:rsidR="00EF3D3E" w:rsidRDefault="00EF3D3E" w:rsidP="00EF3D3E">
      <w:pPr>
        <w:spacing w:line="276" w:lineRule="auto"/>
        <w:ind w:firstLine="720"/>
        <w:jc w:val="both"/>
        <w:rPr>
          <w:rFonts w:eastAsia="Tw Cen MT"/>
          <w:kern w:val="24"/>
        </w:rPr>
      </w:pPr>
      <w:r w:rsidRPr="00EE2DE7">
        <w:rPr>
          <w:rFonts w:eastAsia="Tw Cen MT"/>
          <w:kern w:val="24"/>
        </w:rPr>
        <w:t>Mbetet një sfidë e rëndësishme për institucionin vazhdimi i botimit të saj në vitet në vazhdim me fondet e buxhetit të shtetit, ku parashikohet edhe shitja e saj dhe përdorimi i të ardhurave për botimin e numrave të ardhshëm të revistës.</w:t>
      </w:r>
    </w:p>
    <w:p w:rsidR="00EF3D3E" w:rsidRPr="00EF3D3E" w:rsidRDefault="00EF3D3E" w:rsidP="00EF3D3E">
      <w:pPr>
        <w:spacing w:line="276" w:lineRule="auto"/>
        <w:ind w:firstLine="720"/>
        <w:jc w:val="both"/>
        <w:rPr>
          <w:rFonts w:eastAsia="Tw Cen MT"/>
          <w:kern w:val="24"/>
        </w:rPr>
      </w:pPr>
    </w:p>
    <w:p w:rsidR="00EF3D3E" w:rsidRPr="00EF3D3E" w:rsidRDefault="00EF3D3E" w:rsidP="00EF3D3E">
      <w:pPr>
        <w:spacing w:line="276" w:lineRule="auto"/>
        <w:jc w:val="both"/>
        <w:rPr>
          <w:b/>
          <w:noProof/>
          <w:color w:val="CC9966" w:themeColor="accent2"/>
          <w:sz w:val="32"/>
          <w:lang w:eastAsia="en-US"/>
        </w:rPr>
      </w:pPr>
      <w:r w:rsidRPr="00EF3D3E">
        <w:rPr>
          <w:b/>
          <w:noProof/>
          <w:color w:val="CC9966" w:themeColor="accent2"/>
          <w:sz w:val="32"/>
          <w:lang w:eastAsia="en-US"/>
        </w:rPr>
        <w:t>4.2 Raporti për botimet e teksteve shkencore të Shkollës së Magjistraturës 2017-2018</w:t>
      </w:r>
    </w:p>
    <w:p w:rsidR="00EF3D3E" w:rsidRPr="000E7323" w:rsidRDefault="00EF3D3E" w:rsidP="00EF3D3E">
      <w:pPr>
        <w:spacing w:line="276" w:lineRule="auto"/>
        <w:contextualSpacing/>
        <w:jc w:val="both"/>
        <w:outlineLvl w:val="1"/>
        <w:rPr>
          <w:rFonts w:ascii="Tw Cen MT" w:eastAsia="Tw Cen MT" w:hAnsi="Tw Cen MT"/>
          <w:b/>
          <w:color w:val="355D7E"/>
          <w:spacing w:val="20"/>
          <w:kern w:val="24"/>
          <w:szCs w:val="28"/>
        </w:rPr>
      </w:pPr>
    </w:p>
    <w:p w:rsidR="00EF3D3E" w:rsidRPr="00EE2DE7" w:rsidRDefault="00EF3D3E" w:rsidP="00EF3D3E">
      <w:pPr>
        <w:spacing w:line="276" w:lineRule="auto"/>
        <w:ind w:firstLine="720"/>
        <w:jc w:val="both"/>
        <w:rPr>
          <w:rFonts w:eastAsia="Tw Cen MT"/>
          <w:kern w:val="24"/>
        </w:rPr>
      </w:pPr>
      <w:r w:rsidRPr="00EE2DE7">
        <w:rPr>
          <w:rFonts w:eastAsia="Tw Cen MT"/>
          <w:kern w:val="24"/>
        </w:rPr>
        <w:t>Shkolla e Magjistraturës mund të botojë nën emrin dhe kujdesin e saj tekstet dhe librat, të cilët trajtojnë probleme ligjore të lidhura ngushtë me programet e lëndëve dhe kurseve të Trajnimit Fillestar e Vazhdues të gjyqtarëve dhe prokurorëve, duke synuar në unifikimin dhe analizimin e praktikës gjyqësore dhe juridike kombëtare e ndërkombëtare. Tekstet konsiderohen tekste shkencore dhe do të botohen nën drejtimin dhe kujdesin e Shkollës së Magjistraturës.</w:t>
      </w:r>
    </w:p>
    <w:p w:rsidR="00EF3D3E" w:rsidRPr="00EE2DE7" w:rsidRDefault="00EF3D3E" w:rsidP="00EF3D3E">
      <w:pPr>
        <w:spacing w:line="276" w:lineRule="auto"/>
        <w:ind w:firstLine="720"/>
        <w:jc w:val="both"/>
        <w:rPr>
          <w:rFonts w:eastAsia="Tw Cen MT"/>
          <w:kern w:val="24"/>
        </w:rPr>
      </w:pPr>
      <w:r w:rsidRPr="00EE2DE7">
        <w:rPr>
          <w:rFonts w:eastAsia="Tw Cen MT"/>
          <w:kern w:val="24"/>
        </w:rPr>
        <w:t xml:space="preserve">Një sfidë e rëndësishme për institucionin mbeten botimet nën emrin e Shkollës së Magjistraturës e logon e saj. Të drejtën e pronësisë mbi botimin e parë të tekstit e ka Shkolla e Magjistraturës, e cila ka të drejtën e shpërndarjes së tekstit gjyqtarëve, prokurorëve e juristëve, sipas kushteve të parashikuara në kontratën e lidhur nga autori me Drejtorinë e Shkollës. </w:t>
      </w:r>
    </w:p>
    <w:p w:rsidR="00EF3D3E" w:rsidRPr="00EE2DE7" w:rsidRDefault="00EF3D3E" w:rsidP="00EF3D3E">
      <w:pPr>
        <w:spacing w:line="276" w:lineRule="auto"/>
        <w:ind w:firstLine="720"/>
        <w:jc w:val="both"/>
        <w:rPr>
          <w:rFonts w:eastAsia="Tw Cen MT"/>
          <w:kern w:val="24"/>
        </w:rPr>
      </w:pPr>
      <w:r w:rsidRPr="00EE2DE7">
        <w:rPr>
          <w:rFonts w:eastAsia="Tw Cen MT"/>
          <w:kern w:val="24"/>
        </w:rPr>
        <w:t xml:space="preserve">Tekstet e Programit të Trajnimit Fillestar dhe Vazhdues të Shkollës së Magjistraturës konsiderohen tekste shkencore. Ato botohen nën drejtimin dhe kujdesin e Shkollës. Botimi i këtyre teksteve synon të plotësojë literaturën juridike me njohuri praktike e teorike në ndihmë të gjyqtarëve, prokurorëve që përgatiten rishtas nga Shkolla e Magjistraturës, si dhe në ndihmë të gjyqtarëve e prokurorëve në detyrë, të avokatëve e të përfaqësuesve të tjerë të profesioneve ligjore në procesin e Trajnimit Vazhdues. </w:t>
      </w:r>
    </w:p>
    <w:p w:rsidR="00EF3D3E" w:rsidRPr="00EE2DE7" w:rsidRDefault="00EF3D3E" w:rsidP="00EF3D3E">
      <w:pPr>
        <w:spacing w:line="276" w:lineRule="auto"/>
        <w:ind w:firstLine="720"/>
        <w:jc w:val="both"/>
        <w:rPr>
          <w:rFonts w:eastAsia="Tw Cen MT"/>
          <w:kern w:val="24"/>
        </w:rPr>
      </w:pPr>
      <w:r w:rsidRPr="00EE2DE7">
        <w:rPr>
          <w:rFonts w:eastAsia="Tw Cen MT"/>
          <w:kern w:val="24"/>
        </w:rPr>
        <w:t xml:space="preserve">Të drejtën për botim e kanë të gjithë pedagogët e brendshëm dhe të jashtëm të Shkollës, ekspertët dhe trajnerët e saj, si dhe në raste përjashtimore gjyqtarët, prokurorët e kandidatët për magjistratë, autorë nga profesione të tjera në shërbim të sistemit të drejtësisë, kur botimi ka interes për praktikën gjyqësore dhe trajnimin e gjyqtarëve dhe prokurorëve. </w:t>
      </w:r>
    </w:p>
    <w:p w:rsidR="00EF3D3E" w:rsidRPr="00EE2DE7" w:rsidRDefault="00EF3D3E" w:rsidP="00EF3D3E">
      <w:pPr>
        <w:spacing w:line="276" w:lineRule="auto"/>
        <w:ind w:firstLine="720"/>
        <w:jc w:val="both"/>
        <w:rPr>
          <w:rFonts w:eastAsia="Tw Cen MT"/>
          <w:bCs/>
          <w:iCs/>
          <w:kern w:val="24"/>
        </w:rPr>
      </w:pPr>
      <w:r w:rsidRPr="00EE2DE7">
        <w:rPr>
          <w:rFonts w:eastAsia="Tw Cen MT"/>
          <w:bCs/>
          <w:iCs/>
          <w:kern w:val="24"/>
        </w:rPr>
        <w:t>Përmbajtja e tekstit përfshin të gjitha elementet e një botimi shkencor, si përsa i përket formës, ashtu edhe përmbajtjes. Botimet paraqiten si tekste me natyrë trajnuese, akademike, didaktike e praktike dhe jo më pak se 200 faqe.</w:t>
      </w:r>
    </w:p>
    <w:p w:rsidR="00EF3D3E" w:rsidRPr="00EE2DE7" w:rsidRDefault="00EF3D3E" w:rsidP="00EF3D3E">
      <w:pPr>
        <w:spacing w:line="276" w:lineRule="auto"/>
        <w:ind w:firstLine="720"/>
        <w:jc w:val="both"/>
        <w:rPr>
          <w:rFonts w:eastAsia="Tw Cen MT"/>
          <w:bCs/>
          <w:iCs/>
          <w:kern w:val="24"/>
        </w:rPr>
      </w:pPr>
      <w:r w:rsidRPr="00EE2DE7">
        <w:rPr>
          <w:rFonts w:eastAsia="Tw Cen MT"/>
          <w:bCs/>
          <w:iCs/>
          <w:kern w:val="24"/>
        </w:rPr>
        <w:lastRenderedPageBreak/>
        <w:t xml:space="preserve">Teksti është i strukturuar në kapituj, të cilët i përgjigjen strukturës së programit mësimor të lëndës apo kursit përkatës të Trajnimit Fillestar të miratuar nga Këshilli Drejtues i Shkollës, ose në formë monografie kur në to përmblidhen materialet e një seminari të Trajnimit Vazhdues që lidhet me një temë specifike. </w:t>
      </w:r>
      <w:r w:rsidRPr="00EE2DE7">
        <w:rPr>
          <w:rFonts w:eastAsia="Tw Cen MT"/>
          <w:kern w:val="24"/>
        </w:rPr>
        <w:t xml:space="preserve">Çdo tekst ka jo më pak se 30–40 raste të praktikës gjyqësore për ilustrim, të shoqëruara me referencat përkatëse në vendimet e gjykatës. </w:t>
      </w:r>
      <w:r w:rsidRPr="00EE2DE7">
        <w:rPr>
          <w:rFonts w:eastAsia="Tw Cen MT"/>
          <w:bCs/>
          <w:iCs/>
          <w:kern w:val="24"/>
        </w:rPr>
        <w:t xml:space="preserve">Teksti mund të përgatitet nga një autor apo grup autorësh, të cilët paraqesin kërkesë me shkrim dhe përbërja e grupit të autorëve miratohet paraprakisht nga Drejtoria e Shkollës. </w:t>
      </w:r>
    </w:p>
    <w:p w:rsidR="00EF3D3E" w:rsidRPr="00EE2DE7" w:rsidRDefault="00EF3D3E" w:rsidP="00EF3D3E">
      <w:pPr>
        <w:spacing w:line="276" w:lineRule="auto"/>
        <w:ind w:firstLine="720"/>
        <w:jc w:val="both"/>
        <w:rPr>
          <w:rFonts w:eastAsia="Tw Cen MT"/>
          <w:bCs/>
          <w:iCs/>
          <w:kern w:val="24"/>
        </w:rPr>
      </w:pPr>
      <w:r w:rsidRPr="00EE2DE7">
        <w:rPr>
          <w:rFonts w:eastAsia="Tw Cen MT"/>
          <w:bCs/>
          <w:iCs/>
          <w:kern w:val="24"/>
        </w:rPr>
        <w:t>Tekstet që paraqiten për t’u miratuar për botim në Shkollën e Magjistraturës nuk duhet të jenë botuar më parë si libër, tekst, apo botim tjetër, si dhe nuk mund të botohen në të ardhmen pa lejen paraprake me shkrim të Drejtorisë së Shkollës dhe Bordit të Redaktorëve. Tekstet botohen me ISBN dhe me një tirazh të paktën 300 kopje.</w:t>
      </w:r>
    </w:p>
    <w:p w:rsidR="00EF3D3E" w:rsidRPr="00EE2DE7" w:rsidRDefault="000B2E51" w:rsidP="00EF3D3E">
      <w:pPr>
        <w:spacing w:line="276" w:lineRule="auto"/>
        <w:ind w:firstLine="720"/>
        <w:jc w:val="both"/>
        <w:rPr>
          <w:rFonts w:eastAsia="Tw Cen MT"/>
          <w:kern w:val="24"/>
        </w:rPr>
      </w:pPr>
      <w:r>
        <w:rPr>
          <w:rFonts w:eastAsia="Tw Cen MT"/>
          <w:noProof/>
          <w:kern w:val="24"/>
          <w:lang w:eastAsia="en-US"/>
        </w:rPr>
        <w:drawing>
          <wp:anchor distT="0" distB="0" distL="114300" distR="114300" simplePos="0" relativeHeight="251752960" behindDoc="0" locked="0" layoutInCell="1" allowOverlap="1">
            <wp:simplePos x="0" y="0"/>
            <wp:positionH relativeFrom="margin">
              <wp:align>left</wp:align>
            </wp:positionH>
            <wp:positionV relativeFrom="margin">
              <wp:posOffset>2708910</wp:posOffset>
            </wp:positionV>
            <wp:extent cx="4293870" cy="2819400"/>
            <wp:effectExtent l="1905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srcRect l="2883" t="3016" b="1856"/>
                    <a:stretch>
                      <a:fillRect/>
                    </a:stretch>
                  </pic:blipFill>
                  <pic:spPr bwMode="auto">
                    <a:xfrm>
                      <a:off x="0" y="0"/>
                      <a:ext cx="4293870" cy="2819400"/>
                    </a:xfrm>
                    <a:prstGeom prst="rect">
                      <a:avLst/>
                    </a:prstGeom>
                    <a:noFill/>
                    <a:ln w="9525">
                      <a:noFill/>
                      <a:miter lim="800000"/>
                      <a:headEnd/>
                      <a:tailEnd/>
                    </a:ln>
                  </pic:spPr>
                </pic:pic>
              </a:graphicData>
            </a:graphic>
          </wp:anchor>
        </w:drawing>
      </w:r>
      <w:r w:rsidR="00EF3D3E" w:rsidRPr="00EE2DE7">
        <w:rPr>
          <w:rFonts w:eastAsia="Tw Cen MT"/>
          <w:kern w:val="24"/>
        </w:rPr>
        <w:t>Shkolla e Magjistraturës ka të drejtë të lidhë kontratë botimi për tekstin me shtëpitë botuese sipas rregullave financiare e organizimit të procedurave të prokurimit publik dhe të vërë në dijeni autorin për këtë gjë. Shpenzimet e botimit i ngarkohen tërësisht ose pjesërisht Shkollës së Magjistraturës, sipas kushteve të parashikuara në kontratën e lidhur prej saj me autorin. Me raste përjashtimore teksti mund të botohet nga autori, kur ky i fundit e pranon këtë gjë. Tekstet do të botohen nga Shkolla e Magjistraturës me fondet e saj që burojnë nga buxheti i shtetit, me donacionet e ofruara nga donatorë vendas dhe të huaj apo nga vetë autorët.</w:t>
      </w:r>
    </w:p>
    <w:p w:rsidR="00EF3D3E" w:rsidRDefault="00CF3AE0" w:rsidP="000B2E51">
      <w:pPr>
        <w:spacing w:line="276" w:lineRule="auto"/>
        <w:jc w:val="both"/>
        <w:rPr>
          <w:rFonts w:eastAsia="Tw Cen MT"/>
          <w:kern w:val="24"/>
        </w:rPr>
      </w:pPr>
      <w:r>
        <w:rPr>
          <w:noProof/>
          <w:lang w:eastAsia="en-US"/>
        </w:rPr>
        <w:pict>
          <v:rect id="Rectangle 198" o:spid="_x0000_s1086" style="position:absolute;left:0;text-align:left;margin-left:-338.1pt;margin-top:95.05pt;width:484.8pt;height:82.8pt;z-index:2517539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" fillcolor="#4f81bd" stroked="f" strokeweight="2pt">
            <v:textbox inset="21.6pt,21.6pt,21.6pt,21.6pt">
              <w:txbxContent>
                <w:p w:rsidR="005372E3" w:rsidRPr="000B2E51" w:rsidRDefault="005372E3" w:rsidP="000B2E51">
                  <w:pPr>
                    <w:widowControl w:val="0"/>
                    <w:jc w:val="both"/>
                  </w:pPr>
                  <w:r w:rsidRPr="000B2E51">
                    <w:rPr>
                      <w:color w:val="FFFFFF" w:themeColor="background1"/>
                      <w:szCs w:val="20"/>
                    </w:rPr>
                    <w:t>Për vitin akademik 2018-2019 janë p</w:t>
                  </w:r>
                  <w:r w:rsidR="0092132A">
                    <w:rPr>
                      <w:color w:val="FFFFFF" w:themeColor="background1"/>
                      <w:szCs w:val="20"/>
                    </w:rPr>
                    <w:t xml:space="preserve">lanifikuar edhe tituj të tjerë </w:t>
                  </w:r>
                  <w:r w:rsidRPr="000B2E51">
                    <w:rPr>
                      <w:color w:val="FFFFFF" w:themeColor="background1"/>
                      <w:szCs w:val="20"/>
                    </w:rPr>
                    <w:t xml:space="preserve">librash, të cilët janë në proces botimi me mbështetjen financiare të donatorëve si dhe të buxhetit të shtetit, si më poshtë: </w:t>
                  </w:r>
                </w:p>
              </w:txbxContent>
            </v:textbox>
            <w10:wrap type="topAndBottom"/>
          </v:rect>
        </w:pict>
      </w:r>
      <w:r w:rsidR="00EF3D3E">
        <w:rPr>
          <w:rFonts w:eastAsia="Tw Cen MT"/>
          <w:kern w:val="24"/>
        </w:rPr>
        <w:t>Për vitin akademik 2017-</w:t>
      </w:r>
      <w:r w:rsidR="00EF3D3E" w:rsidRPr="00EE2DE7">
        <w:rPr>
          <w:rFonts w:eastAsia="Tw Cen MT"/>
          <w:kern w:val="24"/>
        </w:rPr>
        <w:t>2018 me mbështetjen financiare të Këshillit të Europës kanë dalë nga shtypi libri me titull “</w:t>
      </w:r>
      <w:r w:rsidR="00EF3D3E" w:rsidRPr="000E7323">
        <w:rPr>
          <w:rFonts w:eastAsia="Tw Cen MT"/>
          <w:i/>
          <w:kern w:val="24"/>
        </w:rPr>
        <w:t>Mbrojtja e së drejtës për lirinë e shprehjes sipas Konventës E</w:t>
      </w:r>
      <w:r w:rsidR="00EF3D3E">
        <w:rPr>
          <w:rFonts w:eastAsia="Tw Cen MT"/>
          <w:i/>
          <w:kern w:val="24"/>
        </w:rPr>
        <w:t>u</w:t>
      </w:r>
      <w:r w:rsidR="00EF3D3E" w:rsidRPr="000E7323">
        <w:rPr>
          <w:rFonts w:eastAsia="Tw Cen MT"/>
          <w:i/>
          <w:kern w:val="24"/>
        </w:rPr>
        <w:t>ropiane për të Drejtat e Njeriut</w:t>
      </w:r>
      <w:r w:rsidR="00EF3D3E" w:rsidRPr="00EE2DE7">
        <w:rPr>
          <w:rFonts w:eastAsia="Tw Cen MT"/>
          <w:kern w:val="24"/>
        </w:rPr>
        <w:t>” me rastin e diplomimit t</w:t>
      </w:r>
      <w:r w:rsidR="00EF3D3E">
        <w:rPr>
          <w:rFonts w:eastAsia="Tw Cen MT"/>
          <w:kern w:val="24"/>
        </w:rPr>
        <w:t>ë</w:t>
      </w:r>
      <w:r w:rsidR="00EF3D3E" w:rsidRPr="00EE2DE7">
        <w:rPr>
          <w:rFonts w:eastAsia="Tw Cen MT"/>
          <w:kern w:val="24"/>
        </w:rPr>
        <w:t xml:space="preserve"> kandidateve për magjistrat</w:t>
      </w:r>
      <w:r w:rsidR="00EF3D3E">
        <w:rPr>
          <w:rFonts w:eastAsia="Tw Cen MT"/>
          <w:kern w:val="24"/>
        </w:rPr>
        <w:t>ë</w:t>
      </w:r>
      <w:r w:rsidR="00EF3D3E" w:rsidRPr="00EE2DE7">
        <w:rPr>
          <w:rFonts w:eastAsia="Tw Cen MT"/>
          <w:kern w:val="24"/>
        </w:rPr>
        <w:t xml:space="preserve"> për vitet</w:t>
      </w:r>
      <w:r w:rsidR="0092132A">
        <w:rPr>
          <w:rFonts w:eastAsia="Tw Cen MT"/>
          <w:kern w:val="24"/>
        </w:rPr>
        <w:t xml:space="preserve"> 2015-2018 </w:t>
      </w:r>
      <w:r w:rsidR="00EF3D3E">
        <w:rPr>
          <w:rFonts w:eastAsia="Tw Cen MT"/>
          <w:kern w:val="24"/>
        </w:rPr>
        <w:t>si dhe zhvillimit të</w:t>
      </w:r>
      <w:r w:rsidR="00EF3D3E" w:rsidRPr="00EE2DE7">
        <w:rPr>
          <w:rFonts w:eastAsia="Tw Cen MT"/>
          <w:kern w:val="24"/>
        </w:rPr>
        <w:t xml:space="preserve"> </w:t>
      </w:r>
      <w:r w:rsidR="00EF3D3E">
        <w:rPr>
          <w:rFonts w:eastAsia="Tw Cen MT"/>
          <w:kern w:val="24"/>
        </w:rPr>
        <w:t>k</w:t>
      </w:r>
      <w:r w:rsidR="00EF3D3E" w:rsidRPr="00EE2DE7">
        <w:rPr>
          <w:rFonts w:eastAsia="Tw Cen MT"/>
          <w:kern w:val="24"/>
        </w:rPr>
        <w:t xml:space="preserve">onferencës </w:t>
      </w:r>
      <w:r w:rsidR="00EF3D3E">
        <w:rPr>
          <w:rFonts w:eastAsia="Tw Cen MT"/>
          <w:kern w:val="24"/>
        </w:rPr>
        <w:t>s</w:t>
      </w:r>
      <w:r w:rsidR="00EF3D3E" w:rsidRPr="00EE2DE7">
        <w:rPr>
          <w:rFonts w:eastAsia="Tw Cen MT"/>
          <w:kern w:val="24"/>
        </w:rPr>
        <w:t>hkencore me titull</w:t>
      </w:r>
      <w:r w:rsidR="00EF3D3E">
        <w:rPr>
          <w:rFonts w:eastAsia="Tw Cen MT"/>
          <w:kern w:val="24"/>
        </w:rPr>
        <w:t>:</w:t>
      </w:r>
      <w:r w:rsidR="00EF3D3E" w:rsidRPr="00EE2DE7">
        <w:rPr>
          <w:rFonts w:eastAsia="Tw Cen MT"/>
          <w:kern w:val="24"/>
        </w:rPr>
        <w:t xml:space="preserve"> “</w:t>
      </w:r>
      <w:r w:rsidR="00EF3D3E" w:rsidRPr="005C516A">
        <w:rPr>
          <w:rFonts w:eastAsia="Tw Cen MT"/>
          <w:i/>
          <w:kern w:val="24"/>
        </w:rPr>
        <w:t>Sfida të zbatimit të standardeve europiane në lirinë e shprehjes në kontekstin shqiptar</w:t>
      </w:r>
      <w:r w:rsidR="00EF3D3E" w:rsidRPr="00EE2DE7">
        <w:rPr>
          <w:rFonts w:eastAsia="Tw Cen MT"/>
          <w:kern w:val="24"/>
        </w:rPr>
        <w:t>”</w:t>
      </w:r>
      <w:r w:rsidR="00EF3D3E">
        <w:rPr>
          <w:rFonts w:eastAsia="Tw Cen MT"/>
          <w:kern w:val="24"/>
        </w:rPr>
        <w:t xml:space="preserve">. </w:t>
      </w:r>
      <w:r w:rsidR="00EF3D3E" w:rsidRPr="00EE2DE7">
        <w:rPr>
          <w:rFonts w:eastAsia="Tw Cen MT"/>
          <w:kern w:val="24"/>
        </w:rPr>
        <w:t xml:space="preserve">  </w:t>
      </w:r>
    </w:p>
    <w:p w:rsidR="000B2E51" w:rsidRDefault="000B2E51" w:rsidP="000B2E51">
      <w:pPr>
        <w:spacing w:line="276" w:lineRule="auto"/>
        <w:jc w:val="both"/>
        <w:rPr>
          <w:rFonts w:eastAsia="Tw Cen MT"/>
          <w:kern w:val="24"/>
        </w:rPr>
      </w:pPr>
    </w:p>
    <w:p w:rsidR="000B2E51" w:rsidRDefault="000B2E51" w:rsidP="000B2E51">
      <w:pPr>
        <w:spacing w:line="276" w:lineRule="auto"/>
        <w:jc w:val="both"/>
        <w:rPr>
          <w:rFonts w:eastAsia="Tw Cen MT"/>
          <w:kern w:val="24"/>
        </w:rPr>
      </w:pPr>
    </w:p>
    <w:p w:rsidR="00E57AC8" w:rsidRDefault="00E57AC8" w:rsidP="00386F89">
      <w:pPr>
        <w:tabs>
          <w:tab w:val="left" w:pos="10260"/>
        </w:tabs>
        <w:ind w:firstLine="360"/>
        <w:jc w:val="both"/>
      </w:pPr>
    </w:p>
    <w:p w:rsidR="000B2E51" w:rsidRDefault="000B2E51" w:rsidP="00386F89">
      <w:pPr>
        <w:tabs>
          <w:tab w:val="left" w:pos="10260"/>
        </w:tabs>
        <w:ind w:firstLine="360"/>
        <w:jc w:val="both"/>
      </w:pPr>
    </w:p>
    <w:tbl>
      <w:tblPr>
        <w:tblStyle w:val="MediumGrid2-Accent2"/>
        <w:tblW w:w="9810" w:type="dxa"/>
        <w:tblLayout w:type="fixed"/>
        <w:tblLook w:val="04A0" w:firstRow="1" w:lastRow="0" w:firstColumn="1" w:lastColumn="0" w:noHBand="0" w:noVBand="1"/>
      </w:tblPr>
      <w:tblGrid>
        <w:gridCol w:w="556"/>
        <w:gridCol w:w="3494"/>
        <w:gridCol w:w="1620"/>
        <w:gridCol w:w="1170"/>
        <w:gridCol w:w="1260"/>
        <w:gridCol w:w="1710"/>
      </w:tblGrid>
      <w:tr w:rsidR="000B2E51" w:rsidRPr="00EE2DE7" w:rsidTr="000B2E5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56" w:type="dxa"/>
          </w:tcPr>
          <w:p w:rsidR="000B2E51" w:rsidRPr="009874AF" w:rsidRDefault="000B2E51" w:rsidP="005372E3">
            <w:pPr>
              <w:jc w:val="center"/>
              <w:rPr>
                <w:rFonts w:ascii="Times New Roman" w:eastAsia="Tw Cen MT" w:hAnsi="Times New Roman" w:cs="Times New Roman"/>
                <w:b w:val="0"/>
              </w:rPr>
            </w:pPr>
            <w:r w:rsidRPr="009874AF">
              <w:rPr>
                <w:rFonts w:ascii="Times New Roman" w:eastAsia="Tw Cen MT" w:hAnsi="Times New Roman" w:cs="Times New Roman"/>
              </w:rPr>
              <w:t>Nr.</w:t>
            </w:r>
          </w:p>
        </w:tc>
        <w:tc>
          <w:tcPr>
            <w:tcW w:w="3494" w:type="dxa"/>
          </w:tcPr>
          <w:p w:rsidR="000B2E51" w:rsidRPr="00EE2DE7" w:rsidRDefault="000B2E51" w:rsidP="005372E3">
            <w:pPr>
              <w:jc w:val="center"/>
              <w:cnfStyle w:val="100000000000" w:firstRow="1" w:lastRow="0" w:firstColumn="0" w:lastColumn="0" w:oddVBand="0" w:evenVBand="0" w:oddHBand="0" w:evenHBand="0" w:firstRowFirstColumn="0" w:firstRowLastColumn="0" w:lastRowFirstColumn="0" w:lastRowLastColumn="0"/>
              <w:rPr>
                <w:rFonts w:ascii="Times New Roman" w:eastAsia="Tw Cen MT" w:hAnsi="Times New Roman" w:cs="Times New Roman"/>
                <w:b w:val="0"/>
              </w:rPr>
            </w:pPr>
            <w:r w:rsidRPr="00EE2DE7">
              <w:rPr>
                <w:rFonts w:ascii="Times New Roman" w:eastAsia="Tw Cen MT" w:hAnsi="Times New Roman" w:cs="Times New Roman"/>
              </w:rPr>
              <w:t>Titujt e botimeve</w:t>
            </w:r>
          </w:p>
        </w:tc>
        <w:tc>
          <w:tcPr>
            <w:tcW w:w="1620" w:type="dxa"/>
          </w:tcPr>
          <w:p w:rsidR="000B2E51" w:rsidRPr="00EE2DE7" w:rsidRDefault="000B2E51" w:rsidP="005372E3">
            <w:pPr>
              <w:jc w:val="center"/>
              <w:cnfStyle w:val="100000000000" w:firstRow="1" w:lastRow="0" w:firstColumn="0" w:lastColumn="0" w:oddVBand="0" w:evenVBand="0" w:oddHBand="0" w:evenHBand="0" w:firstRowFirstColumn="0" w:firstRowLastColumn="0" w:lastRowFirstColumn="0" w:lastRowLastColumn="0"/>
              <w:rPr>
                <w:rFonts w:ascii="Times New Roman" w:eastAsia="Tw Cen MT" w:hAnsi="Times New Roman" w:cs="Times New Roman"/>
                <w:b w:val="0"/>
              </w:rPr>
            </w:pPr>
            <w:r w:rsidRPr="00EE2DE7">
              <w:rPr>
                <w:rFonts w:ascii="Times New Roman" w:eastAsia="Tw Cen MT" w:hAnsi="Times New Roman" w:cs="Times New Roman"/>
              </w:rPr>
              <w:t>Nr</w:t>
            </w:r>
            <w:r>
              <w:rPr>
                <w:rFonts w:ascii="Times New Roman" w:eastAsia="Tw Cen MT" w:hAnsi="Times New Roman" w:cs="Times New Roman"/>
              </w:rPr>
              <w:t>.</w:t>
            </w:r>
            <w:r w:rsidRPr="00EE2DE7">
              <w:rPr>
                <w:rFonts w:ascii="Times New Roman" w:eastAsia="Tw Cen MT" w:hAnsi="Times New Roman" w:cs="Times New Roman"/>
              </w:rPr>
              <w:t xml:space="preserve"> i faqeve</w:t>
            </w:r>
          </w:p>
        </w:tc>
        <w:tc>
          <w:tcPr>
            <w:tcW w:w="1170" w:type="dxa"/>
          </w:tcPr>
          <w:p w:rsidR="000B2E51" w:rsidRPr="00EE2DE7" w:rsidRDefault="000B2E51" w:rsidP="005372E3">
            <w:pPr>
              <w:jc w:val="center"/>
              <w:cnfStyle w:val="100000000000" w:firstRow="1" w:lastRow="0" w:firstColumn="0" w:lastColumn="0" w:oddVBand="0" w:evenVBand="0" w:oddHBand="0" w:evenHBand="0" w:firstRowFirstColumn="0" w:firstRowLastColumn="0" w:lastRowFirstColumn="0" w:lastRowLastColumn="0"/>
              <w:rPr>
                <w:rFonts w:ascii="Times New Roman" w:eastAsia="Tw Cen MT" w:hAnsi="Times New Roman" w:cs="Times New Roman"/>
                <w:b w:val="0"/>
              </w:rPr>
            </w:pPr>
            <w:r w:rsidRPr="00EE2DE7">
              <w:rPr>
                <w:rFonts w:ascii="Times New Roman" w:eastAsia="Tw Cen MT" w:hAnsi="Times New Roman" w:cs="Times New Roman"/>
              </w:rPr>
              <w:t>Nr. i kopje</w:t>
            </w:r>
            <w:r>
              <w:rPr>
                <w:rFonts w:ascii="Times New Roman" w:eastAsia="Tw Cen MT" w:hAnsi="Times New Roman" w:cs="Times New Roman"/>
              </w:rPr>
              <w:t>ve</w:t>
            </w:r>
          </w:p>
        </w:tc>
        <w:tc>
          <w:tcPr>
            <w:tcW w:w="1260" w:type="dxa"/>
          </w:tcPr>
          <w:p w:rsidR="000B2E51" w:rsidRPr="00EE2DE7" w:rsidRDefault="000B2E51" w:rsidP="005372E3">
            <w:pPr>
              <w:jc w:val="center"/>
              <w:cnfStyle w:val="100000000000" w:firstRow="1" w:lastRow="0" w:firstColumn="0" w:lastColumn="0" w:oddVBand="0" w:evenVBand="0" w:oddHBand="0" w:evenHBand="0" w:firstRowFirstColumn="0" w:firstRowLastColumn="0" w:lastRowFirstColumn="0" w:lastRowLastColumn="0"/>
              <w:rPr>
                <w:rFonts w:ascii="Times New Roman" w:eastAsia="Tw Cen MT" w:hAnsi="Times New Roman" w:cs="Times New Roman"/>
                <w:b w:val="0"/>
              </w:rPr>
            </w:pPr>
            <w:r w:rsidRPr="00EE2DE7">
              <w:rPr>
                <w:rFonts w:ascii="Times New Roman" w:eastAsia="Tw Cen MT" w:hAnsi="Times New Roman" w:cs="Times New Roman"/>
              </w:rPr>
              <w:t>Financimi</w:t>
            </w:r>
          </w:p>
        </w:tc>
        <w:tc>
          <w:tcPr>
            <w:tcW w:w="1710" w:type="dxa"/>
          </w:tcPr>
          <w:p w:rsidR="000B2E51" w:rsidRPr="00EE2DE7" w:rsidRDefault="000B2E51" w:rsidP="005372E3">
            <w:pPr>
              <w:jc w:val="center"/>
              <w:cnfStyle w:val="100000000000" w:firstRow="1" w:lastRow="0" w:firstColumn="0" w:lastColumn="0" w:oddVBand="0" w:evenVBand="0" w:oddHBand="0" w:evenHBand="0" w:firstRowFirstColumn="0" w:firstRowLastColumn="0" w:lastRowFirstColumn="0" w:lastRowLastColumn="0"/>
              <w:rPr>
                <w:rFonts w:ascii="Times New Roman" w:eastAsia="Tw Cen MT" w:hAnsi="Times New Roman" w:cs="Times New Roman"/>
                <w:b w:val="0"/>
              </w:rPr>
            </w:pPr>
            <w:r w:rsidRPr="00EE2DE7">
              <w:rPr>
                <w:rFonts w:ascii="Times New Roman" w:eastAsia="Tw Cen MT" w:hAnsi="Times New Roman" w:cs="Times New Roman"/>
              </w:rPr>
              <w:t>Gjendja</w:t>
            </w:r>
          </w:p>
        </w:tc>
      </w:tr>
      <w:tr w:rsidR="000B2E51" w:rsidRPr="00EE2DE7" w:rsidTr="000B2E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dxa"/>
          </w:tcPr>
          <w:p w:rsidR="000B2E51" w:rsidRPr="009874AF" w:rsidRDefault="000B2E51" w:rsidP="005372E3">
            <w:pPr>
              <w:rPr>
                <w:rFonts w:ascii="Times New Roman" w:eastAsia="Tw Cen MT" w:hAnsi="Times New Roman" w:cs="Times New Roman"/>
                <w:b w:val="0"/>
              </w:rPr>
            </w:pPr>
            <w:r w:rsidRPr="009874AF">
              <w:rPr>
                <w:rFonts w:ascii="Times New Roman" w:eastAsia="Tw Cen MT" w:hAnsi="Times New Roman" w:cs="Times New Roman"/>
              </w:rPr>
              <w:t>1.</w:t>
            </w:r>
          </w:p>
        </w:tc>
        <w:tc>
          <w:tcPr>
            <w:tcW w:w="3494" w:type="dxa"/>
          </w:tcPr>
          <w:p w:rsidR="000B2E51" w:rsidRPr="00CE2DD0" w:rsidRDefault="000B2E51" w:rsidP="005372E3">
            <w:pPr>
              <w:jc w:val="both"/>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sz w:val="22"/>
                <w:szCs w:val="22"/>
              </w:rPr>
            </w:pPr>
            <w:r w:rsidRPr="00CE2DD0">
              <w:rPr>
                <w:rFonts w:ascii="Times New Roman" w:eastAsia="Tw Cen MT" w:hAnsi="Times New Roman" w:cs="Times New Roman"/>
              </w:rPr>
              <w:t xml:space="preserve">Revista “Jeta Juridike” nr. 1, 2, 2018. </w:t>
            </w:r>
          </w:p>
        </w:tc>
        <w:tc>
          <w:tcPr>
            <w:tcW w:w="1620" w:type="dxa"/>
          </w:tcPr>
          <w:p w:rsidR="000B2E51" w:rsidRPr="00CE2DD0"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CE2DD0">
              <w:rPr>
                <w:rFonts w:ascii="Times New Roman" w:eastAsia="Tw Cen MT" w:hAnsi="Times New Roman" w:cs="Times New Roman"/>
              </w:rPr>
              <w:t>300 (150 faqe shqip dhe 150 faqe anglisht)</w:t>
            </w:r>
          </w:p>
        </w:tc>
        <w:tc>
          <w:tcPr>
            <w:tcW w:w="1170" w:type="dxa"/>
          </w:tcPr>
          <w:p w:rsidR="000B2E51" w:rsidRPr="00CE2DD0"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b/>
              </w:rPr>
            </w:pPr>
            <w:r w:rsidRPr="00CE2DD0">
              <w:rPr>
                <w:rFonts w:ascii="Times New Roman" w:eastAsia="Tw Cen MT" w:hAnsi="Times New Roman" w:cs="Times New Roman"/>
              </w:rPr>
              <w:t>300</w:t>
            </w:r>
          </w:p>
        </w:tc>
        <w:tc>
          <w:tcPr>
            <w:tcW w:w="1260" w:type="dxa"/>
          </w:tcPr>
          <w:p w:rsidR="000B2E51" w:rsidRPr="00CE2DD0"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CE2DD0">
              <w:rPr>
                <w:rFonts w:ascii="Times New Roman" w:eastAsia="Tw Cen MT" w:hAnsi="Times New Roman" w:cs="Times New Roman"/>
              </w:rPr>
              <w:t>Nga Buxheti</w:t>
            </w:r>
          </w:p>
        </w:tc>
        <w:tc>
          <w:tcPr>
            <w:tcW w:w="1710" w:type="dxa"/>
          </w:tcPr>
          <w:p w:rsidR="000B2E51" w:rsidRPr="00CE2DD0"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sz w:val="22"/>
                <w:szCs w:val="22"/>
              </w:rPr>
            </w:pPr>
            <w:r w:rsidRPr="00CE2DD0">
              <w:rPr>
                <w:rFonts w:ascii="Times New Roman" w:eastAsia="Tw Cen MT" w:hAnsi="Times New Roman" w:cs="Times New Roman"/>
              </w:rPr>
              <w:t xml:space="preserve">Janë botuar </w:t>
            </w:r>
            <w:r>
              <w:rPr>
                <w:rFonts w:ascii="Times New Roman" w:eastAsia="Tw Cen MT" w:hAnsi="Times New Roman" w:cs="Times New Roman"/>
              </w:rPr>
              <w:t>të dyja</w:t>
            </w:r>
          </w:p>
        </w:tc>
      </w:tr>
      <w:tr w:rsidR="000B2E51" w:rsidRPr="00EE2DE7" w:rsidTr="000B2E51">
        <w:tc>
          <w:tcPr>
            <w:cnfStyle w:val="001000000000" w:firstRow="0" w:lastRow="0" w:firstColumn="1" w:lastColumn="0" w:oddVBand="0" w:evenVBand="0" w:oddHBand="0" w:evenHBand="0" w:firstRowFirstColumn="0" w:firstRowLastColumn="0" w:lastRowFirstColumn="0" w:lastRowLastColumn="0"/>
            <w:tcW w:w="556" w:type="dxa"/>
          </w:tcPr>
          <w:p w:rsidR="000B2E51" w:rsidRPr="009874AF" w:rsidRDefault="000B2E51" w:rsidP="005372E3">
            <w:pPr>
              <w:rPr>
                <w:rFonts w:ascii="Times New Roman" w:eastAsia="Tw Cen MT" w:hAnsi="Times New Roman" w:cs="Times New Roman"/>
                <w:b w:val="0"/>
              </w:rPr>
            </w:pPr>
            <w:r w:rsidRPr="009874AF">
              <w:rPr>
                <w:rFonts w:ascii="Times New Roman" w:eastAsia="Tw Cen MT" w:hAnsi="Times New Roman" w:cs="Times New Roman"/>
              </w:rPr>
              <w:t>2.</w:t>
            </w:r>
          </w:p>
        </w:tc>
        <w:tc>
          <w:tcPr>
            <w:tcW w:w="3494" w:type="dxa"/>
          </w:tcPr>
          <w:p w:rsidR="000B2E51" w:rsidRPr="00EE2DE7" w:rsidRDefault="000B2E51" w:rsidP="005372E3">
            <w:pPr>
              <w:jc w:val="both"/>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 xml:space="preserve">E </w:t>
            </w:r>
            <w:r>
              <w:rPr>
                <w:rFonts w:ascii="Times New Roman" w:eastAsia="Tw Cen MT" w:hAnsi="Times New Roman" w:cs="Times New Roman"/>
              </w:rPr>
              <w:t>d</w:t>
            </w:r>
            <w:r w:rsidRPr="00EE2DE7">
              <w:rPr>
                <w:rFonts w:ascii="Times New Roman" w:eastAsia="Tw Cen MT" w:hAnsi="Times New Roman" w:cs="Times New Roman"/>
              </w:rPr>
              <w:t xml:space="preserve">rejta </w:t>
            </w:r>
            <w:r>
              <w:rPr>
                <w:rFonts w:ascii="Times New Roman" w:eastAsia="Tw Cen MT" w:hAnsi="Times New Roman" w:cs="Times New Roman"/>
              </w:rPr>
              <w:t>f</w:t>
            </w:r>
            <w:r w:rsidRPr="00EE2DE7">
              <w:rPr>
                <w:rFonts w:ascii="Times New Roman" w:eastAsia="Tw Cen MT" w:hAnsi="Times New Roman" w:cs="Times New Roman"/>
              </w:rPr>
              <w:t xml:space="preserve">amiljare </w:t>
            </w:r>
            <w:r w:rsidRPr="005C516A">
              <w:rPr>
                <w:rFonts w:ascii="Times New Roman" w:eastAsia="Tw Cen MT" w:hAnsi="Times New Roman" w:cs="Times New Roman"/>
                <w:i/>
              </w:rPr>
              <w:t>Casebook</w:t>
            </w:r>
          </w:p>
        </w:tc>
        <w:tc>
          <w:tcPr>
            <w:tcW w:w="1620" w:type="dxa"/>
          </w:tcPr>
          <w:p w:rsidR="000B2E51" w:rsidRPr="00EE2DE7" w:rsidRDefault="000B2E51" w:rsidP="005372E3">
            <w:pPr>
              <w:jc w:val="center"/>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200  faqe</w:t>
            </w:r>
          </w:p>
        </w:tc>
        <w:tc>
          <w:tcPr>
            <w:tcW w:w="1170" w:type="dxa"/>
          </w:tcPr>
          <w:p w:rsidR="000B2E51" w:rsidRPr="00EE2DE7" w:rsidRDefault="000B2E51" w:rsidP="005372E3">
            <w:pPr>
              <w:jc w:val="center"/>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300</w:t>
            </w:r>
          </w:p>
        </w:tc>
        <w:tc>
          <w:tcPr>
            <w:tcW w:w="1260" w:type="dxa"/>
          </w:tcPr>
          <w:p w:rsidR="000B2E51" w:rsidRPr="00EE2DE7" w:rsidRDefault="000B2E51" w:rsidP="005372E3">
            <w:pPr>
              <w:jc w:val="center"/>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PNUD/Buxhet</w:t>
            </w:r>
            <w:r>
              <w:rPr>
                <w:rFonts w:ascii="Times New Roman" w:eastAsia="Tw Cen MT" w:hAnsi="Times New Roman" w:cs="Times New Roman"/>
              </w:rPr>
              <w:t>i</w:t>
            </w:r>
          </w:p>
        </w:tc>
        <w:tc>
          <w:tcPr>
            <w:tcW w:w="1710" w:type="dxa"/>
          </w:tcPr>
          <w:p w:rsidR="000B2E51" w:rsidRPr="00EE2DE7" w:rsidRDefault="000B2E51" w:rsidP="005372E3">
            <w:pPr>
              <w:jc w:val="center"/>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Po punohet nga ana e autorit</w:t>
            </w:r>
          </w:p>
        </w:tc>
      </w:tr>
      <w:tr w:rsidR="000B2E51" w:rsidRPr="00EE2DE7" w:rsidTr="000B2E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dxa"/>
          </w:tcPr>
          <w:p w:rsidR="000B2E51" w:rsidRPr="009874AF" w:rsidRDefault="000B2E51" w:rsidP="005372E3">
            <w:pPr>
              <w:rPr>
                <w:rFonts w:ascii="Times New Roman" w:eastAsia="Tw Cen MT" w:hAnsi="Times New Roman" w:cs="Times New Roman"/>
                <w:b w:val="0"/>
              </w:rPr>
            </w:pPr>
            <w:r w:rsidRPr="009874AF">
              <w:rPr>
                <w:rFonts w:ascii="Times New Roman" w:eastAsia="Tw Cen MT" w:hAnsi="Times New Roman" w:cs="Times New Roman"/>
              </w:rPr>
              <w:t>3.</w:t>
            </w:r>
          </w:p>
        </w:tc>
        <w:tc>
          <w:tcPr>
            <w:tcW w:w="3494" w:type="dxa"/>
          </w:tcPr>
          <w:p w:rsidR="000B2E51" w:rsidRPr="00EE2DE7" w:rsidRDefault="000B2E51" w:rsidP="005372E3">
            <w:pPr>
              <w:jc w:val="both"/>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 xml:space="preserve">E </w:t>
            </w:r>
            <w:r>
              <w:rPr>
                <w:rFonts w:ascii="Times New Roman" w:eastAsia="Tw Cen MT" w:hAnsi="Times New Roman" w:cs="Times New Roman"/>
              </w:rPr>
              <w:t>d</w:t>
            </w:r>
            <w:r w:rsidRPr="00EE2DE7">
              <w:rPr>
                <w:rFonts w:ascii="Times New Roman" w:eastAsia="Tw Cen MT" w:hAnsi="Times New Roman" w:cs="Times New Roman"/>
              </w:rPr>
              <w:t xml:space="preserve">rejta </w:t>
            </w:r>
            <w:r>
              <w:rPr>
                <w:rFonts w:ascii="Times New Roman" w:eastAsia="Tw Cen MT" w:hAnsi="Times New Roman" w:cs="Times New Roman"/>
              </w:rPr>
              <w:t>t</w:t>
            </w:r>
            <w:r w:rsidRPr="00EE2DE7">
              <w:rPr>
                <w:rFonts w:ascii="Times New Roman" w:eastAsia="Tw Cen MT" w:hAnsi="Times New Roman" w:cs="Times New Roman"/>
              </w:rPr>
              <w:t xml:space="preserve">atimore – </w:t>
            </w:r>
            <w:r>
              <w:rPr>
                <w:rFonts w:ascii="Times New Roman" w:eastAsia="Tw Cen MT" w:hAnsi="Times New Roman" w:cs="Times New Roman"/>
              </w:rPr>
              <w:t>t</w:t>
            </w:r>
            <w:r w:rsidRPr="00EE2DE7">
              <w:rPr>
                <w:rFonts w:ascii="Times New Roman" w:eastAsia="Tw Cen MT" w:hAnsi="Times New Roman" w:cs="Times New Roman"/>
              </w:rPr>
              <w:t xml:space="preserve">ekst </w:t>
            </w:r>
            <w:r>
              <w:rPr>
                <w:rFonts w:ascii="Times New Roman" w:eastAsia="Tw Cen MT" w:hAnsi="Times New Roman" w:cs="Times New Roman"/>
              </w:rPr>
              <w:t>m</w:t>
            </w:r>
            <w:r w:rsidRPr="00EE2DE7">
              <w:rPr>
                <w:rFonts w:ascii="Times New Roman" w:eastAsia="Tw Cen MT" w:hAnsi="Times New Roman" w:cs="Times New Roman"/>
              </w:rPr>
              <w:t>ësimor - Vilma Sharofi</w:t>
            </w:r>
          </w:p>
        </w:tc>
        <w:tc>
          <w:tcPr>
            <w:tcW w:w="1620" w:type="dxa"/>
          </w:tcPr>
          <w:p w:rsidR="000B2E51" w:rsidRPr="00EE2DE7"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200 faqe</w:t>
            </w:r>
          </w:p>
        </w:tc>
        <w:tc>
          <w:tcPr>
            <w:tcW w:w="1170" w:type="dxa"/>
          </w:tcPr>
          <w:p w:rsidR="000B2E51" w:rsidRPr="00EE2DE7"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300</w:t>
            </w:r>
          </w:p>
        </w:tc>
        <w:tc>
          <w:tcPr>
            <w:tcW w:w="1260" w:type="dxa"/>
          </w:tcPr>
          <w:p w:rsidR="000B2E51" w:rsidRPr="00EE2DE7"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Buxhet</w:t>
            </w:r>
            <w:r>
              <w:rPr>
                <w:rFonts w:ascii="Times New Roman" w:eastAsia="Tw Cen MT" w:hAnsi="Times New Roman" w:cs="Times New Roman"/>
              </w:rPr>
              <w:t>i</w:t>
            </w:r>
          </w:p>
        </w:tc>
        <w:tc>
          <w:tcPr>
            <w:tcW w:w="1710" w:type="dxa"/>
          </w:tcPr>
          <w:p w:rsidR="000B2E51" w:rsidRPr="00EE2DE7"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Po punohet nga ana e autorit</w:t>
            </w:r>
          </w:p>
        </w:tc>
      </w:tr>
      <w:tr w:rsidR="000B2E51" w:rsidRPr="00EE2DE7" w:rsidTr="000B2E51">
        <w:tc>
          <w:tcPr>
            <w:cnfStyle w:val="001000000000" w:firstRow="0" w:lastRow="0" w:firstColumn="1" w:lastColumn="0" w:oddVBand="0" w:evenVBand="0" w:oddHBand="0" w:evenHBand="0" w:firstRowFirstColumn="0" w:firstRowLastColumn="0" w:lastRowFirstColumn="0" w:lastRowLastColumn="0"/>
            <w:tcW w:w="556" w:type="dxa"/>
          </w:tcPr>
          <w:p w:rsidR="000B2E51" w:rsidRPr="009874AF" w:rsidRDefault="000B2E51" w:rsidP="005372E3">
            <w:pPr>
              <w:rPr>
                <w:rFonts w:ascii="Times New Roman" w:eastAsia="Tw Cen MT" w:hAnsi="Times New Roman" w:cs="Times New Roman"/>
                <w:b w:val="0"/>
              </w:rPr>
            </w:pPr>
            <w:r w:rsidRPr="009874AF">
              <w:rPr>
                <w:rFonts w:ascii="Times New Roman" w:eastAsia="Tw Cen MT" w:hAnsi="Times New Roman" w:cs="Times New Roman"/>
              </w:rPr>
              <w:t>4.</w:t>
            </w:r>
          </w:p>
        </w:tc>
        <w:tc>
          <w:tcPr>
            <w:tcW w:w="3494" w:type="dxa"/>
          </w:tcPr>
          <w:p w:rsidR="000B2E51" w:rsidRPr="00EE2DE7" w:rsidRDefault="000B2E51" w:rsidP="005372E3">
            <w:pPr>
              <w:jc w:val="both"/>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Magjistrati 10, 11</w:t>
            </w:r>
          </w:p>
        </w:tc>
        <w:tc>
          <w:tcPr>
            <w:tcW w:w="1620" w:type="dxa"/>
          </w:tcPr>
          <w:p w:rsidR="000B2E51" w:rsidRPr="00EE2DE7" w:rsidRDefault="000B2E51" w:rsidP="005372E3">
            <w:pPr>
              <w:jc w:val="center"/>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200 faqe (për secilin titull)</w:t>
            </w:r>
          </w:p>
        </w:tc>
        <w:tc>
          <w:tcPr>
            <w:tcW w:w="1170" w:type="dxa"/>
          </w:tcPr>
          <w:p w:rsidR="000B2E51" w:rsidRPr="00EE2DE7" w:rsidRDefault="000B2E51" w:rsidP="005372E3">
            <w:pPr>
              <w:jc w:val="center"/>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300 x 2 libra</w:t>
            </w:r>
          </w:p>
        </w:tc>
        <w:tc>
          <w:tcPr>
            <w:tcW w:w="1260" w:type="dxa"/>
          </w:tcPr>
          <w:p w:rsidR="000B2E51" w:rsidRPr="00EE2DE7" w:rsidRDefault="000B2E51" w:rsidP="005372E3">
            <w:pPr>
              <w:jc w:val="center"/>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GIZ/Buxhet</w:t>
            </w:r>
            <w:r>
              <w:rPr>
                <w:rFonts w:ascii="Times New Roman" w:eastAsia="Tw Cen MT" w:hAnsi="Times New Roman" w:cs="Times New Roman"/>
              </w:rPr>
              <w:t>i</w:t>
            </w:r>
          </w:p>
        </w:tc>
        <w:tc>
          <w:tcPr>
            <w:tcW w:w="1710" w:type="dxa"/>
          </w:tcPr>
          <w:p w:rsidR="000B2E51" w:rsidRPr="00EE2DE7" w:rsidRDefault="000B2E51" w:rsidP="005372E3">
            <w:pPr>
              <w:jc w:val="center"/>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Materialet janë gati, botimi n</w:t>
            </w:r>
            <w:r>
              <w:rPr>
                <w:rFonts w:ascii="Times New Roman" w:eastAsia="Tw Cen MT" w:hAnsi="Times New Roman" w:cs="Times New Roman"/>
              </w:rPr>
              <w:t>ë t</w:t>
            </w:r>
            <w:r w:rsidRPr="00EE2DE7">
              <w:rPr>
                <w:rFonts w:ascii="Times New Roman" w:eastAsia="Tw Cen MT" w:hAnsi="Times New Roman" w:cs="Times New Roman"/>
              </w:rPr>
              <w:t>etor</w:t>
            </w:r>
            <w:r>
              <w:rPr>
                <w:rFonts w:ascii="Times New Roman" w:eastAsia="Tw Cen MT" w:hAnsi="Times New Roman" w:cs="Times New Roman"/>
              </w:rPr>
              <w:t xml:space="preserve"> 2018</w:t>
            </w:r>
          </w:p>
        </w:tc>
      </w:tr>
      <w:tr w:rsidR="000B2E51" w:rsidRPr="00EE2DE7" w:rsidTr="000B2E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dxa"/>
          </w:tcPr>
          <w:p w:rsidR="000B2E51" w:rsidRPr="009874AF" w:rsidRDefault="000B2E51" w:rsidP="005372E3">
            <w:pPr>
              <w:rPr>
                <w:rFonts w:ascii="Times New Roman" w:eastAsia="Tw Cen MT" w:hAnsi="Times New Roman" w:cs="Times New Roman"/>
                <w:b w:val="0"/>
              </w:rPr>
            </w:pPr>
            <w:r w:rsidRPr="009874AF">
              <w:rPr>
                <w:rFonts w:ascii="Times New Roman" w:eastAsia="Tw Cen MT" w:hAnsi="Times New Roman" w:cs="Times New Roman"/>
              </w:rPr>
              <w:t>5.</w:t>
            </w:r>
          </w:p>
        </w:tc>
        <w:tc>
          <w:tcPr>
            <w:tcW w:w="3494" w:type="dxa"/>
          </w:tcPr>
          <w:p w:rsidR="000B2E51" w:rsidRPr="00EE2DE7" w:rsidRDefault="000B2E51" w:rsidP="005372E3">
            <w:pPr>
              <w:jc w:val="both"/>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Pavlefshmëria</w:t>
            </w:r>
            <w:r>
              <w:rPr>
                <w:rFonts w:ascii="Times New Roman" w:eastAsia="Tw Cen MT" w:hAnsi="Times New Roman" w:cs="Times New Roman"/>
              </w:rPr>
              <w:t xml:space="preserve"> e akteve dhe papërdorshmëria e provave në</w:t>
            </w:r>
            <w:r w:rsidRPr="00EE2DE7">
              <w:rPr>
                <w:rFonts w:ascii="Times New Roman" w:eastAsia="Tw Cen MT" w:hAnsi="Times New Roman" w:cs="Times New Roman"/>
              </w:rPr>
              <w:t xml:space="preserve"> procesin penal – Henrik Ligori</w:t>
            </w:r>
          </w:p>
        </w:tc>
        <w:tc>
          <w:tcPr>
            <w:tcW w:w="1620" w:type="dxa"/>
          </w:tcPr>
          <w:p w:rsidR="000B2E51" w:rsidRPr="00EE2DE7"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200 faqe</w:t>
            </w:r>
          </w:p>
        </w:tc>
        <w:tc>
          <w:tcPr>
            <w:tcW w:w="1170" w:type="dxa"/>
          </w:tcPr>
          <w:p w:rsidR="000B2E51" w:rsidRPr="00EE2DE7"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300</w:t>
            </w:r>
          </w:p>
        </w:tc>
        <w:tc>
          <w:tcPr>
            <w:tcW w:w="1260" w:type="dxa"/>
          </w:tcPr>
          <w:p w:rsidR="000B2E51" w:rsidRPr="00EE2DE7"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Buxhet</w:t>
            </w:r>
            <w:r>
              <w:rPr>
                <w:rFonts w:ascii="Times New Roman" w:eastAsia="Tw Cen MT" w:hAnsi="Times New Roman" w:cs="Times New Roman"/>
              </w:rPr>
              <w:t>i</w:t>
            </w:r>
          </w:p>
        </w:tc>
        <w:tc>
          <w:tcPr>
            <w:tcW w:w="1710" w:type="dxa"/>
          </w:tcPr>
          <w:p w:rsidR="000B2E51" w:rsidRPr="00EE2DE7"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Po punohet nga ana e autorit</w:t>
            </w:r>
          </w:p>
        </w:tc>
      </w:tr>
      <w:tr w:rsidR="000B2E51" w:rsidRPr="00EE2DE7" w:rsidTr="000B2E51">
        <w:tc>
          <w:tcPr>
            <w:cnfStyle w:val="001000000000" w:firstRow="0" w:lastRow="0" w:firstColumn="1" w:lastColumn="0" w:oddVBand="0" w:evenVBand="0" w:oddHBand="0" w:evenHBand="0" w:firstRowFirstColumn="0" w:firstRowLastColumn="0" w:lastRowFirstColumn="0" w:lastRowLastColumn="0"/>
            <w:tcW w:w="556" w:type="dxa"/>
          </w:tcPr>
          <w:p w:rsidR="000B2E51" w:rsidRPr="009874AF" w:rsidRDefault="000B2E51" w:rsidP="005372E3">
            <w:pPr>
              <w:rPr>
                <w:rFonts w:ascii="Times New Roman" w:eastAsia="Tw Cen MT" w:hAnsi="Times New Roman" w:cs="Times New Roman"/>
                <w:b w:val="0"/>
              </w:rPr>
            </w:pPr>
            <w:r w:rsidRPr="009874AF">
              <w:rPr>
                <w:rFonts w:ascii="Times New Roman" w:eastAsia="Tw Cen MT" w:hAnsi="Times New Roman" w:cs="Times New Roman"/>
              </w:rPr>
              <w:t>6.</w:t>
            </w:r>
          </w:p>
        </w:tc>
        <w:tc>
          <w:tcPr>
            <w:tcW w:w="3494" w:type="dxa"/>
          </w:tcPr>
          <w:p w:rsidR="000B2E51" w:rsidRPr="00EE2DE7" w:rsidRDefault="000B2E51" w:rsidP="005372E3">
            <w:pPr>
              <w:jc w:val="both"/>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Koment i procedurës penale – Dhimitër Lara</w:t>
            </w:r>
          </w:p>
        </w:tc>
        <w:tc>
          <w:tcPr>
            <w:tcW w:w="1620" w:type="dxa"/>
          </w:tcPr>
          <w:p w:rsidR="000B2E51" w:rsidRPr="00EE2DE7" w:rsidRDefault="000B2E51" w:rsidP="005372E3">
            <w:pPr>
              <w:jc w:val="center"/>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1400</w:t>
            </w:r>
          </w:p>
        </w:tc>
        <w:tc>
          <w:tcPr>
            <w:tcW w:w="1170" w:type="dxa"/>
          </w:tcPr>
          <w:p w:rsidR="000B2E51" w:rsidRPr="00EE2DE7" w:rsidRDefault="000B2E51" w:rsidP="005372E3">
            <w:pPr>
              <w:jc w:val="center"/>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200</w:t>
            </w:r>
          </w:p>
        </w:tc>
        <w:tc>
          <w:tcPr>
            <w:tcW w:w="2970" w:type="dxa"/>
            <w:gridSpan w:val="2"/>
          </w:tcPr>
          <w:p w:rsidR="000B2E51" w:rsidRPr="00EE2DE7" w:rsidRDefault="000B2E51" w:rsidP="005372E3">
            <w:pPr>
              <w:jc w:val="center"/>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Për botim</w:t>
            </w:r>
          </w:p>
        </w:tc>
      </w:tr>
      <w:tr w:rsidR="000B2E51" w:rsidRPr="00EE2DE7" w:rsidTr="000B2E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dxa"/>
          </w:tcPr>
          <w:p w:rsidR="000B2E51" w:rsidRPr="009874AF" w:rsidRDefault="000B2E51" w:rsidP="005372E3">
            <w:pPr>
              <w:rPr>
                <w:rFonts w:ascii="Times New Roman" w:eastAsia="Tw Cen MT" w:hAnsi="Times New Roman" w:cs="Times New Roman"/>
                <w:b w:val="0"/>
              </w:rPr>
            </w:pPr>
            <w:r w:rsidRPr="009874AF">
              <w:rPr>
                <w:rFonts w:ascii="Times New Roman" w:eastAsia="Tw Cen MT" w:hAnsi="Times New Roman" w:cs="Times New Roman"/>
              </w:rPr>
              <w:t>7.</w:t>
            </w:r>
          </w:p>
        </w:tc>
        <w:tc>
          <w:tcPr>
            <w:tcW w:w="3494" w:type="dxa"/>
          </w:tcPr>
          <w:p w:rsidR="000B2E51" w:rsidRPr="00EE2DE7" w:rsidRDefault="000B2E51" w:rsidP="005372E3">
            <w:pPr>
              <w:jc w:val="both"/>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Komentari i të Drejtës Ndërkombëtare Private</w:t>
            </w:r>
          </w:p>
        </w:tc>
        <w:tc>
          <w:tcPr>
            <w:tcW w:w="1620" w:type="dxa"/>
          </w:tcPr>
          <w:p w:rsidR="000B2E51" w:rsidRPr="00EE2DE7"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Grup autoresh mbi 300 faqe</w:t>
            </w:r>
          </w:p>
        </w:tc>
        <w:tc>
          <w:tcPr>
            <w:tcW w:w="1170" w:type="dxa"/>
          </w:tcPr>
          <w:p w:rsidR="000B2E51" w:rsidRPr="00EE2DE7"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300</w:t>
            </w:r>
          </w:p>
        </w:tc>
        <w:tc>
          <w:tcPr>
            <w:tcW w:w="1260" w:type="dxa"/>
          </w:tcPr>
          <w:p w:rsidR="000B2E51" w:rsidRPr="00EE2DE7"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Donacion</w:t>
            </w:r>
          </w:p>
        </w:tc>
        <w:tc>
          <w:tcPr>
            <w:tcW w:w="1710" w:type="dxa"/>
          </w:tcPr>
          <w:p w:rsidR="000B2E51" w:rsidRPr="00EE2DE7"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Shpërndarë për recenc</w:t>
            </w:r>
            <w:r>
              <w:rPr>
                <w:rFonts w:ascii="Times New Roman" w:eastAsia="Tw Cen MT" w:hAnsi="Times New Roman" w:cs="Times New Roman"/>
              </w:rPr>
              <w:t>ë</w:t>
            </w:r>
          </w:p>
        </w:tc>
      </w:tr>
      <w:tr w:rsidR="000B2E51" w:rsidRPr="00EE2DE7" w:rsidTr="000B2E51">
        <w:tc>
          <w:tcPr>
            <w:cnfStyle w:val="001000000000" w:firstRow="0" w:lastRow="0" w:firstColumn="1" w:lastColumn="0" w:oddVBand="0" w:evenVBand="0" w:oddHBand="0" w:evenHBand="0" w:firstRowFirstColumn="0" w:firstRowLastColumn="0" w:lastRowFirstColumn="0" w:lastRowLastColumn="0"/>
            <w:tcW w:w="556" w:type="dxa"/>
          </w:tcPr>
          <w:p w:rsidR="000B2E51" w:rsidRPr="009874AF" w:rsidRDefault="000B2E51" w:rsidP="005372E3">
            <w:pPr>
              <w:rPr>
                <w:rFonts w:ascii="Times New Roman" w:eastAsia="Tw Cen MT" w:hAnsi="Times New Roman" w:cs="Times New Roman"/>
                <w:b w:val="0"/>
              </w:rPr>
            </w:pPr>
            <w:r w:rsidRPr="009874AF">
              <w:rPr>
                <w:rFonts w:ascii="Times New Roman" w:eastAsia="Tw Cen MT" w:hAnsi="Times New Roman" w:cs="Times New Roman"/>
              </w:rPr>
              <w:t>8.</w:t>
            </w:r>
          </w:p>
        </w:tc>
        <w:tc>
          <w:tcPr>
            <w:tcW w:w="3494" w:type="dxa"/>
          </w:tcPr>
          <w:p w:rsidR="000B2E51" w:rsidRPr="00EE2DE7" w:rsidRDefault="000B2E51" w:rsidP="005372E3">
            <w:pPr>
              <w:jc w:val="both"/>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Analiza e provave –</w:t>
            </w:r>
          </w:p>
          <w:p w:rsidR="000B2E51" w:rsidRPr="00EE2DE7" w:rsidRDefault="000B2E51" w:rsidP="005372E3">
            <w:pPr>
              <w:jc w:val="both"/>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Grup autorësh të huaj</w:t>
            </w:r>
          </w:p>
        </w:tc>
        <w:tc>
          <w:tcPr>
            <w:tcW w:w="1620" w:type="dxa"/>
          </w:tcPr>
          <w:p w:rsidR="000B2E51" w:rsidRPr="00EE2DE7" w:rsidRDefault="000B2E51" w:rsidP="005372E3">
            <w:pPr>
              <w:jc w:val="center"/>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300 faqe</w:t>
            </w:r>
          </w:p>
        </w:tc>
        <w:tc>
          <w:tcPr>
            <w:tcW w:w="1170" w:type="dxa"/>
          </w:tcPr>
          <w:p w:rsidR="000B2E51" w:rsidRPr="00EE2DE7" w:rsidRDefault="000B2E51" w:rsidP="005372E3">
            <w:pPr>
              <w:jc w:val="center"/>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300</w:t>
            </w:r>
          </w:p>
        </w:tc>
        <w:tc>
          <w:tcPr>
            <w:tcW w:w="2970" w:type="dxa"/>
            <w:gridSpan w:val="2"/>
          </w:tcPr>
          <w:p w:rsidR="000B2E51" w:rsidRPr="00EE2DE7" w:rsidRDefault="000B2E51" w:rsidP="005372E3">
            <w:pPr>
              <w:jc w:val="center"/>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Buxhet</w:t>
            </w:r>
            <w:r>
              <w:rPr>
                <w:rFonts w:ascii="Times New Roman" w:eastAsia="Tw Cen MT" w:hAnsi="Times New Roman" w:cs="Times New Roman"/>
              </w:rPr>
              <w:t>i</w:t>
            </w:r>
          </w:p>
        </w:tc>
      </w:tr>
      <w:tr w:rsidR="000B2E51" w:rsidRPr="00EE2DE7" w:rsidTr="000B2E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dxa"/>
          </w:tcPr>
          <w:p w:rsidR="000B2E51" w:rsidRPr="009874AF" w:rsidRDefault="000B2E51" w:rsidP="005372E3">
            <w:pPr>
              <w:rPr>
                <w:rFonts w:ascii="Times New Roman" w:eastAsia="Tw Cen MT" w:hAnsi="Times New Roman" w:cs="Times New Roman"/>
                <w:b w:val="0"/>
              </w:rPr>
            </w:pPr>
            <w:r w:rsidRPr="009874AF">
              <w:rPr>
                <w:rFonts w:ascii="Times New Roman" w:eastAsia="Tw Cen MT" w:hAnsi="Times New Roman" w:cs="Times New Roman"/>
              </w:rPr>
              <w:t>9.</w:t>
            </w:r>
          </w:p>
        </w:tc>
        <w:tc>
          <w:tcPr>
            <w:tcW w:w="3494" w:type="dxa"/>
          </w:tcPr>
          <w:p w:rsidR="000B2E51" w:rsidRPr="00EE2DE7" w:rsidRDefault="000B2E51" w:rsidP="005372E3">
            <w:pPr>
              <w:jc w:val="both"/>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Mbrojtja e së Drejtës për lirinë e shprehjes sipas Konventës Europiane për të Drejtat e Njeriut</w:t>
            </w:r>
          </w:p>
        </w:tc>
        <w:tc>
          <w:tcPr>
            <w:tcW w:w="1620" w:type="dxa"/>
          </w:tcPr>
          <w:p w:rsidR="000B2E51" w:rsidRPr="00EE2DE7"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120</w:t>
            </w:r>
          </w:p>
        </w:tc>
        <w:tc>
          <w:tcPr>
            <w:tcW w:w="1170" w:type="dxa"/>
          </w:tcPr>
          <w:p w:rsidR="000B2E51" w:rsidRPr="00EE2DE7"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600</w:t>
            </w:r>
          </w:p>
        </w:tc>
        <w:tc>
          <w:tcPr>
            <w:tcW w:w="2970" w:type="dxa"/>
            <w:gridSpan w:val="2"/>
          </w:tcPr>
          <w:p w:rsidR="000B2E51" w:rsidRPr="00EE2DE7"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5C516A">
              <w:rPr>
                <w:rFonts w:ascii="Times New Roman" w:eastAsia="Tw Cen MT" w:hAnsi="Times New Roman" w:cs="Times New Roman"/>
              </w:rPr>
              <w:t xml:space="preserve">Këshilli i Europës – </w:t>
            </w:r>
            <w:r>
              <w:rPr>
                <w:rFonts w:ascii="Times New Roman" w:eastAsia="Tw Cen MT" w:hAnsi="Times New Roman" w:cs="Times New Roman"/>
              </w:rPr>
              <w:t>botuar</w:t>
            </w:r>
          </w:p>
        </w:tc>
      </w:tr>
    </w:tbl>
    <w:p w:rsidR="000B2E51" w:rsidRDefault="000B2E51" w:rsidP="000B2E51">
      <w:pPr>
        <w:tabs>
          <w:tab w:val="left" w:pos="10260"/>
        </w:tabs>
        <w:jc w:val="both"/>
      </w:pPr>
    </w:p>
    <w:p w:rsidR="000B2E51" w:rsidRPr="000B2E51" w:rsidRDefault="000B2E51" w:rsidP="000B2E51">
      <w:pPr>
        <w:spacing w:line="276" w:lineRule="auto"/>
        <w:jc w:val="both"/>
        <w:rPr>
          <w:b/>
          <w:noProof/>
          <w:color w:val="CC9966" w:themeColor="accent2"/>
          <w:sz w:val="32"/>
          <w:lang w:eastAsia="en-US"/>
        </w:rPr>
      </w:pPr>
      <w:r w:rsidRPr="000B2E51">
        <w:rPr>
          <w:b/>
          <w:noProof/>
          <w:color w:val="CC9966" w:themeColor="accent2"/>
          <w:sz w:val="32"/>
          <w:lang w:eastAsia="en-US"/>
        </w:rPr>
        <w:t>4.3 Publikimet dhe puna kërkimore shkencore</w:t>
      </w:r>
    </w:p>
    <w:p w:rsidR="0001543C" w:rsidRDefault="0001543C" w:rsidP="0001543C">
      <w:pPr>
        <w:spacing w:line="276" w:lineRule="auto"/>
        <w:jc w:val="both"/>
        <w:rPr>
          <w:rFonts w:ascii="Tw Cen MT" w:eastAsia="Tw Cen MT" w:hAnsi="Tw Cen MT"/>
          <w:b/>
          <w:color w:val="355D7E"/>
          <w:spacing w:val="20"/>
          <w:kern w:val="24"/>
          <w:sz w:val="28"/>
          <w:szCs w:val="28"/>
        </w:rPr>
      </w:pPr>
    </w:p>
    <w:p w:rsidR="000B2E51" w:rsidRPr="00EE2DE7" w:rsidRDefault="000B2E51" w:rsidP="0001543C">
      <w:pPr>
        <w:spacing w:line="276" w:lineRule="auto"/>
        <w:jc w:val="both"/>
      </w:pPr>
      <w:r>
        <w:t>Publikimet dhe puna kërkimore</w:t>
      </w:r>
      <w:r w:rsidRPr="00EE2DE7">
        <w:t xml:space="preserve"> konsiderohen “çelës suksesi”</w:t>
      </w:r>
      <w:r>
        <w:t>. J</w:t>
      </w:r>
      <w:r w:rsidRPr="00EE2DE7">
        <w:t>o vetëm në formimin e magjistratëve të rinj, por edhe në shumë profesione dhe çështje të tjera akademike, e mendojmë kërkimin shkencor dhe publikimin si pika kyçe të veprimtarisë dhe prioriteteve të Shkollës.</w:t>
      </w:r>
    </w:p>
    <w:p w:rsidR="000B2E51" w:rsidRDefault="000B2E51" w:rsidP="000B2E51">
      <w:pPr>
        <w:spacing w:line="276" w:lineRule="auto"/>
        <w:ind w:firstLine="720"/>
        <w:jc w:val="both"/>
      </w:pPr>
      <w:r w:rsidRPr="00EE2DE7">
        <w:t xml:space="preserve">Gjatë periudhës 2018-2023, lidhur me prioritetet </w:t>
      </w:r>
      <w:r w:rsidRPr="00EE2DE7">
        <w:rPr>
          <w:bCs/>
        </w:rPr>
        <w:t>afatshkurtra dhe afatmesme të parashikuara në planin strategjik të Shkollës së Magjistraturës, ky program do të fokusohet në:</w:t>
      </w:r>
    </w:p>
    <w:p w:rsidR="000B2E51" w:rsidRDefault="000B2E51" w:rsidP="000B2E51">
      <w:pPr>
        <w:spacing w:line="276" w:lineRule="auto"/>
        <w:ind w:firstLine="720"/>
        <w:jc w:val="both"/>
      </w:pPr>
      <w:r w:rsidRPr="005C516A">
        <w:rPr>
          <w:b/>
        </w:rPr>
        <w:t>1.</w:t>
      </w:r>
      <w:r w:rsidRPr="00EE2DE7">
        <w:rPr>
          <w:b/>
        </w:rPr>
        <w:t xml:space="preserve"> </w:t>
      </w:r>
      <w:r w:rsidRPr="00EE2DE7">
        <w:t xml:space="preserve"> Përfshirj</w:t>
      </w:r>
      <w:r>
        <w:t>en</w:t>
      </w:r>
      <w:r w:rsidRPr="00EE2DE7">
        <w:t xml:space="preserve"> e gjyqtarëve dhe prokurorëve në fushën e publikimeve dhe forcimi</w:t>
      </w:r>
      <w:r>
        <w:t>n e</w:t>
      </w:r>
      <w:r w:rsidRPr="00EE2DE7">
        <w:t xml:space="preserve"> punës kërkimore </w:t>
      </w:r>
      <w:r>
        <w:t xml:space="preserve">e </w:t>
      </w:r>
      <w:r w:rsidRPr="00EE2DE7">
        <w:t xml:space="preserve">shkencore. </w:t>
      </w:r>
    </w:p>
    <w:p w:rsidR="000B2E51" w:rsidRDefault="000B2E51" w:rsidP="000B2E51">
      <w:pPr>
        <w:spacing w:line="276" w:lineRule="auto"/>
        <w:ind w:firstLine="720"/>
        <w:jc w:val="both"/>
      </w:pPr>
      <w:r w:rsidRPr="005C516A">
        <w:rPr>
          <w:b/>
        </w:rPr>
        <w:t>2.</w:t>
      </w:r>
      <w:r w:rsidRPr="00EE2DE7">
        <w:rPr>
          <w:b/>
        </w:rPr>
        <w:t xml:space="preserve"> </w:t>
      </w:r>
      <w:r>
        <w:t>B</w:t>
      </w:r>
      <w:r w:rsidRPr="009874AF">
        <w:t>otimin</w:t>
      </w:r>
      <w:r>
        <w:t xml:space="preserve"> </w:t>
      </w:r>
      <w:r w:rsidRPr="00EE2DE7">
        <w:t xml:space="preserve">nën emrin dhe kujdesin </w:t>
      </w:r>
      <w:r>
        <w:t>e Shkollës së Magjistraturës të teksteve dhe librave</w:t>
      </w:r>
      <w:r w:rsidRPr="00EE2DE7">
        <w:t xml:space="preserve"> të cilët trajtojnë probleme ligjore të lidhura ngushtë me programet e lëndëve dhe kurseve të Trajnimit Fille</w:t>
      </w:r>
      <w:r>
        <w:t xml:space="preserve">star e Vazhdues të gjyqtarëve </w:t>
      </w:r>
      <w:r w:rsidRPr="00EE2DE7">
        <w:t>e prokurorëve, duke synuar në unifikimin dhe ana</w:t>
      </w:r>
      <w:r>
        <w:t xml:space="preserve">lizimin e praktikës gjyqësore </w:t>
      </w:r>
      <w:r w:rsidRPr="00EE2DE7">
        <w:t>e juridike kombëtare dhe ndërkombëtare. Botimi i teksteve dhe librave shkencorë do të bëhet duke vijuar me procedurën e miratimit të tyre në Bordin e Redaktorëve dhe me dy recenca. Tekstet me karakter publicistik, historik dhe tërësisht teorik, të pailustruara me praktikë gjyqësore nuk janë në objektin dhe qëllimin e botimeve të Shkollës.</w:t>
      </w:r>
    </w:p>
    <w:p w:rsidR="000B2E51" w:rsidRDefault="000B2E51" w:rsidP="000B2E51">
      <w:pPr>
        <w:spacing w:line="276" w:lineRule="auto"/>
        <w:ind w:firstLine="720"/>
        <w:jc w:val="both"/>
      </w:pPr>
      <w:r w:rsidRPr="005C516A">
        <w:rPr>
          <w:b/>
        </w:rPr>
        <w:lastRenderedPageBreak/>
        <w:t>3.</w:t>
      </w:r>
      <w:r w:rsidRPr="00EE2DE7">
        <w:t xml:space="preserve"> Rishikimi</w:t>
      </w:r>
      <w:r>
        <w:t>n e</w:t>
      </w:r>
      <w:r w:rsidRPr="00EE2DE7">
        <w:t xml:space="preserve"> teksteve ligjore </w:t>
      </w:r>
      <w:r>
        <w:t>ekzistuese dhe bërjen</w:t>
      </w:r>
      <w:r w:rsidRPr="00EE2DE7">
        <w:t xml:space="preserve"> e një plani për botimin e leksioneve, manualeve, përgatitjen e teksteve më thelbësore që mungojnë, përditësimin e atyre që ekzistojnë dhe krijimin e një liste të teksteve të huaja që konsiderohen të dobishme. </w:t>
      </w:r>
    </w:p>
    <w:p w:rsidR="000B2E51" w:rsidRDefault="000B2E51" w:rsidP="000B2E51">
      <w:pPr>
        <w:spacing w:line="276" w:lineRule="auto"/>
        <w:ind w:firstLine="720"/>
        <w:jc w:val="both"/>
      </w:pPr>
      <w:r w:rsidRPr="005C516A">
        <w:rPr>
          <w:b/>
        </w:rPr>
        <w:t>4.</w:t>
      </w:r>
      <w:r w:rsidRPr="00EE2DE7">
        <w:t xml:space="preserve"> Botimi</w:t>
      </w:r>
      <w:r>
        <w:t>n e</w:t>
      </w:r>
      <w:r w:rsidRPr="00EE2DE7">
        <w:t xml:space="preserve"> temave të trajtuara në kuadër të Programit të Formimit Vazhdues. </w:t>
      </w:r>
    </w:p>
    <w:p w:rsidR="000B2E51" w:rsidRDefault="000B2E51" w:rsidP="000B2E51">
      <w:pPr>
        <w:spacing w:line="276" w:lineRule="auto"/>
        <w:ind w:firstLine="720"/>
        <w:jc w:val="both"/>
      </w:pPr>
      <w:r w:rsidRPr="005C516A">
        <w:rPr>
          <w:b/>
        </w:rPr>
        <w:t>5.</w:t>
      </w:r>
      <w:r w:rsidRPr="00EE2DE7">
        <w:t xml:space="preserve"> Botimi</w:t>
      </w:r>
      <w:r>
        <w:t>n e</w:t>
      </w:r>
      <w:r w:rsidRPr="00EE2DE7">
        <w:t xml:space="preserve"> librave me </w:t>
      </w:r>
      <w:r>
        <w:t>p</w:t>
      </w:r>
      <w:r w:rsidRPr="00EE2DE7">
        <w:t xml:space="preserve">raktikë </w:t>
      </w:r>
      <w:r>
        <w:t>g</w:t>
      </w:r>
      <w:r w:rsidRPr="00EE2DE7">
        <w:t>jyqësore (</w:t>
      </w:r>
      <w:r w:rsidRPr="005C516A">
        <w:rPr>
          <w:i/>
        </w:rPr>
        <w:t>Case study</w:t>
      </w:r>
      <w:r w:rsidRPr="00EE2DE7">
        <w:t xml:space="preserve">) për Trajnimin Fillestar. </w:t>
      </w:r>
    </w:p>
    <w:p w:rsidR="000B2E51" w:rsidRDefault="000B2E51" w:rsidP="000B2E51">
      <w:pPr>
        <w:spacing w:line="276" w:lineRule="auto"/>
        <w:ind w:firstLine="720"/>
        <w:jc w:val="both"/>
      </w:pPr>
      <w:r w:rsidRPr="005C516A">
        <w:rPr>
          <w:b/>
        </w:rPr>
        <w:t>6.</w:t>
      </w:r>
      <w:r w:rsidRPr="00EE2DE7">
        <w:t xml:space="preserve"> Ngritjen e një qendre burimore për të drejtën e</w:t>
      </w:r>
      <w:r>
        <w:t>u</w:t>
      </w:r>
      <w:r w:rsidRPr="00EE2DE7">
        <w:t xml:space="preserve">ropiane dhe të drejtat e njeriut, në shërbim të sistemit të drejtësisë në Shqipëri. </w:t>
      </w:r>
    </w:p>
    <w:p w:rsidR="000B2E51" w:rsidRDefault="000B2E51" w:rsidP="000B2E51">
      <w:pPr>
        <w:spacing w:line="276" w:lineRule="auto"/>
        <w:ind w:firstLine="720"/>
        <w:jc w:val="both"/>
      </w:pPr>
      <w:r w:rsidRPr="005C516A">
        <w:rPr>
          <w:b/>
        </w:rPr>
        <w:t>7.</w:t>
      </w:r>
      <w:r w:rsidRPr="00EE2DE7">
        <w:t xml:space="preserve"> Zhvillimi</w:t>
      </w:r>
      <w:r>
        <w:t>n</w:t>
      </w:r>
      <w:r w:rsidRPr="00EE2DE7">
        <w:t xml:space="preserve"> dhe përmirësimi</w:t>
      </w:r>
      <w:r>
        <w:t>n e vazhdueshëm të</w:t>
      </w:r>
      <w:r w:rsidRPr="00EE2DE7">
        <w:t xml:space="preserve"> bibliotekës, e cila është thelbësore për magjistratët që kryejnë Formimin Fillestar dhe Vazhdues, si edhe qenien e një burimi për të diplomuarit (në rastin tonë për gjyqtarët dhe prokurorët) dhe të </w:t>
      </w:r>
      <w:r>
        <w:t>interesuarit e tjerë</w:t>
      </w:r>
      <w:r w:rsidRPr="00EE2DE7">
        <w:t xml:space="preserve">. </w:t>
      </w:r>
    </w:p>
    <w:p w:rsidR="000B2E51" w:rsidRDefault="000B2E51" w:rsidP="000B2E51">
      <w:pPr>
        <w:spacing w:line="276" w:lineRule="auto"/>
        <w:ind w:firstLine="720"/>
        <w:jc w:val="both"/>
      </w:pPr>
      <w:r w:rsidRPr="005C516A">
        <w:rPr>
          <w:b/>
        </w:rPr>
        <w:t>8.</w:t>
      </w:r>
      <w:r w:rsidRPr="00EE2DE7">
        <w:t xml:space="preserve"> Zhvillimi</w:t>
      </w:r>
      <w:r>
        <w:t>n</w:t>
      </w:r>
      <w:r w:rsidRPr="00EE2DE7">
        <w:t xml:space="preserve"> dhe thellimi</w:t>
      </w:r>
      <w:r>
        <w:t>n e</w:t>
      </w:r>
      <w:r w:rsidRPr="00EE2DE7">
        <w:t xml:space="preserve"> lidhjeve tona me bibliotekat e shkollave e</w:t>
      </w:r>
      <w:r>
        <w:t>u</w:t>
      </w:r>
      <w:r w:rsidRPr="00EE2DE7">
        <w:t>ropiane të magjistraturës dhe institucioneve të tjera ligjore. Prioritet do të jetë sigurimi i aksesit/qasjes në biblioteka dhe database online.</w:t>
      </w:r>
    </w:p>
    <w:p w:rsidR="000B2E51" w:rsidRDefault="000B2E51" w:rsidP="000B2E51">
      <w:pPr>
        <w:spacing w:line="276" w:lineRule="auto"/>
        <w:ind w:firstLine="720"/>
        <w:jc w:val="both"/>
      </w:pPr>
      <w:r w:rsidRPr="005C516A">
        <w:rPr>
          <w:b/>
        </w:rPr>
        <w:t>9.</w:t>
      </w:r>
      <w:r>
        <w:t xml:space="preserve"> Përgatitjen</w:t>
      </w:r>
      <w:r w:rsidRPr="00EE2DE7">
        <w:t xml:space="preserve"> e librave, manualeve, kurseve dhe moduleve për lëndë apo tema që trajtohen në procesin e Formimit Fillestar të magjistratëve. Motivimi</w:t>
      </w:r>
      <w:r>
        <w:t>n</w:t>
      </w:r>
      <w:r w:rsidRPr="00EE2DE7">
        <w:t xml:space="preserve"> dhe trajnimi</w:t>
      </w:r>
      <w:r>
        <w:t>n e</w:t>
      </w:r>
      <w:r w:rsidRPr="00EE2DE7">
        <w:t xml:space="preserve"> kandidatëve për magjistratë për të hulumtuar dhe shkruar ese e tema me qëllim botimin e punimeve më të mira ose të pjesëve të tyre. </w:t>
      </w:r>
    </w:p>
    <w:p w:rsidR="000B2E51" w:rsidRDefault="000B2E51" w:rsidP="000B2E51">
      <w:pPr>
        <w:spacing w:line="276" w:lineRule="auto"/>
        <w:ind w:firstLine="720"/>
        <w:jc w:val="both"/>
      </w:pPr>
      <w:r w:rsidRPr="005C516A">
        <w:rPr>
          <w:b/>
        </w:rPr>
        <w:t>10.</w:t>
      </w:r>
      <w:r w:rsidRPr="00EE2DE7">
        <w:t xml:space="preserve"> Përmirësimi</w:t>
      </w:r>
      <w:r>
        <w:t>n në vazhdimësi të punës kërkimore-</w:t>
      </w:r>
      <w:r w:rsidRPr="00EE2DE7">
        <w:t xml:space="preserve">shkencore nëpërmjet Klinikës Ligjore dhe Kërkimore me qëllim ndërgjegjësimin e kandidatëve për magjistratë për çështje të tilla, si: motivimi, argumentimi, transparenca dhe shteti i së drejtës. Duke bërë punë kërkimore ligjore krahasuese të gjerë dhe veçanërisht për çështjet e të drejtave të njeriut që janë pezull përpara institucioneve të drejtësisë, brezi i ri i gjyqtarëve dhe prokurorëve do të prezantohet me një kulturë të re të argumentimit dhe motivimit ligjor. Për rrjedhojë, është e pritshme që kandidatët për magjistratë të fusin këtë kulturë në gjykatat dhe prokuroritë ku do të punojnë në të ardhmen. Krahas kësaj, kjo Klinikë do të ketë një </w:t>
      </w:r>
      <w:r>
        <w:t>ndikim</w:t>
      </w:r>
      <w:r w:rsidRPr="00EE2DE7">
        <w:t xml:space="preserve"> pozitiv në cilësinë (përsa i përket motivimit dhe argumentimit) e institucioneve kyçe të sistemit gjyqësor në vendin tonë. Ky </w:t>
      </w:r>
      <w:r>
        <w:t>ndikim</w:t>
      </w:r>
      <w:r w:rsidRPr="00EE2DE7">
        <w:t xml:space="preserve"> pozitiv do të jetë rezultat jo vetëm i konsulencës që do të marrin institucionet nga kandidatët për magjistratë, por edhe nga trajnimi që do të kenë stafi mbështetës i këtyre institucioneve gjatë kohës së projektit. Ky kurs do të kontribuojë në konsolidimin e profilit të Shkollës si një institucion kyç në edukimin ligjor, që kombinon edukimin profesional me kërkimin akademik. </w:t>
      </w:r>
    </w:p>
    <w:p w:rsidR="000B2E51" w:rsidRDefault="000B2E51" w:rsidP="000B2E51">
      <w:pPr>
        <w:spacing w:line="276" w:lineRule="auto"/>
        <w:ind w:firstLine="720"/>
        <w:jc w:val="both"/>
      </w:pPr>
      <w:r w:rsidRPr="005C516A">
        <w:rPr>
          <w:b/>
        </w:rPr>
        <w:t>11.</w:t>
      </w:r>
      <w:r w:rsidRPr="00EE2DE7">
        <w:t xml:space="preserve"> Përgatitjen </w:t>
      </w:r>
      <w:r>
        <w:t>e</w:t>
      </w:r>
      <w:r w:rsidRPr="00EE2DE7">
        <w:t xml:space="preserve"> teksteve dhe cikleve të leksioneve me grupe autorësh dhe shtimin e botimeve nga ana e ekspertëve të </w:t>
      </w:r>
      <w:r>
        <w:t>S</w:t>
      </w:r>
      <w:r w:rsidRPr="00EE2DE7">
        <w:t>hkollës.</w:t>
      </w:r>
    </w:p>
    <w:p w:rsidR="000B2E51" w:rsidRPr="000B2E51" w:rsidRDefault="000B2E51" w:rsidP="000B2E51">
      <w:pPr>
        <w:spacing w:line="276" w:lineRule="auto"/>
        <w:ind w:firstLine="720"/>
        <w:jc w:val="both"/>
      </w:pPr>
    </w:p>
    <w:p w:rsidR="000B2E51" w:rsidRPr="000B2E51" w:rsidRDefault="000B2E51" w:rsidP="000B2E51">
      <w:pPr>
        <w:spacing w:line="276" w:lineRule="auto"/>
        <w:jc w:val="both"/>
        <w:rPr>
          <w:b/>
          <w:noProof/>
          <w:color w:val="CC9966" w:themeColor="accent2"/>
          <w:sz w:val="32"/>
          <w:lang w:eastAsia="en-US"/>
        </w:rPr>
      </w:pPr>
      <w:r w:rsidRPr="000B2E51">
        <w:rPr>
          <w:b/>
          <w:noProof/>
          <w:color w:val="CC9966" w:themeColor="accent2"/>
          <w:sz w:val="32"/>
          <w:lang w:eastAsia="en-US"/>
        </w:rPr>
        <w:t xml:space="preserve">4.4 Biblioteka </w:t>
      </w:r>
    </w:p>
    <w:p w:rsidR="0001543C" w:rsidRDefault="0001543C" w:rsidP="0001543C">
      <w:pPr>
        <w:spacing w:line="276" w:lineRule="auto"/>
        <w:jc w:val="both"/>
        <w:rPr>
          <w:rFonts w:eastAsia="Tw Cen MT"/>
          <w:b/>
          <w:color w:val="355D7E"/>
          <w:spacing w:val="20"/>
          <w:kern w:val="24"/>
          <w:sz w:val="28"/>
          <w:szCs w:val="28"/>
        </w:rPr>
      </w:pPr>
    </w:p>
    <w:p w:rsidR="000B2E51" w:rsidRPr="00EE2DE7" w:rsidRDefault="000B2E51" w:rsidP="0001543C">
      <w:pPr>
        <w:spacing w:line="276" w:lineRule="auto"/>
        <w:jc w:val="both"/>
        <w:rPr>
          <w:rFonts w:eastAsia="Tw Cen MT"/>
          <w:kern w:val="24"/>
        </w:rPr>
      </w:pPr>
      <w:r w:rsidRPr="00EE2DE7">
        <w:rPr>
          <w:rFonts w:eastAsia="Tw Cen MT"/>
          <w:kern w:val="24"/>
        </w:rPr>
        <w:t>Biblioteka, si pjesë e Sektorit të Studimeve dhe Publikimeve, ka vazhduar t’i shërbejë kandidatëve për magjistratë, stafit akademik dhe administrativ të Shkollës, në ndihmë të zhvillimit të procesit mësimor dhe aktiviteteve të tjera të zhvilluara nga Shkolla gjatë vitit akademik 2017-2018.</w:t>
      </w:r>
    </w:p>
    <w:p w:rsidR="000B2E51" w:rsidRPr="00EE2DE7" w:rsidRDefault="000B2E51" w:rsidP="000B2E51">
      <w:pPr>
        <w:spacing w:line="276" w:lineRule="auto"/>
        <w:ind w:firstLine="720"/>
        <w:jc w:val="both"/>
        <w:rPr>
          <w:rFonts w:eastAsia="Tw Cen MT"/>
          <w:kern w:val="24"/>
        </w:rPr>
      </w:pPr>
      <w:r w:rsidRPr="00EE2DE7">
        <w:rPr>
          <w:rFonts w:eastAsia="Tw Cen MT"/>
          <w:kern w:val="24"/>
        </w:rPr>
        <w:t>Fondi i Bibliotekës pasurohet vazhdimisht me literaturë të re në fushën e jurisprudencës. Literatura e re që i</w:t>
      </w:r>
      <w:r>
        <w:rPr>
          <w:rFonts w:eastAsia="Tw Cen MT"/>
          <w:kern w:val="24"/>
        </w:rPr>
        <w:t>u shtua</w:t>
      </w:r>
      <w:r w:rsidRPr="00EE2DE7">
        <w:rPr>
          <w:rFonts w:eastAsia="Tw Cen MT"/>
          <w:kern w:val="24"/>
        </w:rPr>
        <w:t xml:space="preserve"> fondit për vitin akademik 2017- 2018 konsiston në 43 tituj, ardhur në 136 kopje gjithsej, nga dhurime, blerje dhe botime vetjake. Koleksioni i veçantë i </w:t>
      </w:r>
      <w:r>
        <w:rPr>
          <w:rFonts w:eastAsia="Tw Cen MT"/>
          <w:kern w:val="24"/>
        </w:rPr>
        <w:t>t</w:t>
      </w:r>
      <w:r w:rsidRPr="00EE2DE7">
        <w:rPr>
          <w:rFonts w:eastAsia="Tw Cen MT"/>
          <w:kern w:val="24"/>
        </w:rPr>
        <w:t>emave të kandidatëve për magjistra</w:t>
      </w:r>
      <w:r>
        <w:rPr>
          <w:rFonts w:eastAsia="Tw Cen MT"/>
          <w:kern w:val="24"/>
        </w:rPr>
        <w:t xml:space="preserve">të të vitit të dytë u shtua me </w:t>
      </w:r>
      <w:r w:rsidRPr="00EE2DE7">
        <w:rPr>
          <w:rFonts w:eastAsia="Tw Cen MT"/>
          <w:kern w:val="24"/>
        </w:rPr>
        <w:t xml:space="preserve">25 tema të reja. Të gjithë titujt e rinj që i janë shtuar fondit të bibliotekës janë </w:t>
      </w:r>
      <w:r w:rsidRPr="00EE2DE7">
        <w:rPr>
          <w:rFonts w:eastAsia="Tw Cen MT"/>
          <w:kern w:val="24"/>
        </w:rPr>
        <w:lastRenderedPageBreak/>
        <w:t>regjistruar në bazën e të dhënave elektronike të Bibliotekës së Shkollës së Magjistraturës me një përshkrim të plotë bibliografik.</w:t>
      </w:r>
    </w:p>
    <w:p w:rsidR="000B2E51" w:rsidRPr="00EE2DE7" w:rsidRDefault="000B2E51" w:rsidP="000B2E51">
      <w:pPr>
        <w:spacing w:line="276" w:lineRule="auto"/>
        <w:ind w:firstLine="720"/>
        <w:jc w:val="both"/>
        <w:rPr>
          <w:rFonts w:eastAsia="Tw Cen MT"/>
          <w:kern w:val="24"/>
        </w:rPr>
      </w:pPr>
      <w:r w:rsidRPr="00EE2DE7">
        <w:rPr>
          <w:rFonts w:eastAsia="Tw Cen MT"/>
          <w:kern w:val="24"/>
        </w:rPr>
        <w:t xml:space="preserve">Vazhdon regjistrimi bibliografik i gjithë fondit të bibliotekës në bazën lokale të të dhënave bibliografike, pjesë e sistemit </w:t>
      </w:r>
      <w:r w:rsidRPr="001F38D0">
        <w:rPr>
          <w:rFonts w:eastAsia="Tw Cen MT"/>
          <w:i/>
          <w:kern w:val="24"/>
        </w:rPr>
        <w:t>COBISS.net</w:t>
      </w:r>
      <w:r w:rsidRPr="00EE2DE7">
        <w:rPr>
          <w:rFonts w:eastAsia="Tw Cen MT"/>
          <w:kern w:val="24"/>
        </w:rPr>
        <w:t>, një sistem i regjistrimit bibliografik dhe katalogimit të përbashkët online për të gjithë E</w:t>
      </w:r>
      <w:r>
        <w:rPr>
          <w:rFonts w:eastAsia="Tw Cen MT"/>
          <w:kern w:val="24"/>
        </w:rPr>
        <w:t>u</w:t>
      </w:r>
      <w:r w:rsidRPr="00EE2DE7">
        <w:rPr>
          <w:rFonts w:eastAsia="Tw Cen MT"/>
          <w:kern w:val="24"/>
        </w:rPr>
        <w:t>ropën Juglindore. </w:t>
      </w:r>
    </w:p>
    <w:p w:rsidR="000B2E51" w:rsidRPr="00EE2DE7" w:rsidRDefault="000B2E51" w:rsidP="000B2E51">
      <w:pPr>
        <w:spacing w:line="276" w:lineRule="auto"/>
        <w:ind w:firstLine="720"/>
        <w:jc w:val="both"/>
        <w:rPr>
          <w:rFonts w:eastAsia="Tw Cen MT"/>
          <w:kern w:val="24"/>
        </w:rPr>
      </w:pPr>
      <w:r w:rsidRPr="00EE2DE7">
        <w:rPr>
          <w:rFonts w:eastAsia="Tw Cen MT"/>
          <w:kern w:val="24"/>
        </w:rPr>
        <w:t xml:space="preserve">Biblioteka e Shkollës së Magjistraturës si rrjedhojë e kërkesës së vazhdueshme të studentëve, pedagogëve dhe ekspertëve të drejtësisë, të cilët nuk janë në marrëdhënie me Shkollën, ka hapur dyert e saj për të ofruar shërbimin e leximit në sallë. Vihet re një interes i vazhdueshëm dhe i shtuar i personave jo-anëtarë të bibliotekës për leximin e temave të magjistratëve të vitit të dytë. Në të gjitha rastet, pavarësisht kapaciteteve të pakta infrastrukturore të Bibliotekës, është mundësuar shërbimi i leximit në sallë dhe është mbajtur evidenca për lexueshmërinë e secilës temë. </w:t>
      </w:r>
    </w:p>
    <w:p w:rsidR="000B2E51" w:rsidRPr="00EE2DE7" w:rsidRDefault="000B2E51" w:rsidP="000B2E51">
      <w:pPr>
        <w:spacing w:line="276" w:lineRule="auto"/>
        <w:ind w:firstLine="720"/>
        <w:jc w:val="both"/>
        <w:rPr>
          <w:rFonts w:eastAsia="Tw Cen MT"/>
          <w:kern w:val="24"/>
        </w:rPr>
      </w:pPr>
      <w:r w:rsidRPr="00EE2DE7">
        <w:rPr>
          <w:rFonts w:eastAsia="Tw Cen MT"/>
          <w:kern w:val="24"/>
        </w:rPr>
        <w:t>Zhvillimi dhe përmirësimi i vazhdueshëm i bibliotekës, e cila është thelbësore për magjistratët që kryejnë Formimin Fillestar dhe Vazhdues, si edhe qenien e një burimi për të diplomuarit (në rastin tonë për gjyqtarët dhe prokurorët) dhe të tjerët është prioritet i Shkollës. Prioritetet tona afatshkurtra, për bibliotekën përfshijnë përdorimin e teknologjive elektronike, pasurimin e bibliotekës me materiale shqiptare e të huaja për të përballuar kurset e reja që do të zhvillohen dhe thellimin e lidhjeve tona me bibliotekat e shkollave e</w:t>
      </w:r>
      <w:r>
        <w:rPr>
          <w:rFonts w:eastAsia="Tw Cen MT"/>
          <w:kern w:val="24"/>
        </w:rPr>
        <w:t>u</w:t>
      </w:r>
      <w:r w:rsidRPr="00EE2DE7">
        <w:rPr>
          <w:rFonts w:eastAsia="Tw Cen MT"/>
          <w:kern w:val="24"/>
        </w:rPr>
        <w:t>ropiane të magjistraturës dhe institucioneve të tjera ligjore. Prioritet do të jetë sigurimi i aksesit në biblioteka dhe database online.</w:t>
      </w:r>
    </w:p>
    <w:p w:rsidR="000B2E51" w:rsidRPr="00EE2DE7" w:rsidRDefault="000B2E51" w:rsidP="000B2E51">
      <w:pPr>
        <w:spacing w:line="276" w:lineRule="auto"/>
        <w:ind w:firstLine="720"/>
        <w:jc w:val="both"/>
        <w:rPr>
          <w:rFonts w:eastAsia="Tw Cen MT"/>
          <w:kern w:val="24"/>
        </w:rPr>
      </w:pPr>
      <w:r w:rsidRPr="00EE2DE7">
        <w:rPr>
          <w:rFonts w:eastAsia="Tw Cen MT"/>
          <w:kern w:val="24"/>
        </w:rPr>
        <w:t>Në bibliotekën tonë, do t’i kushtojmë përpjekje katalogimit të burimeve tona në përputhje me praktikat standarde të bibliotekave, duke vazhduar të shfrytëzojmë teknologjitë e reja dhe duke qenë një shërbim mbështetjeje efikas për sektorët ose departamentet e reja për botim dhe punë kërkimore.</w:t>
      </w:r>
    </w:p>
    <w:p w:rsidR="000B2E51" w:rsidRDefault="000B2E51" w:rsidP="00386F89">
      <w:pPr>
        <w:tabs>
          <w:tab w:val="left" w:pos="10260"/>
        </w:tabs>
        <w:ind w:firstLine="360"/>
        <w:jc w:val="both"/>
      </w:pPr>
    </w:p>
    <w:p w:rsidR="000B2E51" w:rsidRDefault="000B2E51" w:rsidP="00386F89">
      <w:pPr>
        <w:tabs>
          <w:tab w:val="left" w:pos="10260"/>
        </w:tabs>
        <w:ind w:firstLine="360"/>
        <w:jc w:val="both"/>
      </w:pPr>
    </w:p>
    <w:p w:rsidR="000B2E51" w:rsidRDefault="000B2E51"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B2E51" w:rsidRDefault="000B2E51" w:rsidP="00386F89">
      <w:pPr>
        <w:tabs>
          <w:tab w:val="left" w:pos="10260"/>
        </w:tabs>
        <w:ind w:firstLine="360"/>
        <w:jc w:val="both"/>
      </w:pPr>
    </w:p>
    <w:p w:rsidR="000B2E51" w:rsidRDefault="000B2E51" w:rsidP="00386F89">
      <w:pPr>
        <w:tabs>
          <w:tab w:val="left" w:pos="10260"/>
        </w:tabs>
        <w:ind w:firstLine="360"/>
        <w:jc w:val="both"/>
      </w:pPr>
    </w:p>
    <w:p w:rsidR="000B2E51" w:rsidRDefault="000B2E51" w:rsidP="00386F89">
      <w:pPr>
        <w:tabs>
          <w:tab w:val="left" w:pos="10260"/>
        </w:tabs>
        <w:ind w:firstLine="360"/>
        <w:jc w:val="both"/>
      </w:pPr>
    </w:p>
    <w:p w:rsidR="000B2E51" w:rsidRDefault="000B2E51" w:rsidP="00386F89">
      <w:pPr>
        <w:tabs>
          <w:tab w:val="left" w:pos="10260"/>
        </w:tabs>
        <w:ind w:firstLine="360"/>
        <w:jc w:val="both"/>
      </w:pPr>
    </w:p>
    <w:p w:rsidR="00E57AC8" w:rsidRDefault="00E57AC8" w:rsidP="00386F89">
      <w:pPr>
        <w:tabs>
          <w:tab w:val="left" w:pos="10260"/>
        </w:tabs>
        <w:ind w:firstLine="360"/>
        <w:jc w:val="both"/>
      </w:pPr>
    </w:p>
    <w:p w:rsidR="00E57AC8" w:rsidRDefault="00CF3AE0" w:rsidP="00386F89">
      <w:pPr>
        <w:tabs>
          <w:tab w:val="left" w:pos="10260"/>
        </w:tabs>
        <w:ind w:firstLine="360"/>
        <w:jc w:val="both"/>
      </w:pPr>
      <w:r>
        <w:rPr>
          <w:noProof/>
          <w:lang w:eastAsia="en-US"/>
        </w:rPr>
        <w:lastRenderedPageBreak/>
        <w:pict>
          <v:rect id="_x0000_s1087" style="position:absolute;left:0;text-align:left;margin-left:-.75pt;margin-top:3.45pt;width:602.05pt;height:49.05pt;z-index:2517550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" fillcolor="#4f81bd" stroked="f" strokeweight="2pt">
            <v:textbox>
              <w:txbxContent>
                <w:p w:rsidR="005372E3" w:rsidRPr="0001543C" w:rsidRDefault="005372E3" w:rsidP="0001543C">
                  <w:pPr>
                    <w:rPr>
                      <w:sz w:val="16"/>
                      <w:szCs w:val="56"/>
                    </w:rPr>
                  </w:pPr>
                  <w:r w:rsidRPr="0001543C">
                    <w:rPr>
                      <w:b/>
                      <w:color w:val="FFFFFF" w:themeColor="background1"/>
                      <w:sz w:val="40"/>
                      <w:szCs w:val="56"/>
                    </w:rPr>
                    <w:t>5. PËRDORIMI I TEKNOLOGJISË SË PËRPARUAR TË INFORMACIONIT</w:t>
                  </w:r>
                </w:p>
              </w:txbxContent>
            </v:textbox>
          </v:rect>
        </w:pict>
      </w: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Pr="0001543C" w:rsidRDefault="0001543C" w:rsidP="0001543C">
      <w:pPr>
        <w:spacing w:line="276" w:lineRule="auto"/>
        <w:jc w:val="both"/>
        <w:rPr>
          <w:b/>
          <w:noProof/>
          <w:color w:val="CC9966" w:themeColor="accent2"/>
          <w:sz w:val="32"/>
          <w:lang w:eastAsia="en-US"/>
        </w:rPr>
      </w:pPr>
      <w:r w:rsidRPr="0001543C">
        <w:rPr>
          <w:b/>
          <w:noProof/>
          <w:color w:val="CC9966" w:themeColor="accent2"/>
          <w:sz w:val="32"/>
          <w:lang w:eastAsia="en-US"/>
        </w:rPr>
        <w:t xml:space="preserve">5.1. Aksesi në faqen zyrtare të Shkollës së Magjistraturës </w:t>
      </w:r>
    </w:p>
    <w:p w:rsidR="0001543C" w:rsidRDefault="0001543C" w:rsidP="0001543C">
      <w:pPr>
        <w:tabs>
          <w:tab w:val="left" w:pos="10260"/>
        </w:tabs>
        <w:jc w:val="both"/>
      </w:pPr>
    </w:p>
    <w:p w:rsidR="0001543C" w:rsidRPr="0001543C" w:rsidRDefault="0001543C" w:rsidP="0001543C">
      <w:pPr>
        <w:spacing w:line="276" w:lineRule="auto"/>
        <w:jc w:val="both"/>
        <w:rPr>
          <w:rFonts w:ascii="Calibri" w:eastAsia="Calibri" w:hAnsi="Calibri"/>
          <w:kern w:val="24"/>
          <w:sz w:val="23"/>
          <w:szCs w:val="23"/>
        </w:rPr>
      </w:pPr>
      <w:r w:rsidRPr="00EE2DE7">
        <w:rPr>
          <w:rFonts w:eastAsia="Calibri"/>
          <w:kern w:val="24"/>
          <w:szCs w:val="23"/>
        </w:rPr>
        <w:t xml:space="preserve">Shkolla e Magjistraturës ka siguruar akses në internet dhe gjithashtu ka faqen e saj zyrtare në shqip dhe anglisht me adresë: </w:t>
      </w:r>
      <w:hyperlink r:id="rId44" w:history="1">
        <w:r w:rsidRPr="001F38D0">
          <w:rPr>
            <w:rFonts w:eastAsia="Calibri"/>
            <w:b/>
            <w:i/>
            <w:color w:val="2E74B5"/>
            <w:kern w:val="24"/>
            <w:szCs w:val="23"/>
          </w:rPr>
          <w:t>www.magjistratura.edu.al</w:t>
        </w:r>
      </w:hyperlink>
      <w:r w:rsidRPr="00EE2DE7">
        <w:rPr>
          <w:rFonts w:eastAsia="Calibri"/>
          <w:color w:val="2E74B5"/>
          <w:kern w:val="24"/>
          <w:szCs w:val="23"/>
        </w:rPr>
        <w:t xml:space="preserve"> </w:t>
      </w:r>
      <w:r w:rsidRPr="00EE2DE7">
        <w:rPr>
          <w:rFonts w:eastAsia="Calibri"/>
          <w:kern w:val="24"/>
          <w:szCs w:val="23"/>
        </w:rPr>
        <w:t>Faqja e internetit është mirëmbajtur në mënyrë të vazhdueshme në përmbajtje dhe në konfigurim.</w:t>
      </w:r>
    </w:p>
    <w:p w:rsidR="0001543C" w:rsidRPr="00EE2DE7" w:rsidRDefault="0001543C" w:rsidP="0001543C">
      <w:pPr>
        <w:spacing w:line="276" w:lineRule="auto"/>
        <w:ind w:firstLine="720"/>
        <w:jc w:val="both"/>
        <w:rPr>
          <w:rFonts w:eastAsia="Calibri"/>
          <w:kern w:val="24"/>
          <w:szCs w:val="23"/>
        </w:rPr>
      </w:pPr>
      <w:r w:rsidRPr="00EE2DE7">
        <w:rPr>
          <w:rFonts w:eastAsia="Calibri"/>
          <w:kern w:val="24"/>
          <w:szCs w:val="23"/>
        </w:rPr>
        <w:t xml:space="preserve">Në faqen e </w:t>
      </w:r>
      <w:r>
        <w:rPr>
          <w:rFonts w:eastAsia="Calibri"/>
          <w:kern w:val="24"/>
          <w:szCs w:val="23"/>
        </w:rPr>
        <w:t>i</w:t>
      </w:r>
      <w:r w:rsidRPr="00EE2DE7">
        <w:rPr>
          <w:rFonts w:eastAsia="Calibri"/>
          <w:kern w:val="24"/>
          <w:szCs w:val="23"/>
        </w:rPr>
        <w:t>nternetit përditësohen informacione të ndryshme që i vijnë në ndihmë çdo përdoruesi, duke filluar me një prezantim të përmbledhur për Shkollën te rubrika “</w:t>
      </w:r>
      <w:r w:rsidRPr="00EE2DE7">
        <w:rPr>
          <w:rFonts w:eastAsia="Calibri"/>
          <w:b/>
          <w:i/>
          <w:kern w:val="24"/>
          <w:szCs w:val="23"/>
        </w:rPr>
        <w:t>Rreth nesh</w:t>
      </w:r>
      <w:r w:rsidRPr="00EE2DE7">
        <w:rPr>
          <w:rFonts w:eastAsia="Calibri"/>
          <w:kern w:val="24"/>
          <w:szCs w:val="23"/>
        </w:rPr>
        <w:t>”, ligjet që rregullojnë aktivitetin e saj, Rregulloren e Shkollës, programet mësimore, raportet vjetore, organet vendimmarrëse, pasqyrimi i aktiviteteve që organizohen në Shkollën e Magjistraturës, Programi i Trajnimit të Vazhduar së bashku me një kalendar vjetor me datat e seminareve, informacion në lidhje me konkursin që zhvillohet në Shkollën e Magjistraturës për prokurorë dhe gjyqtarë, mënyra e organizimit të konkursit, programin e konkursit, rezultatet përfundimtare si dhe emërimet e kandidateve për magjistratë që nga brezi i parë që ka mbaruar në këtë Shkollë, përmbledhje të temave të punuara nga studentët, të dhëna për botimet dhe për revistën “</w:t>
      </w:r>
      <w:r w:rsidRPr="001F38D0">
        <w:rPr>
          <w:rFonts w:eastAsia="Calibri"/>
          <w:i/>
          <w:kern w:val="24"/>
          <w:szCs w:val="23"/>
        </w:rPr>
        <w:t>Jeta Juridike</w:t>
      </w:r>
      <w:r w:rsidRPr="00EE2DE7">
        <w:rPr>
          <w:rFonts w:eastAsia="Calibri"/>
          <w:kern w:val="24"/>
          <w:szCs w:val="23"/>
        </w:rPr>
        <w:t xml:space="preserve">”, të dhëna për projektet e zhvilluara me partnerët ndërkombëtarë dhe arkiva në të cilën hidhen vendimet e Këshillit Drejtues. </w:t>
      </w:r>
    </w:p>
    <w:p w:rsidR="0001543C" w:rsidRPr="00CE2DD0" w:rsidRDefault="0001543C" w:rsidP="0001543C">
      <w:pPr>
        <w:spacing w:line="276" w:lineRule="auto"/>
        <w:ind w:firstLine="720"/>
        <w:jc w:val="both"/>
        <w:rPr>
          <w:rFonts w:eastAsia="Calibri"/>
          <w:kern w:val="24"/>
          <w:szCs w:val="23"/>
        </w:rPr>
      </w:pPr>
      <w:r w:rsidRPr="00CE2DD0">
        <w:rPr>
          <w:rFonts w:eastAsia="Calibri"/>
          <w:kern w:val="24"/>
          <w:szCs w:val="23"/>
        </w:rPr>
        <w:t xml:space="preserve">Këtë vit është shtuar rubrika </w:t>
      </w:r>
      <w:r w:rsidRPr="00CE2DD0">
        <w:rPr>
          <w:rFonts w:eastAsia="Calibri"/>
          <w:b/>
          <w:i/>
          <w:kern w:val="24"/>
          <w:szCs w:val="23"/>
        </w:rPr>
        <w:t>“Programi i Rivlerësimit (VETING)”</w:t>
      </w:r>
      <w:r w:rsidRPr="00CE2DD0">
        <w:rPr>
          <w:rFonts w:eastAsia="Calibri"/>
          <w:kern w:val="24"/>
          <w:szCs w:val="23"/>
        </w:rPr>
        <w:t xml:space="preserve">, në sajë të ligjit nr. 84 të vitit 2016 “Mbi rivlerësimin kalimtar të gjyqtarëve dhe prokurorëve në Republikën e Shqipërisë”, e cila jep informacion për programin dhe kriteret e testimit të aftësive profesionale. </w:t>
      </w:r>
    </w:p>
    <w:p w:rsidR="0001543C" w:rsidRPr="00EE2DE7" w:rsidRDefault="0001543C" w:rsidP="0001543C">
      <w:pPr>
        <w:spacing w:line="276" w:lineRule="auto"/>
        <w:ind w:firstLine="720"/>
        <w:jc w:val="both"/>
        <w:rPr>
          <w:rFonts w:eastAsia="Calibri"/>
          <w:kern w:val="24"/>
          <w:szCs w:val="23"/>
        </w:rPr>
      </w:pPr>
      <w:r w:rsidRPr="00EE2DE7">
        <w:rPr>
          <w:rFonts w:eastAsia="Calibri"/>
          <w:kern w:val="24"/>
          <w:szCs w:val="23"/>
        </w:rPr>
        <w:t>Rubrika “</w:t>
      </w:r>
      <w:r w:rsidRPr="00EE2DE7">
        <w:rPr>
          <w:rFonts w:eastAsia="Calibri"/>
          <w:b/>
          <w:i/>
          <w:kern w:val="24"/>
          <w:szCs w:val="23"/>
        </w:rPr>
        <w:t>Njoftime</w:t>
      </w:r>
      <w:r w:rsidRPr="00EE2DE7">
        <w:rPr>
          <w:rFonts w:eastAsia="Calibri"/>
          <w:kern w:val="24"/>
          <w:szCs w:val="23"/>
        </w:rPr>
        <w:t>” pasqyron njoftimet më të fundit ose informacionet që duhen vënë në dukje për shkak të detyrimeve që ka Shkolla në zbatim të parimit të transparencës dhe bashkëpunimeve me organet e tjera publike. Këto njoftime së bashku me aktivitet arkivohen te rubrika “</w:t>
      </w:r>
      <w:r w:rsidRPr="00EE2DE7">
        <w:rPr>
          <w:rFonts w:eastAsia="Calibri"/>
          <w:b/>
          <w:i/>
          <w:kern w:val="24"/>
          <w:szCs w:val="23"/>
        </w:rPr>
        <w:t>Arkiva</w:t>
      </w:r>
      <w:r w:rsidRPr="00EE2DE7">
        <w:rPr>
          <w:rFonts w:eastAsia="Calibri"/>
          <w:kern w:val="24"/>
          <w:szCs w:val="23"/>
        </w:rPr>
        <w:t>”.</w:t>
      </w:r>
    </w:p>
    <w:p w:rsidR="0001543C" w:rsidRPr="00EE2DE7" w:rsidRDefault="0001543C" w:rsidP="0001543C">
      <w:pPr>
        <w:spacing w:line="276" w:lineRule="auto"/>
        <w:ind w:firstLine="720"/>
        <w:jc w:val="both"/>
        <w:rPr>
          <w:rFonts w:eastAsia="Calibri"/>
          <w:kern w:val="24"/>
          <w:szCs w:val="23"/>
        </w:rPr>
      </w:pPr>
      <w:r w:rsidRPr="00EE2DE7">
        <w:rPr>
          <w:rFonts w:eastAsia="Calibri"/>
          <w:kern w:val="24"/>
          <w:szCs w:val="23"/>
        </w:rPr>
        <w:t>Shkolla i kushton shumë rëndësi pasqyrimit të aktiviteteve të saj në rubrikën “</w:t>
      </w:r>
      <w:r w:rsidRPr="00EE2DE7">
        <w:rPr>
          <w:rFonts w:eastAsia="Calibri"/>
          <w:b/>
          <w:i/>
          <w:kern w:val="24"/>
          <w:szCs w:val="23"/>
        </w:rPr>
        <w:t xml:space="preserve">Aktiviteti i </w:t>
      </w:r>
      <w:r>
        <w:rPr>
          <w:rFonts w:eastAsia="Calibri"/>
          <w:b/>
          <w:i/>
          <w:kern w:val="24"/>
          <w:szCs w:val="23"/>
        </w:rPr>
        <w:t>f</w:t>
      </w:r>
      <w:r w:rsidRPr="00EE2DE7">
        <w:rPr>
          <w:rFonts w:eastAsia="Calibri"/>
          <w:b/>
          <w:i/>
          <w:kern w:val="24"/>
          <w:szCs w:val="23"/>
        </w:rPr>
        <w:t>undit</w:t>
      </w:r>
      <w:r w:rsidRPr="00EE2DE7">
        <w:rPr>
          <w:rFonts w:eastAsia="Calibri"/>
          <w:kern w:val="24"/>
          <w:szCs w:val="23"/>
        </w:rPr>
        <w:t>”, në mënyrë që të bëhet publik dhe transparent çdo aktivitet i saj, vizita studimore ndërkombëtare pranë institucioneve, gjykatave dhe organeve të drejtësisë të vendeve të Bashkimit E</w:t>
      </w:r>
      <w:r>
        <w:rPr>
          <w:rFonts w:eastAsia="Calibri"/>
          <w:kern w:val="24"/>
          <w:szCs w:val="23"/>
        </w:rPr>
        <w:t>u</w:t>
      </w:r>
      <w:r w:rsidRPr="00EE2DE7">
        <w:rPr>
          <w:rFonts w:eastAsia="Calibri"/>
          <w:kern w:val="24"/>
          <w:szCs w:val="23"/>
        </w:rPr>
        <w:t>ropian, por njëkohësisht të rrisë interesin e publikut për Shkollën. Për realizimin e këtij funksioni është krijuar një rubrikë “</w:t>
      </w:r>
      <w:r w:rsidRPr="00EE2DE7">
        <w:rPr>
          <w:rFonts w:eastAsia="Calibri"/>
          <w:b/>
          <w:i/>
          <w:kern w:val="24"/>
          <w:szCs w:val="23"/>
        </w:rPr>
        <w:t>Foto Galeri</w:t>
      </w:r>
      <w:r w:rsidRPr="00EE2DE7">
        <w:rPr>
          <w:rFonts w:eastAsia="Calibri"/>
          <w:kern w:val="24"/>
          <w:szCs w:val="23"/>
        </w:rPr>
        <w:t>”, ku pasqyrohen vetëm fotografi të aktiviteteve më të fundit të Shkollës.</w:t>
      </w:r>
    </w:p>
    <w:p w:rsidR="0001543C" w:rsidRPr="00EE2DE7" w:rsidRDefault="0001543C" w:rsidP="0001543C">
      <w:pPr>
        <w:spacing w:line="276" w:lineRule="auto"/>
        <w:jc w:val="both"/>
        <w:rPr>
          <w:rFonts w:eastAsia="Calibri"/>
          <w:kern w:val="24"/>
          <w:szCs w:val="23"/>
        </w:rPr>
      </w:pPr>
    </w:p>
    <w:p w:rsidR="0001543C" w:rsidRDefault="0001543C" w:rsidP="0001543C">
      <w:pPr>
        <w:spacing w:line="276" w:lineRule="auto"/>
        <w:jc w:val="both"/>
        <w:rPr>
          <w:rFonts w:ascii="Tw Cen MT" w:eastAsia="Calibri" w:hAnsi="Tw Cen MT"/>
          <w:b/>
          <w:color w:val="1F4E79"/>
          <w:spacing w:val="20"/>
          <w:kern w:val="24"/>
          <w:szCs w:val="28"/>
        </w:rPr>
      </w:pPr>
      <w:r w:rsidRPr="0001543C">
        <w:rPr>
          <w:b/>
          <w:noProof/>
          <w:color w:val="CC9966" w:themeColor="accent2"/>
          <w:sz w:val="32"/>
          <w:lang w:eastAsia="en-US"/>
        </w:rPr>
        <w:t>5.2</w:t>
      </w:r>
      <w:r>
        <w:rPr>
          <w:b/>
          <w:noProof/>
          <w:color w:val="CC9966" w:themeColor="accent2"/>
          <w:sz w:val="32"/>
          <w:lang w:eastAsia="en-US"/>
        </w:rPr>
        <w:t xml:space="preserve">. </w:t>
      </w:r>
      <w:r w:rsidRPr="0001543C">
        <w:rPr>
          <w:b/>
          <w:noProof/>
          <w:color w:val="CC9966" w:themeColor="accent2"/>
          <w:sz w:val="32"/>
          <w:lang w:eastAsia="en-US"/>
        </w:rPr>
        <w:t xml:space="preserve"> Sistemet dhe pajisjet teknologjike</w:t>
      </w:r>
      <w:r>
        <w:rPr>
          <w:rFonts w:ascii="Tw Cen MT" w:eastAsia="Calibri" w:hAnsi="Tw Cen MT"/>
          <w:b/>
          <w:color w:val="1F4E79"/>
          <w:spacing w:val="20"/>
          <w:kern w:val="24"/>
          <w:sz w:val="28"/>
          <w:szCs w:val="28"/>
        </w:rPr>
        <w:tab/>
      </w:r>
    </w:p>
    <w:p w:rsidR="0001543C" w:rsidRPr="001F38D0" w:rsidRDefault="0001543C" w:rsidP="0001543C">
      <w:pPr>
        <w:spacing w:line="276" w:lineRule="auto"/>
        <w:contextualSpacing/>
        <w:outlineLvl w:val="1"/>
        <w:rPr>
          <w:rFonts w:ascii="Tw Cen MT" w:eastAsia="Calibri" w:hAnsi="Tw Cen MT"/>
          <w:b/>
          <w:color w:val="1F4E79"/>
          <w:spacing w:val="20"/>
          <w:kern w:val="24"/>
          <w:szCs w:val="28"/>
        </w:rPr>
      </w:pPr>
    </w:p>
    <w:p w:rsidR="0001543C" w:rsidRPr="00EE2DE7" w:rsidRDefault="0001543C" w:rsidP="0001543C">
      <w:pPr>
        <w:spacing w:line="276" w:lineRule="auto"/>
        <w:jc w:val="both"/>
        <w:rPr>
          <w:rFonts w:eastAsia="Calibri"/>
          <w:kern w:val="24"/>
        </w:rPr>
      </w:pPr>
      <w:r w:rsidRPr="00CE2DD0">
        <w:rPr>
          <w:rFonts w:eastAsia="Calibri"/>
          <w:kern w:val="24"/>
        </w:rPr>
        <w:t xml:space="preserve">Stafi i institucionit tonë përdor një teknologji të përparuar. </w:t>
      </w:r>
      <w:r w:rsidRPr="00CE2DD0">
        <w:rPr>
          <w:rFonts w:eastAsia="Calibri"/>
          <w:kern w:val="24"/>
          <w:szCs w:val="23"/>
        </w:rPr>
        <w:t xml:space="preserve">Është siguruar aksesi </w:t>
      </w:r>
      <w:r w:rsidRPr="00CE2DD0">
        <w:rPr>
          <w:rFonts w:eastAsia="Calibri"/>
          <w:i/>
          <w:kern w:val="24"/>
          <w:szCs w:val="23"/>
        </w:rPr>
        <w:t>wireless</w:t>
      </w:r>
      <w:r w:rsidRPr="00CE2DD0">
        <w:rPr>
          <w:rFonts w:eastAsia="Calibri"/>
          <w:kern w:val="24"/>
          <w:szCs w:val="23"/>
        </w:rPr>
        <w:t xml:space="preserve"> i internetit në të gjithë institucionin nëpërmjet router-ave mikrotikë, të cilët janë të menaxhueshëm si një i vetëm, me SSID: Shkolla e Magjistraturës.</w:t>
      </w:r>
      <w:r w:rsidRPr="00CE2DD0">
        <w:rPr>
          <w:rFonts w:eastAsia="Calibri"/>
          <w:kern w:val="24"/>
        </w:rPr>
        <w:t xml:space="preserve"> Kompjuterat janë të parametrave të lartë, me </w:t>
      </w:r>
      <w:r w:rsidRPr="00CE2DD0">
        <w:rPr>
          <w:rFonts w:eastAsia="Calibri"/>
          <w:i/>
          <w:kern w:val="24"/>
        </w:rPr>
        <w:t>brandname</w:t>
      </w:r>
      <w:r w:rsidRPr="00CE2DD0">
        <w:rPr>
          <w:rFonts w:eastAsia="Calibri"/>
          <w:kern w:val="24"/>
        </w:rPr>
        <w:t xml:space="preserve"> (origjinale). Çdo student i vitit të parë është i pajisur</w:t>
      </w:r>
      <w:r w:rsidRPr="00EE2DE7">
        <w:rPr>
          <w:rFonts w:eastAsia="Calibri"/>
          <w:kern w:val="24"/>
        </w:rPr>
        <w:t xml:space="preserve"> me laptop, që të ketë mundësi të aksesojë internetin me </w:t>
      </w:r>
      <w:r w:rsidRPr="001F38D0">
        <w:rPr>
          <w:rFonts w:eastAsia="Calibri"/>
          <w:i/>
          <w:kern w:val="24"/>
        </w:rPr>
        <w:t>wireless</w:t>
      </w:r>
      <w:r w:rsidRPr="00EE2DE7">
        <w:rPr>
          <w:rFonts w:eastAsia="Calibri"/>
          <w:kern w:val="24"/>
        </w:rPr>
        <w:t xml:space="preserve"> për të realizuar detyrat që i lindin gjatë procesit mësimor.</w:t>
      </w:r>
    </w:p>
    <w:p w:rsidR="0001543C" w:rsidRPr="001F38D0" w:rsidRDefault="0001543C" w:rsidP="0001543C">
      <w:pPr>
        <w:spacing w:line="276" w:lineRule="auto"/>
        <w:ind w:firstLine="720"/>
        <w:jc w:val="both"/>
        <w:rPr>
          <w:rFonts w:eastAsia="Calibri"/>
          <w:b/>
          <w:i/>
          <w:color w:val="2E74B5"/>
          <w:kern w:val="24"/>
          <w:szCs w:val="23"/>
        </w:rPr>
      </w:pPr>
      <w:r w:rsidRPr="00EE2DE7">
        <w:rPr>
          <w:rFonts w:eastAsia="Calibri"/>
          <w:kern w:val="24"/>
          <w:szCs w:val="23"/>
        </w:rPr>
        <w:t xml:space="preserve">Shpejtësia e internetit është 100 Mbps me një infrastrukturë të fibrës optike. Kjo ka përmirësuar shpejtësinë e marrjes dhe të hedhjes së të dhënave të kërkuara. Lidhja mbështetëse realizohet me radio link </w:t>
      </w:r>
      <w:r w:rsidRPr="00EE2DE7">
        <w:rPr>
          <w:rFonts w:eastAsia="Calibri"/>
          <w:kern w:val="24"/>
          <w:szCs w:val="23"/>
        </w:rPr>
        <w:lastRenderedPageBreak/>
        <w:t xml:space="preserve">(10 Mbps). Shkolla ka një </w:t>
      </w:r>
      <w:r w:rsidRPr="001F38D0">
        <w:rPr>
          <w:rFonts w:eastAsia="Calibri"/>
          <w:i/>
          <w:kern w:val="24"/>
          <w:szCs w:val="23"/>
        </w:rPr>
        <w:t>MailServer</w:t>
      </w:r>
      <w:r w:rsidRPr="00EE2DE7">
        <w:rPr>
          <w:rFonts w:eastAsia="Calibri"/>
          <w:kern w:val="24"/>
          <w:szCs w:val="23"/>
        </w:rPr>
        <w:t xml:space="preserve"> të administrueshëm lokalisht me 50 adresa email-i me 50 GB për secilin dhe me 5 grupe e-mail</w:t>
      </w:r>
      <w:r>
        <w:rPr>
          <w:rFonts w:eastAsia="Calibri"/>
          <w:kern w:val="24"/>
          <w:szCs w:val="23"/>
        </w:rPr>
        <w:t>-esh</w:t>
      </w:r>
      <w:r w:rsidRPr="00EE2DE7">
        <w:rPr>
          <w:rFonts w:eastAsia="Calibri"/>
          <w:kern w:val="24"/>
          <w:szCs w:val="23"/>
        </w:rPr>
        <w:t xml:space="preserve"> të aksesueshëm në linkun e mëposhtëm: </w:t>
      </w:r>
      <w:hyperlink r:id="rId45" w:history="1">
        <w:r w:rsidRPr="0001543C">
          <w:rPr>
            <w:rFonts w:eastAsia="Calibri"/>
            <w:i/>
            <w:kern w:val="24"/>
            <w:szCs w:val="23"/>
          </w:rPr>
          <w:t>https://webmail.magjistratura.edu.al</w:t>
        </w:r>
      </w:hyperlink>
      <w:r w:rsidRPr="0001543C">
        <w:rPr>
          <w:rFonts w:eastAsia="Calibri"/>
          <w:i/>
          <w:kern w:val="24"/>
          <w:szCs w:val="23"/>
        </w:rPr>
        <w:t>.</w:t>
      </w:r>
    </w:p>
    <w:p w:rsidR="0001543C" w:rsidRPr="00CE2DD0" w:rsidRDefault="0001543C" w:rsidP="0001543C">
      <w:pPr>
        <w:spacing w:line="276" w:lineRule="auto"/>
        <w:ind w:firstLine="720"/>
        <w:jc w:val="both"/>
        <w:rPr>
          <w:rFonts w:eastAsia="Calibri"/>
          <w:kern w:val="24"/>
        </w:rPr>
      </w:pPr>
      <w:r w:rsidRPr="00EE2DE7">
        <w:rPr>
          <w:rFonts w:eastAsia="Calibri"/>
          <w:kern w:val="24"/>
        </w:rPr>
        <w:t>Çdo vit kompjuterat formatohen me sisteme shfrytëzimi sipas teknologjisë, p.sh. Sistem Shfrytëzimi të Wind</w:t>
      </w:r>
      <w:r>
        <w:rPr>
          <w:rFonts w:eastAsia="Calibri"/>
          <w:kern w:val="24"/>
        </w:rPr>
        <w:t>ows 10 dhe Paketën Office të licenc</w:t>
      </w:r>
      <w:r w:rsidRPr="00EE2DE7">
        <w:rPr>
          <w:rFonts w:eastAsia="Calibri"/>
          <w:kern w:val="24"/>
        </w:rPr>
        <w:t xml:space="preserve">uar me çelësa të marra nga Microsoft </w:t>
      </w:r>
      <w:r w:rsidRPr="00CE2DD0">
        <w:rPr>
          <w:rFonts w:eastAsia="Calibri"/>
          <w:kern w:val="24"/>
        </w:rPr>
        <w:t>Corporation nëpërmjet AKSHI-t.</w:t>
      </w:r>
    </w:p>
    <w:p w:rsidR="0001543C" w:rsidRPr="00CE2DD0" w:rsidRDefault="0001543C" w:rsidP="0001543C">
      <w:pPr>
        <w:spacing w:line="276" w:lineRule="auto"/>
        <w:ind w:firstLine="720"/>
        <w:rPr>
          <w:rFonts w:eastAsia="Calibri"/>
          <w:kern w:val="24"/>
        </w:rPr>
      </w:pPr>
      <w:r w:rsidRPr="00CE2DD0">
        <w:rPr>
          <w:rFonts w:eastAsia="Calibri"/>
          <w:kern w:val="24"/>
        </w:rPr>
        <w:t>Për realizimin e provimit të pranimit të Shkollës së Magjistraturës (për fazën e parë) përdoret pajisja e scan tron-it e dhuruar nga Zyra e INL-s në Ambasadën Amerikane dhe OPDAT.</w:t>
      </w:r>
    </w:p>
    <w:p w:rsidR="0001543C" w:rsidRPr="00CE2DD0" w:rsidRDefault="0001543C" w:rsidP="0001543C">
      <w:pPr>
        <w:spacing w:line="276" w:lineRule="auto"/>
        <w:ind w:firstLine="720"/>
        <w:jc w:val="both"/>
        <w:rPr>
          <w:rFonts w:eastAsia="Calibri"/>
          <w:kern w:val="24"/>
        </w:rPr>
      </w:pPr>
      <w:r w:rsidRPr="00CE2DD0">
        <w:rPr>
          <w:rFonts w:eastAsia="Calibri"/>
          <w:kern w:val="24"/>
        </w:rPr>
        <w:t xml:space="preserve">Në sallën e konferencave sistemi i përkthimit dhe dëgjimit është me pajisje të reja bashkëkohore, për një kapacitet më të madh pjesëmarrësish në trajnime dhe për eficencë më të lartë. Ky sistem është konfiguruar dhe me sistemin e ri të trajnimit në distancë E-learning, në mënyrë që trajnimet që do të zhvillohen nëpërmjet platformës VidyoOne të kenë një akustikë normale në sallë. </w:t>
      </w:r>
    </w:p>
    <w:p w:rsidR="0001543C" w:rsidRPr="00CE2DD0" w:rsidRDefault="0001543C" w:rsidP="0001543C">
      <w:pPr>
        <w:spacing w:line="276" w:lineRule="auto"/>
        <w:ind w:firstLine="720"/>
        <w:rPr>
          <w:rFonts w:eastAsia="Calibri"/>
          <w:kern w:val="24"/>
        </w:rPr>
      </w:pPr>
      <w:r w:rsidRPr="00CE2DD0">
        <w:rPr>
          <w:rFonts w:eastAsia="Calibri"/>
          <w:kern w:val="24"/>
        </w:rPr>
        <w:t>Për arsye të kompletimit të stafit të ri dhe mbarëvajtjes së punës së përditshme, këtë vit nga buxheti i planifikuar për blerjen e pajisjeve teknologjike janë shtuar këto pajisje fizike:</w:t>
      </w:r>
    </w:p>
    <w:p w:rsidR="0001543C" w:rsidRPr="00CE2DD0" w:rsidRDefault="0001543C" w:rsidP="0001543C">
      <w:pPr>
        <w:numPr>
          <w:ilvl w:val="0"/>
          <w:numId w:val="40"/>
        </w:numPr>
        <w:spacing w:line="276" w:lineRule="auto"/>
        <w:contextualSpacing/>
        <w:jc w:val="both"/>
        <w:rPr>
          <w:rFonts w:eastAsia="Calibri"/>
          <w:kern w:val="24"/>
        </w:rPr>
      </w:pPr>
      <w:r w:rsidRPr="00CE2DD0">
        <w:rPr>
          <w:rFonts w:eastAsia="Calibri"/>
          <w:kern w:val="24"/>
        </w:rPr>
        <w:t xml:space="preserve">Laptop Acer Aspire 3 </w:t>
      </w:r>
      <w:bookmarkStart w:id="3" w:name="OLE_LINK14"/>
      <w:bookmarkStart w:id="4" w:name="OLE_LINK15"/>
      <w:r w:rsidRPr="00CE2DD0">
        <w:rPr>
          <w:rFonts w:eastAsia="Calibri"/>
          <w:kern w:val="24"/>
        </w:rPr>
        <w:t>me sistem shfrytëzimi Windows 10 Home 64-bit, me procesor Intel Core i5-</w:t>
      </w:r>
      <w:bookmarkEnd w:id="3"/>
      <w:bookmarkEnd w:id="4"/>
      <w:r w:rsidRPr="00CE2DD0">
        <w:rPr>
          <w:rFonts w:eastAsia="Calibri"/>
          <w:kern w:val="24"/>
        </w:rPr>
        <w:t>6200U 2.8 GHz dhe kartë grafike Intel HD Graphics 520, RAM: 8 GB, madhësia e hard diskut: 500 GB (1 copë).</w:t>
      </w:r>
    </w:p>
    <w:p w:rsidR="0001543C" w:rsidRPr="00CE2DD0" w:rsidRDefault="0001543C" w:rsidP="0001543C">
      <w:pPr>
        <w:numPr>
          <w:ilvl w:val="0"/>
          <w:numId w:val="40"/>
        </w:numPr>
        <w:spacing w:line="276" w:lineRule="auto"/>
        <w:contextualSpacing/>
        <w:jc w:val="both"/>
        <w:rPr>
          <w:rFonts w:eastAsia="Calibri"/>
          <w:kern w:val="24"/>
        </w:rPr>
      </w:pPr>
      <w:r w:rsidRPr="00CE2DD0">
        <w:rPr>
          <w:rFonts w:eastAsia="Calibri"/>
          <w:kern w:val="24"/>
        </w:rPr>
        <w:t>Kompjuter desktop Acer Veriton me sistem shfrytëzimi Windows 10 Home 64-bit, me procesor Intel Core i3-7100 CPU 3.91 GHz, RAM 4 GB dhe madhësia e hard diskut 500GB (5 copë).</w:t>
      </w:r>
    </w:p>
    <w:p w:rsidR="0001543C" w:rsidRPr="00CE2DD0" w:rsidRDefault="0001543C" w:rsidP="0001543C">
      <w:pPr>
        <w:numPr>
          <w:ilvl w:val="0"/>
          <w:numId w:val="40"/>
        </w:numPr>
        <w:spacing w:line="276" w:lineRule="auto"/>
        <w:contextualSpacing/>
        <w:rPr>
          <w:rFonts w:eastAsia="Calibri"/>
          <w:kern w:val="24"/>
        </w:rPr>
      </w:pPr>
      <w:r w:rsidRPr="00CE2DD0">
        <w:rPr>
          <w:rFonts w:eastAsia="Calibri"/>
          <w:kern w:val="24"/>
        </w:rPr>
        <w:t>Projektor Acer P5530,  DLP me rezolucion 1920x1080 dhe ndriçim 4000 ANSI Lumen (1 copë).</w:t>
      </w:r>
    </w:p>
    <w:p w:rsidR="0001543C" w:rsidRPr="00CE2DD0" w:rsidRDefault="0001543C" w:rsidP="0001543C">
      <w:pPr>
        <w:numPr>
          <w:ilvl w:val="0"/>
          <w:numId w:val="40"/>
        </w:numPr>
        <w:spacing w:line="276" w:lineRule="auto"/>
        <w:contextualSpacing/>
        <w:rPr>
          <w:rFonts w:eastAsia="Calibri"/>
          <w:kern w:val="24"/>
        </w:rPr>
      </w:pPr>
      <w:r w:rsidRPr="00CE2DD0">
        <w:rPr>
          <w:rFonts w:eastAsia="Calibri"/>
          <w:kern w:val="24"/>
        </w:rPr>
        <w:t>UPS Cyber Power 2000VA (1 copë) dhe SPSSL 1000VA (4 copë).</w:t>
      </w:r>
    </w:p>
    <w:p w:rsidR="0001543C" w:rsidRPr="00CE2DD0" w:rsidRDefault="0001543C" w:rsidP="0001543C">
      <w:pPr>
        <w:spacing w:line="276" w:lineRule="auto"/>
        <w:ind w:firstLine="720"/>
        <w:jc w:val="both"/>
        <w:rPr>
          <w:rFonts w:eastAsia="Calibri"/>
          <w:kern w:val="24"/>
        </w:rPr>
      </w:pPr>
      <w:r w:rsidRPr="00CE2DD0">
        <w:rPr>
          <w:rFonts w:eastAsia="Calibri"/>
          <w:kern w:val="24"/>
        </w:rPr>
        <w:t>Përveç këtyre janë kryer blerje dhe shërbime të vogla lindur nga nevoja dhe problemet e punës së përditshme, si për shembull; routera wireless mikrotik hap lite (4 copë), hard disk të jashtëm  2 TB (1 copë), tastierë, mouse, USB portabël 32GB (10 copë) riparime e pastrim printeri, riparim kompjuteri etj.</w:t>
      </w:r>
    </w:p>
    <w:p w:rsidR="0001543C" w:rsidRPr="00EE2DE7" w:rsidRDefault="0001543C" w:rsidP="0001543C">
      <w:pPr>
        <w:spacing w:line="276" w:lineRule="auto"/>
        <w:ind w:firstLine="720"/>
        <w:jc w:val="both"/>
        <w:rPr>
          <w:rFonts w:eastAsia="Calibri"/>
          <w:kern w:val="24"/>
        </w:rPr>
      </w:pPr>
      <w:r w:rsidRPr="00CE2DD0">
        <w:rPr>
          <w:rFonts w:eastAsia="Calibri"/>
          <w:kern w:val="24"/>
        </w:rPr>
        <w:t>Sa i takon sigurisë, mjediset e brendshme</w:t>
      </w:r>
      <w:r w:rsidRPr="00EE2DE7">
        <w:rPr>
          <w:rFonts w:eastAsia="Calibri"/>
          <w:kern w:val="24"/>
        </w:rPr>
        <w:t xml:space="preserve"> të Shkollës survejohen nga 7 kamera, regjistrimet e të cilave ruhen në 1(një) DVD recorder me hard-disk 4 TB. Është bërë e mundur hyrja e kontrolluar e stafit të brendshëm dhe e çdo individi për arsye sigurie, nëpërmjet një software-i të quajtur Matrix COSEC, i cili është në formën e një databaze që ruan dhe regjistron të gjitha hyrjet dhe daljet e një useri nëpërmjet kartave magnetike ose shenjës së gishtave. Gjithashtu, nëpërmjet tij mund të gjenerohen raporte të ndryshme në bazë të datës, llojit të usera-ve etj.</w:t>
      </w:r>
    </w:p>
    <w:p w:rsidR="0001543C" w:rsidRDefault="0001543C" w:rsidP="00386F89">
      <w:pPr>
        <w:tabs>
          <w:tab w:val="left" w:pos="10260"/>
        </w:tabs>
        <w:ind w:firstLine="360"/>
        <w:jc w:val="both"/>
      </w:pPr>
    </w:p>
    <w:p w:rsidR="0001543C" w:rsidRPr="0001543C" w:rsidRDefault="0001543C" w:rsidP="0001543C">
      <w:pPr>
        <w:spacing w:line="276" w:lineRule="auto"/>
        <w:jc w:val="both"/>
        <w:rPr>
          <w:b/>
          <w:noProof/>
          <w:color w:val="CC9966" w:themeColor="accent2"/>
          <w:sz w:val="32"/>
          <w:lang w:eastAsia="en-US"/>
        </w:rPr>
      </w:pPr>
      <w:r w:rsidRPr="0001543C">
        <w:rPr>
          <w:b/>
          <w:noProof/>
          <w:color w:val="CC9966" w:themeColor="accent2"/>
          <w:sz w:val="32"/>
          <w:lang w:eastAsia="en-US"/>
        </w:rPr>
        <w:t>5.3</w:t>
      </w:r>
      <w:r w:rsidR="009F23E3">
        <w:rPr>
          <w:b/>
          <w:noProof/>
          <w:color w:val="CC9966" w:themeColor="accent2"/>
          <w:sz w:val="32"/>
          <w:lang w:eastAsia="en-US"/>
        </w:rPr>
        <w:t>.</w:t>
      </w:r>
      <w:r w:rsidRPr="0001543C">
        <w:rPr>
          <w:b/>
          <w:noProof/>
          <w:color w:val="CC9966" w:themeColor="accent2"/>
          <w:sz w:val="32"/>
          <w:lang w:eastAsia="en-US"/>
        </w:rPr>
        <w:t xml:space="preserve"> Risia e teknologjisë: Platforma E-learning “Moodle”</w:t>
      </w:r>
    </w:p>
    <w:p w:rsidR="0001543C" w:rsidRDefault="0001543C" w:rsidP="0001543C">
      <w:pPr>
        <w:spacing w:line="276" w:lineRule="auto"/>
        <w:jc w:val="both"/>
        <w:rPr>
          <w:rFonts w:eastAsia="Calibri"/>
          <w:kern w:val="24"/>
          <w:szCs w:val="23"/>
        </w:rPr>
      </w:pPr>
    </w:p>
    <w:p w:rsidR="0001543C" w:rsidRPr="00EE2DE7" w:rsidRDefault="0001543C" w:rsidP="0001543C">
      <w:pPr>
        <w:spacing w:line="276" w:lineRule="auto"/>
        <w:jc w:val="both"/>
        <w:rPr>
          <w:rFonts w:eastAsia="Calibri"/>
          <w:kern w:val="24"/>
          <w:szCs w:val="23"/>
        </w:rPr>
      </w:pPr>
      <w:r w:rsidRPr="00EE2DE7">
        <w:rPr>
          <w:rFonts w:eastAsia="Calibri"/>
          <w:kern w:val="24"/>
          <w:szCs w:val="23"/>
        </w:rPr>
        <w:t xml:space="preserve">Shkolla e Magjistraturës ka në përdorim një sistem “open-source” të quajtur “moodle”, i cili përveç rolit që do të luajë si një databazë për ruajtjen e të dhënave për formimin profesional (Fillestar dhe të Vazhduar) do të krijojë mundësinë </w:t>
      </w:r>
      <w:r>
        <w:rPr>
          <w:rFonts w:eastAsia="Calibri"/>
          <w:kern w:val="24"/>
          <w:szCs w:val="23"/>
        </w:rPr>
        <w:t>e</w:t>
      </w:r>
      <w:r w:rsidRPr="00EE2DE7">
        <w:rPr>
          <w:rFonts w:eastAsia="Calibri"/>
          <w:kern w:val="24"/>
          <w:szCs w:val="23"/>
        </w:rPr>
        <w:t xml:space="preserve">dhe të një trajnimi në distancë e bashkëkohor të gjyqtarëve dhe prokurorëve apo jo vetëm, duke shkëmbyer eksperienca dhe informacione të ndërsjella në lidhje me legjislacionin kombëtar e ndërkombëtar, si dhe praktikat më të mira, me perspektivën e krijimit të një rrjeti të gjerë “online” përfshirë edhe Shkollat </w:t>
      </w:r>
      <w:r>
        <w:rPr>
          <w:rFonts w:eastAsia="Calibri"/>
          <w:kern w:val="24"/>
          <w:szCs w:val="23"/>
        </w:rPr>
        <w:t>simotra të Magjistraturës</w:t>
      </w:r>
      <w:r w:rsidRPr="00EE2DE7">
        <w:rPr>
          <w:rFonts w:eastAsia="Calibri"/>
          <w:kern w:val="24"/>
          <w:szCs w:val="23"/>
        </w:rPr>
        <w:t>.</w:t>
      </w:r>
    </w:p>
    <w:p w:rsidR="0001543C" w:rsidRPr="00EE2DE7" w:rsidRDefault="0001543C" w:rsidP="0001543C">
      <w:pPr>
        <w:spacing w:line="276" w:lineRule="auto"/>
        <w:ind w:firstLine="720"/>
        <w:jc w:val="both"/>
        <w:rPr>
          <w:rFonts w:eastAsia="Calibri"/>
          <w:kern w:val="24"/>
          <w:szCs w:val="23"/>
        </w:rPr>
      </w:pPr>
      <w:r w:rsidRPr="00EE2DE7">
        <w:rPr>
          <w:rFonts w:eastAsia="Calibri"/>
          <w:kern w:val="24"/>
          <w:szCs w:val="23"/>
        </w:rPr>
        <w:t>Metodologjia e sistemit “</w:t>
      </w:r>
      <w:r>
        <w:rPr>
          <w:rFonts w:eastAsia="Calibri"/>
          <w:kern w:val="24"/>
          <w:szCs w:val="23"/>
        </w:rPr>
        <w:t>E</w:t>
      </w:r>
      <w:r w:rsidRPr="00EE2DE7">
        <w:rPr>
          <w:rFonts w:eastAsia="Calibri"/>
          <w:kern w:val="24"/>
          <w:szCs w:val="23"/>
        </w:rPr>
        <w:t>-</w:t>
      </w:r>
      <w:r>
        <w:rPr>
          <w:rFonts w:eastAsia="Calibri"/>
          <w:kern w:val="24"/>
          <w:szCs w:val="23"/>
        </w:rPr>
        <w:t>l</w:t>
      </w:r>
      <w:r w:rsidRPr="00EE2DE7">
        <w:rPr>
          <w:rFonts w:eastAsia="Calibri"/>
          <w:kern w:val="24"/>
          <w:szCs w:val="23"/>
        </w:rPr>
        <w:t xml:space="preserve">earning” ka për qëllim të mësuarit nëpërmjet teknologjive elektronike, duke dalë jashtë kornizave të sistemit tradicional të të mësuarit, siç është zbatuar përgjatë viteve, ku </w:t>
      </w:r>
      <w:r w:rsidRPr="00EE2DE7">
        <w:rPr>
          <w:rFonts w:eastAsia="Calibri"/>
          <w:kern w:val="24"/>
          <w:szCs w:val="23"/>
        </w:rPr>
        <w:lastRenderedPageBreak/>
        <w:t xml:space="preserve">trajneri apo eksperti përcjell dijet e tij te një grup i kufizuar përfituesish brenda një salle apo klase. Ky sistem inovativ eliminon distancat midis atij që kërkon të marrë edukim dhe atij që e ofron edukimin. Përfitimi i dijeve “online” është një lehtësi, pasi redukton kostot dhe kursen kohë, duke u ardhur në ndihmë si Shkollës së Magjistraturës dhe grupeve të interesuara me fokus rritjen e produktivitetit. Ajo ofron edukim (video konferencë, trajnime, workshop-e apo forma të tjera interaktive edukimi të ndërtuara sipas </w:t>
      </w:r>
      <w:r>
        <w:rPr>
          <w:rFonts w:eastAsia="Calibri"/>
          <w:kern w:val="24"/>
          <w:szCs w:val="23"/>
        </w:rPr>
        <w:t>ku</w:t>
      </w:r>
      <w:r w:rsidRPr="00EE2DE7">
        <w:rPr>
          <w:rFonts w:eastAsia="Calibri"/>
          <w:kern w:val="24"/>
          <w:szCs w:val="23"/>
        </w:rPr>
        <w:t xml:space="preserve">rikulës bazë) në kohë reale, përfitim dijesh, si dhe ofron lexim të materialeve të kursit përkatës. Ndërveprimi mund të kryhet në kohë reale apo mund të përfitohet nëpërmjet një leksioni të regjistruar paraprakisht. Rritja e cilësisë për ofrimin e trajnimeve mbetet një objektiv dhe një politikë që Shkolla e Magjistraturës nuk do të reshtë së ndjekuri, duke u përkushtuar që të arrijë më të mirën e mundshme dhe duke u përpjekur që ta përmirësojë në përmbushje të funksioneve dhe standardeve të saj. </w:t>
      </w:r>
    </w:p>
    <w:p w:rsidR="0001543C" w:rsidRPr="00EE2DE7" w:rsidRDefault="0001543C" w:rsidP="0001543C">
      <w:pPr>
        <w:spacing w:line="276" w:lineRule="auto"/>
        <w:ind w:firstLine="720"/>
        <w:jc w:val="both"/>
        <w:rPr>
          <w:rFonts w:eastAsia="Calibri"/>
          <w:kern w:val="24"/>
          <w:szCs w:val="23"/>
        </w:rPr>
      </w:pPr>
      <w:r w:rsidRPr="00EE2DE7">
        <w:rPr>
          <w:rFonts w:eastAsia="Calibri"/>
          <w:kern w:val="24"/>
          <w:szCs w:val="23"/>
        </w:rPr>
        <w:t>Krijimi i këtij portali vjen si një ndihmë dhe kontribut tjetër i Shkollës së Magjistraturës për gjyqtarë e prokurorë, profesionistë ligjorë, ekspertë, lehtësues dhe moderatorë.</w:t>
      </w:r>
    </w:p>
    <w:p w:rsidR="0001543C" w:rsidRPr="00EE2DE7" w:rsidRDefault="0001543C" w:rsidP="0001543C">
      <w:pPr>
        <w:spacing w:line="276" w:lineRule="auto"/>
        <w:ind w:firstLine="720"/>
        <w:jc w:val="both"/>
        <w:rPr>
          <w:rFonts w:eastAsia="Calibri"/>
          <w:kern w:val="24"/>
          <w:szCs w:val="23"/>
        </w:rPr>
      </w:pPr>
      <w:r w:rsidRPr="00EE2DE7">
        <w:rPr>
          <w:rFonts w:eastAsia="Calibri"/>
          <w:kern w:val="24"/>
          <w:szCs w:val="23"/>
        </w:rPr>
        <w:t>Puna për regjistrimin e të dhënave në këtë proces po realizohet nga stafi i brendshëm i Shkollës, pjesë e sektorëve përkatës të Formimit Fillestar e Vazhdues, si dhe nga secili user përdorimi që do të ketë role të veçanta. Faza e parë për regjistrimin e user-ave dhe për hedhjen e kalendarit me tematikat përkatëse ka përfunduar. Deri më tani në sistem rezultojnë 1016 user-a të regjistruar.</w:t>
      </w:r>
    </w:p>
    <w:p w:rsidR="0001543C" w:rsidRDefault="0001543C" w:rsidP="0001543C">
      <w:pPr>
        <w:spacing w:line="276" w:lineRule="auto"/>
        <w:ind w:firstLine="720"/>
        <w:rPr>
          <w:rFonts w:eastAsia="Calibri"/>
          <w:color w:val="2E74B5"/>
          <w:kern w:val="24"/>
        </w:rPr>
      </w:pPr>
      <w:r w:rsidRPr="00EE2DE7">
        <w:rPr>
          <w:rFonts w:eastAsia="Calibri"/>
          <w:kern w:val="24"/>
        </w:rPr>
        <w:t xml:space="preserve">Platforma gjendet duke klikuar në linkun </w:t>
      </w:r>
      <w:hyperlink r:id="rId46" w:history="1">
        <w:r w:rsidRPr="00001903">
          <w:rPr>
            <w:rFonts w:eastAsia="Calibri"/>
            <w:b/>
            <w:i/>
            <w:color w:val="2E74B5"/>
            <w:kern w:val="24"/>
          </w:rPr>
          <w:t>http://moodle.magjistratura.edu.al</w:t>
        </w:r>
      </w:hyperlink>
      <w:r w:rsidRPr="00001903">
        <w:rPr>
          <w:rFonts w:eastAsia="Calibri"/>
          <w:i/>
          <w:color w:val="2E74B5"/>
          <w:kern w:val="24"/>
        </w:rPr>
        <w:t>.</w:t>
      </w:r>
      <w:r w:rsidRPr="00EE2DE7">
        <w:rPr>
          <w:rFonts w:eastAsia="Calibri"/>
          <w:color w:val="2E74B5"/>
          <w:kern w:val="24"/>
        </w:rPr>
        <w:t xml:space="preserve"> </w:t>
      </w:r>
    </w:p>
    <w:p w:rsidR="0001543C" w:rsidRPr="00EE2DE7" w:rsidRDefault="0001543C" w:rsidP="0001543C">
      <w:pPr>
        <w:spacing w:line="276" w:lineRule="auto"/>
        <w:ind w:firstLine="720"/>
        <w:rPr>
          <w:rFonts w:eastAsia="Calibri"/>
          <w:kern w:val="24"/>
        </w:rPr>
      </w:pPr>
    </w:p>
    <w:p w:rsidR="009C609F" w:rsidRDefault="0001543C" w:rsidP="009C609F">
      <w:pPr>
        <w:spacing w:after="200" w:line="276" w:lineRule="auto"/>
        <w:jc w:val="center"/>
        <w:rPr>
          <w:rFonts w:eastAsia="Calibri"/>
          <w:i/>
          <w:kern w:val="24"/>
          <w:sz w:val="20"/>
        </w:rPr>
      </w:pPr>
      <w:r w:rsidRPr="00EE2DE7">
        <w:rPr>
          <w:rFonts w:eastAsia="Calibri"/>
          <w:noProof/>
          <w:kern w:val="24"/>
          <w:lang w:eastAsia="en-US"/>
        </w:rPr>
        <w:drawing>
          <wp:inline distT="0" distB="0" distL="0" distR="0">
            <wp:extent cx="5962650" cy="3590013"/>
            <wp:effectExtent l="0" t="0" r="0" b="0"/>
            <wp:docPr id="38" name="Picture 38" descr="C:\Users\User\Desktop\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fig1.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88392" cy="3605512"/>
                    </a:xfrm>
                    <a:prstGeom prst="rect">
                      <a:avLst/>
                    </a:prstGeom>
                    <a:noFill/>
                    <a:ln>
                      <a:noFill/>
                    </a:ln>
                  </pic:spPr>
                </pic:pic>
              </a:graphicData>
            </a:graphic>
          </wp:inline>
        </w:drawing>
      </w:r>
    </w:p>
    <w:p w:rsidR="00C75652" w:rsidRDefault="009C609F" w:rsidP="00C75652">
      <w:pPr>
        <w:spacing w:after="200" w:line="276" w:lineRule="auto"/>
        <w:jc w:val="center"/>
        <w:rPr>
          <w:rFonts w:eastAsia="Calibri"/>
          <w:kern w:val="24"/>
        </w:rPr>
      </w:pPr>
      <w:r w:rsidRPr="009C609F">
        <w:rPr>
          <w:rFonts w:eastAsia="Calibri"/>
          <w:i/>
          <w:kern w:val="24"/>
          <w:sz w:val="20"/>
        </w:rPr>
        <w:t>Figura nr.1 Faq</w:t>
      </w:r>
      <w:r>
        <w:rPr>
          <w:rFonts w:eastAsia="Calibri"/>
          <w:i/>
          <w:kern w:val="24"/>
          <w:sz w:val="20"/>
        </w:rPr>
        <w:t>j</w:t>
      </w:r>
      <w:r w:rsidRPr="009C609F">
        <w:rPr>
          <w:rFonts w:eastAsia="Calibri"/>
          <w:i/>
          <w:kern w:val="24"/>
          <w:sz w:val="20"/>
        </w:rPr>
        <w:t>a kryesore e platform</w:t>
      </w:r>
      <w:r>
        <w:rPr>
          <w:rFonts w:eastAsia="Calibri"/>
          <w:i/>
          <w:kern w:val="24"/>
          <w:sz w:val="20"/>
        </w:rPr>
        <w:t>e</w:t>
      </w:r>
      <w:r w:rsidRPr="009C609F">
        <w:rPr>
          <w:rFonts w:eastAsia="Calibri"/>
          <w:i/>
          <w:kern w:val="24"/>
          <w:sz w:val="20"/>
        </w:rPr>
        <w:t>s Moodle</w:t>
      </w:r>
    </w:p>
    <w:p w:rsidR="0001543C" w:rsidRPr="00EE2DE7" w:rsidRDefault="0001543C" w:rsidP="00C75652">
      <w:pPr>
        <w:spacing w:after="200" w:line="276" w:lineRule="auto"/>
        <w:jc w:val="both"/>
        <w:rPr>
          <w:rFonts w:eastAsia="Calibri"/>
          <w:kern w:val="24"/>
        </w:rPr>
      </w:pPr>
      <w:r>
        <w:rPr>
          <w:rFonts w:eastAsia="Calibri"/>
          <w:kern w:val="24"/>
        </w:rPr>
        <w:t>N</w:t>
      </w:r>
      <w:r w:rsidRPr="00EE2DE7">
        <w:rPr>
          <w:rFonts w:eastAsia="Calibri"/>
          <w:kern w:val="24"/>
        </w:rPr>
        <w:t>ë platformë</w:t>
      </w:r>
      <w:r>
        <w:rPr>
          <w:rFonts w:eastAsia="Calibri"/>
          <w:kern w:val="24"/>
        </w:rPr>
        <w:t>,</w:t>
      </w:r>
      <w:r w:rsidRPr="00EE2DE7">
        <w:rPr>
          <w:rFonts w:eastAsia="Calibri"/>
          <w:kern w:val="24"/>
        </w:rPr>
        <w:t xml:space="preserve"> </w:t>
      </w:r>
      <w:r>
        <w:rPr>
          <w:rFonts w:eastAsia="Calibri"/>
          <w:kern w:val="24"/>
        </w:rPr>
        <w:t>s</w:t>
      </w:r>
      <w:r w:rsidRPr="00EE2DE7">
        <w:rPr>
          <w:rFonts w:eastAsia="Calibri"/>
          <w:kern w:val="24"/>
        </w:rPr>
        <w:t>iç shihet dhe në figurën më sipër</w:t>
      </w:r>
      <w:r>
        <w:rPr>
          <w:rFonts w:eastAsia="Calibri"/>
          <w:kern w:val="24"/>
        </w:rPr>
        <w:t>,</w:t>
      </w:r>
      <w:r w:rsidRPr="00EE2DE7">
        <w:rPr>
          <w:rFonts w:eastAsia="Calibri"/>
          <w:kern w:val="24"/>
        </w:rPr>
        <w:t xml:space="preserve"> janë hedhur dhe video të regjistrimeve të trajnimeve që janë bërë mbi ndryshimet e KPP</w:t>
      </w:r>
      <w:r>
        <w:rPr>
          <w:rFonts w:eastAsia="Calibri"/>
          <w:kern w:val="24"/>
        </w:rPr>
        <w:t>-së</w:t>
      </w:r>
      <w:r w:rsidRPr="00EE2DE7">
        <w:rPr>
          <w:rFonts w:eastAsia="Calibri"/>
          <w:kern w:val="24"/>
        </w:rPr>
        <w:t xml:space="preserve"> të realizuara nga OPDAT</w:t>
      </w:r>
      <w:r>
        <w:rPr>
          <w:rFonts w:eastAsia="Calibri"/>
          <w:kern w:val="24"/>
        </w:rPr>
        <w:t>-i</w:t>
      </w:r>
      <w:r w:rsidRPr="00EE2DE7">
        <w:rPr>
          <w:rFonts w:eastAsia="Calibri"/>
          <w:kern w:val="24"/>
        </w:rPr>
        <w:t xml:space="preserve">, të cilat </w:t>
      </w:r>
      <w:r>
        <w:rPr>
          <w:rFonts w:eastAsia="Calibri"/>
          <w:kern w:val="24"/>
        </w:rPr>
        <w:t xml:space="preserve">mund t’i dëgjojnë të gjithë përdoruesit </w:t>
      </w:r>
      <w:r w:rsidRPr="00EE2DE7">
        <w:rPr>
          <w:rFonts w:eastAsia="Calibri"/>
          <w:kern w:val="24"/>
        </w:rPr>
        <w:t>që kanë një llogari.</w:t>
      </w:r>
    </w:p>
    <w:p w:rsidR="0001543C" w:rsidRDefault="0001543C" w:rsidP="0001543C">
      <w:pPr>
        <w:spacing w:line="276" w:lineRule="auto"/>
        <w:ind w:firstLine="720"/>
        <w:jc w:val="both"/>
        <w:rPr>
          <w:rFonts w:eastAsia="Calibri"/>
          <w:kern w:val="24"/>
        </w:rPr>
      </w:pPr>
      <w:r w:rsidRPr="00EE2DE7">
        <w:rPr>
          <w:rFonts w:eastAsia="Calibri"/>
          <w:kern w:val="24"/>
        </w:rPr>
        <w:lastRenderedPageBreak/>
        <w:t>Në platformë është hedhur një numër i konsiderueshëm trajnimesh që janë zhvilluar nga Shkolla e Magjistraturës për vitin akademik 2017-2018 për kategori të ndryshme si në figurën më poshtë:</w:t>
      </w:r>
    </w:p>
    <w:p w:rsidR="009C609F" w:rsidRPr="00EE2DE7" w:rsidRDefault="009C609F" w:rsidP="0001543C">
      <w:pPr>
        <w:spacing w:line="276" w:lineRule="auto"/>
        <w:ind w:firstLine="720"/>
        <w:jc w:val="both"/>
        <w:rPr>
          <w:rFonts w:eastAsia="Calibri"/>
          <w:kern w:val="24"/>
        </w:rPr>
      </w:pPr>
    </w:p>
    <w:p w:rsidR="0001543C" w:rsidRDefault="0001543C" w:rsidP="0001543C">
      <w:pPr>
        <w:spacing w:after="200" w:line="276" w:lineRule="auto"/>
        <w:jc w:val="both"/>
        <w:rPr>
          <w:rFonts w:eastAsia="Calibri"/>
          <w:kern w:val="24"/>
        </w:rPr>
      </w:pPr>
      <w:r>
        <w:rPr>
          <w:rFonts w:eastAsia="Calibri"/>
          <w:kern w:val="24"/>
        </w:rPr>
        <w:t xml:space="preserve">      </w:t>
      </w:r>
      <w:r w:rsidRPr="00EE2DE7">
        <w:rPr>
          <w:rFonts w:eastAsia="Calibri"/>
          <w:noProof/>
          <w:kern w:val="24"/>
          <w:lang w:eastAsia="en-US"/>
        </w:rPr>
        <w:drawing>
          <wp:inline distT="0" distB="0" distL="0" distR="0">
            <wp:extent cx="5943600" cy="3106597"/>
            <wp:effectExtent l="0" t="0" r="0" b="0"/>
            <wp:docPr id="39" name="Picture 39" descr="C:\Users\User\Desktop\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fig2.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43600" cy="3106597"/>
                    </a:xfrm>
                    <a:prstGeom prst="rect">
                      <a:avLst/>
                    </a:prstGeom>
                    <a:noFill/>
                    <a:ln>
                      <a:noFill/>
                    </a:ln>
                  </pic:spPr>
                </pic:pic>
              </a:graphicData>
            </a:graphic>
          </wp:inline>
        </w:drawing>
      </w:r>
    </w:p>
    <w:p w:rsidR="004F1EB9" w:rsidRPr="00C75652" w:rsidRDefault="00C75652" w:rsidP="0001543C">
      <w:pPr>
        <w:spacing w:after="200" w:line="276" w:lineRule="auto"/>
        <w:jc w:val="both"/>
        <w:rPr>
          <w:rFonts w:eastAsia="Calibri"/>
          <w:i/>
          <w:kern w:val="24"/>
          <w:sz w:val="20"/>
        </w:rPr>
      </w:pPr>
      <w:r>
        <w:rPr>
          <w:rFonts w:eastAsia="Calibri"/>
          <w:i/>
          <w:kern w:val="24"/>
          <w:sz w:val="20"/>
        </w:rPr>
        <w:t xml:space="preserve">                                           </w:t>
      </w:r>
      <w:r w:rsidR="004F1EB9" w:rsidRPr="00C75652">
        <w:rPr>
          <w:rFonts w:eastAsia="Calibri"/>
          <w:i/>
          <w:kern w:val="24"/>
          <w:sz w:val="20"/>
        </w:rPr>
        <w:t xml:space="preserve">Figura nr.2 </w:t>
      </w:r>
      <w:r w:rsidRPr="00C75652">
        <w:rPr>
          <w:rFonts w:eastAsia="Calibri"/>
          <w:i/>
          <w:kern w:val="24"/>
          <w:sz w:val="20"/>
        </w:rPr>
        <w:t xml:space="preserve">Numri total i </w:t>
      </w:r>
      <w:r>
        <w:rPr>
          <w:rFonts w:eastAsia="Calibri"/>
          <w:i/>
          <w:kern w:val="24"/>
          <w:sz w:val="20"/>
        </w:rPr>
        <w:t>trajnimeve sipas kategoriv</w:t>
      </w:r>
      <w:r w:rsidRPr="00C75652">
        <w:rPr>
          <w:rFonts w:eastAsia="Calibri"/>
          <w:i/>
          <w:kern w:val="24"/>
          <w:sz w:val="20"/>
        </w:rPr>
        <w:t>e i hedhur ne platforme</w:t>
      </w:r>
    </w:p>
    <w:p w:rsidR="0001543C" w:rsidRDefault="0001543C" w:rsidP="00C75652">
      <w:pPr>
        <w:spacing w:line="276" w:lineRule="auto"/>
        <w:jc w:val="both"/>
        <w:rPr>
          <w:rFonts w:eastAsia="Calibri"/>
          <w:kern w:val="24"/>
        </w:rPr>
      </w:pPr>
      <w:r w:rsidRPr="00EE2DE7">
        <w:rPr>
          <w:rFonts w:eastAsia="Calibri"/>
          <w:kern w:val="24"/>
        </w:rPr>
        <w:t xml:space="preserve">Gjithashtu për lehtësim të punës së sekretarëve të Formimit Vazhdues, tashmë nëpërmjet platformës </w:t>
      </w:r>
      <w:r w:rsidRPr="00001903">
        <w:rPr>
          <w:rFonts w:eastAsia="Calibri"/>
          <w:i/>
          <w:kern w:val="24"/>
        </w:rPr>
        <w:t>Moodle</w:t>
      </w:r>
      <w:r w:rsidRPr="00EE2DE7">
        <w:rPr>
          <w:rFonts w:eastAsia="Calibri"/>
          <w:kern w:val="24"/>
        </w:rPr>
        <w:t xml:space="preserve"> gjyqtarët dhe prokurorët mund të konfirmojnë pjesëmarrjen e tyre vetëm me një klikim në temën e trajnimit që ata kanë përzgjedhur, pa q</w:t>
      </w:r>
      <w:r>
        <w:rPr>
          <w:rFonts w:eastAsia="Calibri"/>
          <w:kern w:val="24"/>
        </w:rPr>
        <w:t>e</w:t>
      </w:r>
      <w:r w:rsidRPr="00EE2DE7">
        <w:rPr>
          <w:rFonts w:eastAsia="Calibri"/>
          <w:kern w:val="24"/>
        </w:rPr>
        <w:t>në nevoja për komunikim nëpërmjet postës elektronike me ta. Në këtë mënyrë automatikisht nga sistemi krijohet dhe lista me pjesëmarrësit e konfirmuar që do të jenë të pranishëm në trajnim. Kjo listë është lehtësisht e gjenerueshme dhe e përpunueshme për raporte dhe informacione të ndryshme që i nevojiten Sektorit të Formimit Vazhdues.</w:t>
      </w:r>
    </w:p>
    <w:p w:rsidR="0001543C" w:rsidRPr="00EE2DE7" w:rsidRDefault="0001543C" w:rsidP="0001543C">
      <w:pPr>
        <w:spacing w:line="276" w:lineRule="auto"/>
        <w:ind w:firstLine="720"/>
        <w:jc w:val="both"/>
        <w:rPr>
          <w:rFonts w:eastAsia="Calibri"/>
          <w:kern w:val="24"/>
        </w:rPr>
      </w:pPr>
    </w:p>
    <w:p w:rsidR="00C75652" w:rsidRDefault="00C75652" w:rsidP="0001543C">
      <w:pPr>
        <w:spacing w:after="200" w:line="276" w:lineRule="auto"/>
        <w:jc w:val="both"/>
        <w:rPr>
          <w:rFonts w:eastAsia="Calibri"/>
          <w:kern w:val="24"/>
        </w:rPr>
      </w:pPr>
    </w:p>
    <w:p w:rsidR="00C75652" w:rsidRDefault="00C75652" w:rsidP="0001543C">
      <w:pPr>
        <w:spacing w:after="200" w:line="276" w:lineRule="auto"/>
        <w:jc w:val="both"/>
        <w:rPr>
          <w:rFonts w:eastAsia="Calibri"/>
          <w:kern w:val="24"/>
        </w:rPr>
      </w:pPr>
    </w:p>
    <w:p w:rsidR="0001543C" w:rsidRDefault="0001543C" w:rsidP="0001543C">
      <w:pPr>
        <w:spacing w:after="200" w:line="276" w:lineRule="auto"/>
        <w:jc w:val="both"/>
        <w:rPr>
          <w:rFonts w:eastAsia="Calibri"/>
          <w:kern w:val="24"/>
        </w:rPr>
      </w:pPr>
      <w:r>
        <w:rPr>
          <w:rFonts w:eastAsia="Calibri"/>
          <w:kern w:val="24"/>
        </w:rPr>
        <w:lastRenderedPageBreak/>
        <w:t xml:space="preserve">   </w:t>
      </w:r>
      <w:r w:rsidRPr="00EE2DE7">
        <w:rPr>
          <w:rFonts w:eastAsia="Calibri"/>
          <w:noProof/>
          <w:kern w:val="24"/>
          <w:lang w:eastAsia="en-US"/>
        </w:rPr>
        <w:drawing>
          <wp:inline distT="0" distB="0" distL="0" distR="0">
            <wp:extent cx="6169094" cy="3253032"/>
            <wp:effectExtent l="19050" t="0" r="3106" b="0"/>
            <wp:docPr id="40" name="Picture 40" descr="C:\Users\User\Desktop\f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fig3.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203116" cy="3270972"/>
                    </a:xfrm>
                    <a:prstGeom prst="rect">
                      <a:avLst/>
                    </a:prstGeom>
                    <a:noFill/>
                    <a:ln>
                      <a:noFill/>
                    </a:ln>
                  </pic:spPr>
                </pic:pic>
              </a:graphicData>
            </a:graphic>
          </wp:inline>
        </w:drawing>
      </w:r>
      <w:r w:rsidRPr="00EE2DE7" w:rsidDel="0094581C">
        <w:rPr>
          <w:rFonts w:eastAsia="Calibri"/>
          <w:kern w:val="24"/>
        </w:rPr>
        <w:t xml:space="preserve"> </w:t>
      </w:r>
    </w:p>
    <w:p w:rsidR="00C75652" w:rsidRPr="00C75652" w:rsidRDefault="00C75652" w:rsidP="0001543C">
      <w:pPr>
        <w:spacing w:after="200" w:line="276" w:lineRule="auto"/>
        <w:jc w:val="both"/>
        <w:rPr>
          <w:rFonts w:eastAsia="Calibri"/>
          <w:i/>
          <w:kern w:val="24"/>
        </w:rPr>
      </w:pPr>
      <w:r>
        <w:rPr>
          <w:rFonts w:eastAsia="Calibri"/>
          <w:i/>
          <w:kern w:val="24"/>
          <w:sz w:val="20"/>
        </w:rPr>
        <w:t xml:space="preserve">                                        </w:t>
      </w:r>
      <w:r w:rsidRPr="00C75652">
        <w:rPr>
          <w:rFonts w:eastAsia="Calibri"/>
          <w:i/>
          <w:kern w:val="24"/>
          <w:sz w:val="20"/>
        </w:rPr>
        <w:t>Figura nr.3 Lista e pjesemarresve qe kane bere konfirmin per nje trajnim te caktuar</w:t>
      </w:r>
    </w:p>
    <w:p w:rsidR="0001543C" w:rsidRDefault="0001543C" w:rsidP="0001543C">
      <w:pPr>
        <w:spacing w:line="276" w:lineRule="auto"/>
        <w:jc w:val="both"/>
        <w:rPr>
          <w:rFonts w:eastAsia="Calibri"/>
          <w:kern w:val="24"/>
        </w:rPr>
      </w:pPr>
      <w:r w:rsidRPr="00EE2DE7">
        <w:rPr>
          <w:rFonts w:eastAsia="Calibri"/>
          <w:kern w:val="24"/>
        </w:rPr>
        <w:t>Përveç kësaj li</w:t>
      </w:r>
      <w:r>
        <w:rPr>
          <w:rFonts w:eastAsia="Calibri"/>
          <w:kern w:val="24"/>
        </w:rPr>
        <w:t>ste gjithashtu mund të plotësohet</w:t>
      </w:r>
      <w:r w:rsidRPr="00EE2DE7">
        <w:rPr>
          <w:rFonts w:eastAsia="Calibri"/>
          <w:kern w:val="24"/>
        </w:rPr>
        <w:t xml:space="preserve"> nëpërmjet sistemit edhe list</w:t>
      </w:r>
      <w:r>
        <w:rPr>
          <w:rFonts w:eastAsia="Calibri"/>
          <w:kern w:val="24"/>
        </w:rPr>
        <w:t>ëprezenca</w:t>
      </w:r>
      <w:r w:rsidRPr="00EE2DE7">
        <w:rPr>
          <w:rFonts w:eastAsia="Calibri"/>
          <w:kern w:val="24"/>
        </w:rPr>
        <w:t xml:space="preserve"> e pjesëmarrësve në sallë për çdo sesion dhe ditë si në figurë</w:t>
      </w:r>
      <w:r>
        <w:rPr>
          <w:rFonts w:eastAsia="Calibri"/>
          <w:kern w:val="24"/>
        </w:rPr>
        <w:t>n</w:t>
      </w:r>
      <w:r w:rsidRPr="00EE2DE7">
        <w:rPr>
          <w:rFonts w:eastAsia="Calibri"/>
          <w:kern w:val="24"/>
        </w:rPr>
        <w:t xml:space="preserve"> më poshtë:</w:t>
      </w:r>
    </w:p>
    <w:p w:rsidR="0001543C" w:rsidRPr="00EE2DE7" w:rsidRDefault="0001543C" w:rsidP="0001543C">
      <w:pPr>
        <w:spacing w:line="276" w:lineRule="auto"/>
        <w:jc w:val="both"/>
        <w:rPr>
          <w:rFonts w:eastAsia="Calibri"/>
          <w:kern w:val="24"/>
        </w:rPr>
      </w:pPr>
    </w:p>
    <w:p w:rsidR="0001543C" w:rsidRPr="00EE2DE7" w:rsidRDefault="009C609F" w:rsidP="0001543C">
      <w:pPr>
        <w:spacing w:after="200" w:line="276" w:lineRule="auto"/>
        <w:jc w:val="both"/>
        <w:rPr>
          <w:rFonts w:eastAsia="Calibri"/>
          <w:kern w:val="24"/>
        </w:rPr>
      </w:pPr>
      <w:r>
        <w:rPr>
          <w:rFonts w:eastAsia="Calibri"/>
          <w:kern w:val="24"/>
        </w:rPr>
        <w:t xml:space="preserve">    </w:t>
      </w:r>
      <w:r w:rsidR="0001543C" w:rsidRPr="00EE2DE7">
        <w:rPr>
          <w:rFonts w:eastAsia="Calibri"/>
          <w:noProof/>
          <w:kern w:val="24"/>
          <w:lang w:eastAsia="en-US"/>
        </w:rPr>
        <w:drawing>
          <wp:inline distT="0" distB="0" distL="0" distR="0">
            <wp:extent cx="5943600" cy="3143490"/>
            <wp:effectExtent l="0" t="0" r="0" b="0"/>
            <wp:docPr id="41" name="Picture 41" descr="C:\Users\User\Desktop\fi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fig5.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43600" cy="3143490"/>
                    </a:xfrm>
                    <a:prstGeom prst="rect">
                      <a:avLst/>
                    </a:prstGeom>
                    <a:noFill/>
                    <a:ln>
                      <a:noFill/>
                    </a:ln>
                  </pic:spPr>
                </pic:pic>
              </a:graphicData>
            </a:graphic>
          </wp:inline>
        </w:drawing>
      </w:r>
    </w:p>
    <w:p w:rsidR="0001543C" w:rsidRPr="00C75652" w:rsidRDefault="00C75652" w:rsidP="0001543C">
      <w:pPr>
        <w:spacing w:after="200" w:line="276" w:lineRule="auto"/>
        <w:jc w:val="both"/>
        <w:rPr>
          <w:rFonts w:eastAsia="Calibri"/>
          <w:i/>
          <w:kern w:val="24"/>
          <w:sz w:val="20"/>
        </w:rPr>
      </w:pPr>
      <w:r>
        <w:rPr>
          <w:rFonts w:eastAsia="Calibri"/>
          <w:kern w:val="24"/>
        </w:rPr>
        <w:t xml:space="preserve">                      </w:t>
      </w:r>
      <w:r w:rsidRPr="00C75652">
        <w:rPr>
          <w:rFonts w:eastAsia="Calibri"/>
          <w:i/>
          <w:kern w:val="24"/>
          <w:sz w:val="20"/>
        </w:rPr>
        <w:t>Figura nr.4 Lis</w:t>
      </w:r>
      <w:r>
        <w:rPr>
          <w:rFonts w:eastAsia="Calibri"/>
          <w:i/>
          <w:kern w:val="24"/>
          <w:sz w:val="20"/>
        </w:rPr>
        <w:t>t</w:t>
      </w:r>
      <w:r w:rsidRPr="00C75652">
        <w:rPr>
          <w:rFonts w:eastAsia="Calibri"/>
          <w:i/>
          <w:kern w:val="24"/>
          <w:sz w:val="20"/>
        </w:rPr>
        <w:t xml:space="preserve">prezenca </w:t>
      </w:r>
      <w:r>
        <w:rPr>
          <w:rFonts w:eastAsia="Calibri"/>
          <w:i/>
          <w:kern w:val="24"/>
          <w:sz w:val="20"/>
        </w:rPr>
        <w:t xml:space="preserve">e pjesemarresve </w:t>
      </w:r>
      <w:r w:rsidRPr="00C75652">
        <w:rPr>
          <w:rFonts w:eastAsia="Calibri"/>
          <w:i/>
          <w:kern w:val="24"/>
          <w:sz w:val="20"/>
        </w:rPr>
        <w:t>e krijuar per 4 sesione per nje trajnim dy ditor</w:t>
      </w:r>
    </w:p>
    <w:p w:rsidR="0001543C" w:rsidRDefault="009C609F" w:rsidP="0001543C">
      <w:pPr>
        <w:spacing w:after="200" w:line="276" w:lineRule="auto"/>
        <w:jc w:val="both"/>
        <w:rPr>
          <w:rFonts w:eastAsia="Calibri"/>
          <w:kern w:val="24"/>
        </w:rPr>
      </w:pPr>
      <w:r>
        <w:rPr>
          <w:rFonts w:eastAsia="Calibri"/>
          <w:kern w:val="24"/>
        </w:rPr>
        <w:lastRenderedPageBreak/>
        <w:t xml:space="preserve">     </w:t>
      </w:r>
      <w:r w:rsidR="0001543C" w:rsidRPr="00EE2DE7">
        <w:rPr>
          <w:rFonts w:eastAsia="Calibri"/>
          <w:noProof/>
          <w:kern w:val="24"/>
          <w:lang w:eastAsia="en-US"/>
        </w:rPr>
        <w:drawing>
          <wp:inline distT="0" distB="0" distL="0" distR="0">
            <wp:extent cx="5943600" cy="3083243"/>
            <wp:effectExtent l="0" t="0" r="0" b="3175"/>
            <wp:docPr id="42" name="Picture 42" descr="C:\Users\User\Desktop\fi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fig4.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943600" cy="3083243"/>
                    </a:xfrm>
                    <a:prstGeom prst="rect">
                      <a:avLst/>
                    </a:prstGeom>
                    <a:noFill/>
                    <a:ln>
                      <a:noFill/>
                    </a:ln>
                  </pic:spPr>
                </pic:pic>
              </a:graphicData>
            </a:graphic>
          </wp:inline>
        </w:drawing>
      </w:r>
    </w:p>
    <w:p w:rsidR="0001543C" w:rsidRPr="00C5291B" w:rsidRDefault="00C5291B" w:rsidP="0001543C">
      <w:pPr>
        <w:spacing w:after="200" w:line="276" w:lineRule="auto"/>
        <w:jc w:val="both"/>
        <w:rPr>
          <w:rFonts w:eastAsia="Calibri"/>
          <w:i/>
          <w:kern w:val="24"/>
          <w:sz w:val="20"/>
        </w:rPr>
      </w:pPr>
      <w:r>
        <w:rPr>
          <w:rFonts w:eastAsia="Calibri"/>
          <w:i/>
          <w:kern w:val="24"/>
          <w:sz w:val="20"/>
        </w:rPr>
        <w:t xml:space="preserve">                                     </w:t>
      </w:r>
      <w:r w:rsidRPr="00C5291B">
        <w:rPr>
          <w:rFonts w:eastAsia="Calibri"/>
          <w:i/>
          <w:kern w:val="24"/>
          <w:sz w:val="20"/>
        </w:rPr>
        <w:t>Figura nr.5 Menyra e plotesimit te listprezences per nje trajnim te caktuar</w:t>
      </w:r>
    </w:p>
    <w:p w:rsidR="0001543C" w:rsidRPr="00EE2DE7" w:rsidRDefault="0001543C" w:rsidP="00C5291B">
      <w:pPr>
        <w:spacing w:after="200" w:line="276" w:lineRule="auto"/>
        <w:rPr>
          <w:rFonts w:eastAsia="Calibri"/>
          <w:kern w:val="24"/>
        </w:rPr>
      </w:pPr>
      <w:r w:rsidRPr="00EE2DE7">
        <w:rPr>
          <w:rFonts w:eastAsia="Calibri"/>
          <w:kern w:val="24"/>
        </w:rPr>
        <w:t>Puna në këtë platformë së shpejti do të fillojë edhe për Sektorin e Formimit Fillestar dhe më gjerë.</w:t>
      </w:r>
    </w:p>
    <w:p w:rsidR="0001543C" w:rsidRDefault="0001543C"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F3AE0" w:rsidP="00C5291B">
      <w:pPr>
        <w:tabs>
          <w:tab w:val="left" w:pos="5976"/>
        </w:tabs>
        <w:ind w:firstLine="360"/>
        <w:jc w:val="both"/>
      </w:pPr>
      <w:r>
        <w:rPr>
          <w:noProof/>
          <w:lang w:eastAsia="en-US"/>
        </w:rPr>
        <w:lastRenderedPageBreak/>
        <w:pict>
          <v:rect id="_x0000_s1088" style="position:absolute;left:0;text-align:left;margin-left:-13.7pt;margin-top:7pt;width:601.9pt;height:43.2pt;z-index:2517560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" fillcolor="#4f81bd" stroked="f" strokeweight="2pt">
            <v:textbox>
              <w:txbxContent>
                <w:p w:rsidR="005372E3" w:rsidRPr="00C5291B" w:rsidRDefault="005372E3" w:rsidP="00C5291B">
                  <w:pPr>
                    <w:rPr>
                      <w:sz w:val="56"/>
                      <w:szCs w:val="56"/>
                    </w:rPr>
                  </w:pPr>
                  <w:r w:rsidRPr="00C5291B">
                    <w:rPr>
                      <w:b/>
                      <w:color w:val="FFFFFF" w:themeColor="background1"/>
                      <w:sz w:val="56"/>
                      <w:szCs w:val="56"/>
                    </w:rPr>
                    <w:t>6.</w:t>
                  </w:r>
                  <w:r w:rsidRPr="00C5291B">
                    <w:rPr>
                      <w:b/>
                      <w:color w:val="FFFFFF" w:themeColor="background1"/>
                      <w:sz w:val="56"/>
                      <w:szCs w:val="56"/>
                    </w:rPr>
                    <w:tab/>
                    <w:t>Perspektiva dhe vizioni për të ardhmen</w:t>
                  </w:r>
                </w:p>
              </w:txbxContent>
            </v:textbox>
          </v:rect>
        </w:pict>
      </w:r>
      <w:r w:rsidR="00C5291B">
        <w:tab/>
      </w: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386F89" w:rsidRDefault="00386F89" w:rsidP="00386F89">
      <w:pPr>
        <w:spacing w:line="276" w:lineRule="auto"/>
        <w:jc w:val="both"/>
      </w:pPr>
    </w:p>
    <w:p w:rsidR="007D1F0E" w:rsidRDefault="007D1F0E" w:rsidP="009F23E3">
      <w:pPr>
        <w:spacing w:line="276" w:lineRule="auto"/>
        <w:jc w:val="both"/>
        <w:rPr>
          <w:b/>
          <w:noProof/>
          <w:color w:val="CC9966" w:themeColor="accent2"/>
          <w:sz w:val="32"/>
          <w:lang w:eastAsia="en-US"/>
        </w:rPr>
      </w:pPr>
    </w:p>
    <w:p w:rsidR="007C25A6" w:rsidRDefault="007C25A6" w:rsidP="009F23E3">
      <w:pPr>
        <w:spacing w:line="276" w:lineRule="auto"/>
        <w:jc w:val="both"/>
        <w:rPr>
          <w:b/>
          <w:noProof/>
          <w:color w:val="CC9966" w:themeColor="accent2"/>
          <w:sz w:val="32"/>
          <w:lang w:eastAsia="en-US"/>
        </w:rPr>
        <w:sectPr w:rsidR="007C25A6" w:rsidSect="00A87BD2">
          <w:type w:val="continuous"/>
          <w:pgSz w:w="12240" w:h="15840" w:code="1"/>
          <w:pgMar w:top="990" w:right="990" w:bottom="1620" w:left="990" w:header="360" w:footer="371" w:gutter="0"/>
          <w:cols w:space="708"/>
          <w:docGrid w:linePitch="360"/>
        </w:sectPr>
      </w:pPr>
    </w:p>
    <w:p w:rsidR="009F23E3" w:rsidRPr="009F23E3" w:rsidRDefault="009F23E3" w:rsidP="009F23E3">
      <w:pPr>
        <w:spacing w:line="276" w:lineRule="auto"/>
        <w:jc w:val="both"/>
        <w:rPr>
          <w:b/>
          <w:noProof/>
          <w:color w:val="CC9966" w:themeColor="accent2"/>
          <w:sz w:val="32"/>
          <w:lang w:eastAsia="en-US"/>
        </w:rPr>
      </w:pPr>
      <w:r w:rsidRPr="009F23E3">
        <w:rPr>
          <w:b/>
          <w:noProof/>
          <w:color w:val="CC9966" w:themeColor="accent2"/>
          <w:sz w:val="32"/>
          <w:lang w:eastAsia="en-US"/>
        </w:rPr>
        <w:t>6.1</w:t>
      </w:r>
      <w:r>
        <w:rPr>
          <w:b/>
          <w:noProof/>
          <w:color w:val="CC9966" w:themeColor="accent2"/>
          <w:sz w:val="32"/>
          <w:lang w:eastAsia="en-US"/>
        </w:rPr>
        <w:t>.</w:t>
      </w:r>
      <w:r w:rsidRPr="009F23E3">
        <w:rPr>
          <w:b/>
          <w:noProof/>
          <w:color w:val="CC9966" w:themeColor="accent2"/>
          <w:sz w:val="32"/>
          <w:lang w:eastAsia="en-US"/>
        </w:rPr>
        <w:t xml:space="preserve"> Trajnimi Fillestar</w:t>
      </w:r>
    </w:p>
    <w:p w:rsidR="009F23E3" w:rsidRPr="00EE2DE7" w:rsidRDefault="009F23E3" w:rsidP="009F23E3">
      <w:pPr>
        <w:widowControl w:val="0"/>
        <w:spacing w:line="276" w:lineRule="auto"/>
        <w:ind w:firstLine="720"/>
        <w:jc w:val="both"/>
        <w:rPr>
          <w:rFonts w:eastAsia="Times New Roman"/>
          <w:kern w:val="24"/>
          <w:lang w:eastAsia="de-DE"/>
        </w:rPr>
      </w:pPr>
      <w:r w:rsidRPr="00EE2DE7">
        <w:rPr>
          <w:rFonts w:eastAsia="Times New Roman"/>
          <w:kern w:val="24"/>
          <w:lang w:eastAsia="de-DE"/>
        </w:rPr>
        <w:t xml:space="preserve">Me miratimin e paketës së plotë ligjore të Reformës në Drejtësi, e cila solli ndryshime në Kushtetutën e Republikës së Shqipërisë dhe hartimin e një sërë ligjesh të reja për funksionimin dhe organizimin e veprimtarisë së organeve kryesore të drejtësisë në vend, roli dhe funksioni i Shkollës së Magjistraturës kaloi në një tjetër dimension. Ajo është ngritur në nivelin e një institucioni të parashikuar nga Kushtetuta për përmbushjen e një sërë detyrash të rëndësishme, </w:t>
      </w:r>
      <w:r w:rsidRPr="00EE2DE7">
        <w:rPr>
          <w:rFonts w:eastAsia="Calibri"/>
          <w:kern w:val="24"/>
        </w:rPr>
        <w:t>duke zgjeruar përgjegjësitë e saj në konsolidimin e sistemit të rekrutimit për gjyqtarët dhe prokurorët e rinj, si edhe në rekrutimin e kategorive të tjera të parashikuara në ligje.</w:t>
      </w:r>
      <w:r w:rsidRPr="00EE2DE7">
        <w:rPr>
          <w:rFonts w:eastAsia="Times New Roman"/>
          <w:kern w:val="24"/>
          <w:lang w:eastAsia="de-DE"/>
        </w:rPr>
        <w:t xml:space="preserve"> Veprimtaria dhe funksionimi i Shkollës së Magjistraturës është rregulluar nëpërmjet disa ligjeve të miratuara me shumicë të cilësuar, si: </w:t>
      </w:r>
    </w:p>
    <w:p w:rsidR="009F23E3" w:rsidRPr="00EE2DE7" w:rsidRDefault="009F23E3" w:rsidP="009F23E3">
      <w:pPr>
        <w:widowControl w:val="0"/>
        <w:spacing w:line="276" w:lineRule="auto"/>
        <w:ind w:left="360"/>
        <w:jc w:val="both"/>
        <w:rPr>
          <w:rFonts w:eastAsia="Times New Roman"/>
          <w:kern w:val="24"/>
          <w:lang w:eastAsia="de-DE"/>
        </w:rPr>
      </w:pPr>
      <w:r w:rsidRPr="00EE2DE7">
        <w:rPr>
          <w:rFonts w:eastAsia="Times New Roman"/>
          <w:kern w:val="24"/>
          <w:lang w:eastAsia="de-DE"/>
        </w:rPr>
        <w:t>- ligji nr. 115/2016</w:t>
      </w:r>
      <w:r>
        <w:rPr>
          <w:rFonts w:eastAsia="Times New Roman"/>
          <w:kern w:val="24"/>
          <w:lang w:eastAsia="de-DE"/>
        </w:rPr>
        <w:t>,</w:t>
      </w:r>
      <w:r w:rsidRPr="00EE2DE7">
        <w:rPr>
          <w:rFonts w:eastAsia="Times New Roman"/>
          <w:kern w:val="24"/>
          <w:lang w:eastAsia="de-DE"/>
        </w:rPr>
        <w:t xml:space="preserve"> “</w:t>
      </w:r>
      <w:r w:rsidRPr="00EE2DE7">
        <w:rPr>
          <w:rFonts w:eastAsia="Times New Roman"/>
          <w:i/>
          <w:kern w:val="24"/>
          <w:lang w:eastAsia="de-DE"/>
        </w:rPr>
        <w:t>Për organet e qeverisjes së sistemit të drejtësisë</w:t>
      </w:r>
      <w:r w:rsidRPr="00EE2DE7">
        <w:rPr>
          <w:rFonts w:eastAsia="Times New Roman"/>
          <w:kern w:val="24"/>
          <w:lang w:eastAsia="de-DE"/>
        </w:rPr>
        <w:t>”;</w:t>
      </w:r>
    </w:p>
    <w:p w:rsidR="009F23E3" w:rsidRPr="00EE2DE7" w:rsidRDefault="009F23E3" w:rsidP="009F23E3">
      <w:pPr>
        <w:widowControl w:val="0"/>
        <w:spacing w:line="276" w:lineRule="auto"/>
        <w:ind w:left="360"/>
        <w:jc w:val="both"/>
        <w:rPr>
          <w:rFonts w:eastAsia="Times New Roman"/>
          <w:kern w:val="24"/>
          <w:lang w:eastAsia="de-DE"/>
        </w:rPr>
      </w:pPr>
      <w:r w:rsidRPr="00EE2DE7">
        <w:rPr>
          <w:rFonts w:eastAsia="Times New Roman"/>
          <w:kern w:val="24"/>
          <w:lang w:eastAsia="de-DE"/>
        </w:rPr>
        <w:t>- ligji nr. 96/2016</w:t>
      </w:r>
      <w:r>
        <w:rPr>
          <w:rFonts w:eastAsia="Times New Roman"/>
          <w:kern w:val="24"/>
          <w:lang w:eastAsia="de-DE"/>
        </w:rPr>
        <w:t>,</w:t>
      </w:r>
      <w:r w:rsidRPr="00EE2DE7">
        <w:rPr>
          <w:rFonts w:eastAsia="Times New Roman"/>
          <w:kern w:val="24"/>
          <w:lang w:eastAsia="de-DE"/>
        </w:rPr>
        <w:t xml:space="preserve"> “</w:t>
      </w:r>
      <w:r w:rsidRPr="00EE2DE7">
        <w:rPr>
          <w:rFonts w:eastAsia="Times New Roman"/>
          <w:i/>
          <w:kern w:val="24"/>
          <w:lang w:eastAsia="de-DE"/>
        </w:rPr>
        <w:t>Për statusin e gjyqtarëve dhe prokurorëve në Republikën e Shqipërisë</w:t>
      </w:r>
      <w:r w:rsidRPr="00EE2DE7">
        <w:rPr>
          <w:rFonts w:eastAsia="Times New Roman"/>
          <w:kern w:val="24"/>
          <w:lang w:eastAsia="de-DE"/>
        </w:rPr>
        <w:t>”;</w:t>
      </w:r>
    </w:p>
    <w:p w:rsidR="009F23E3" w:rsidRPr="00EE2DE7" w:rsidRDefault="009F23E3" w:rsidP="009F23E3">
      <w:pPr>
        <w:widowControl w:val="0"/>
        <w:spacing w:line="276" w:lineRule="auto"/>
        <w:ind w:left="360"/>
        <w:jc w:val="both"/>
        <w:rPr>
          <w:rFonts w:eastAsia="Times New Roman"/>
          <w:kern w:val="24"/>
          <w:lang w:eastAsia="de-DE"/>
        </w:rPr>
      </w:pPr>
      <w:r w:rsidRPr="00EE2DE7">
        <w:rPr>
          <w:rFonts w:eastAsia="Times New Roman"/>
          <w:kern w:val="24"/>
          <w:lang w:eastAsia="de-DE"/>
        </w:rPr>
        <w:t>- ligji nr. 98/2016</w:t>
      </w:r>
      <w:r>
        <w:rPr>
          <w:rFonts w:eastAsia="Times New Roman"/>
          <w:kern w:val="24"/>
          <w:lang w:eastAsia="de-DE"/>
        </w:rPr>
        <w:t>,</w:t>
      </w:r>
      <w:r w:rsidRPr="00EE2DE7">
        <w:rPr>
          <w:rFonts w:eastAsia="Times New Roman"/>
          <w:kern w:val="24"/>
          <w:lang w:eastAsia="de-DE"/>
        </w:rPr>
        <w:t xml:space="preserve"> “</w:t>
      </w:r>
      <w:r w:rsidRPr="00EE2DE7">
        <w:rPr>
          <w:rFonts w:eastAsia="Times New Roman"/>
          <w:i/>
          <w:kern w:val="24"/>
          <w:lang w:eastAsia="de-DE"/>
        </w:rPr>
        <w:t>Për organizimin e Pushtetit Gjyqësor në Republikën e Shqipërisë</w:t>
      </w:r>
      <w:r w:rsidRPr="00EE2DE7">
        <w:rPr>
          <w:rFonts w:eastAsia="Times New Roman"/>
          <w:kern w:val="24"/>
          <w:lang w:eastAsia="de-DE"/>
        </w:rPr>
        <w:t xml:space="preserve">”; </w:t>
      </w:r>
    </w:p>
    <w:p w:rsidR="009F23E3" w:rsidRDefault="009F23E3" w:rsidP="009F23E3">
      <w:pPr>
        <w:widowControl w:val="0"/>
        <w:spacing w:line="276" w:lineRule="auto"/>
        <w:ind w:left="360"/>
        <w:jc w:val="both"/>
        <w:rPr>
          <w:rFonts w:eastAsia="Times New Roman"/>
          <w:kern w:val="24"/>
          <w:lang w:eastAsia="de-DE"/>
        </w:rPr>
      </w:pPr>
      <w:r w:rsidRPr="00EE2DE7">
        <w:rPr>
          <w:rFonts w:eastAsia="Times New Roman"/>
          <w:kern w:val="24"/>
          <w:lang w:eastAsia="de-DE"/>
        </w:rPr>
        <w:t>- ligji nr. 97/2016</w:t>
      </w:r>
      <w:r>
        <w:rPr>
          <w:rFonts w:eastAsia="Times New Roman"/>
          <w:kern w:val="24"/>
          <w:lang w:eastAsia="de-DE"/>
        </w:rPr>
        <w:t>,</w:t>
      </w:r>
      <w:r w:rsidRPr="00EE2DE7">
        <w:rPr>
          <w:rFonts w:eastAsia="Times New Roman"/>
          <w:kern w:val="24"/>
          <w:lang w:eastAsia="de-DE"/>
        </w:rPr>
        <w:t xml:space="preserve"> “</w:t>
      </w:r>
      <w:r w:rsidRPr="00EE2DE7">
        <w:rPr>
          <w:rFonts w:eastAsia="Times New Roman"/>
          <w:i/>
          <w:kern w:val="24"/>
          <w:lang w:eastAsia="de-DE"/>
        </w:rPr>
        <w:t>Për organizimin dhe funksionimin e prokurorisë në Republikën e Shqipërisë</w:t>
      </w:r>
      <w:r w:rsidRPr="00EE2DE7">
        <w:rPr>
          <w:rFonts w:eastAsia="Times New Roman"/>
          <w:kern w:val="24"/>
          <w:lang w:eastAsia="de-DE"/>
        </w:rPr>
        <w:t xml:space="preserve">”; </w:t>
      </w:r>
    </w:p>
    <w:p w:rsidR="009F23E3" w:rsidRPr="00EE2DE7" w:rsidRDefault="009F23E3" w:rsidP="009F23E3">
      <w:pPr>
        <w:widowControl w:val="0"/>
        <w:spacing w:line="276" w:lineRule="auto"/>
        <w:ind w:left="360"/>
        <w:jc w:val="both"/>
        <w:rPr>
          <w:rFonts w:eastAsia="Times New Roman"/>
          <w:kern w:val="24"/>
          <w:lang w:eastAsia="de-DE"/>
        </w:rPr>
      </w:pPr>
      <w:r w:rsidRPr="00EE2DE7">
        <w:rPr>
          <w:rFonts w:eastAsia="Times New Roman"/>
          <w:kern w:val="24"/>
          <w:lang w:eastAsia="de-DE"/>
        </w:rPr>
        <w:t>- ligji nr.</w:t>
      </w:r>
      <w:r>
        <w:rPr>
          <w:rFonts w:eastAsia="Times New Roman"/>
          <w:kern w:val="24"/>
          <w:lang w:eastAsia="de-DE"/>
        </w:rPr>
        <w:t xml:space="preserve"> </w:t>
      </w:r>
      <w:r w:rsidRPr="00EE2DE7">
        <w:rPr>
          <w:rFonts w:eastAsia="Times New Roman"/>
          <w:kern w:val="24"/>
          <w:lang w:eastAsia="de-DE"/>
        </w:rPr>
        <w:t>84/2016, “</w:t>
      </w:r>
      <w:r w:rsidRPr="00EE2DE7">
        <w:rPr>
          <w:rFonts w:eastAsia="Times New Roman"/>
          <w:i/>
          <w:kern w:val="24"/>
          <w:lang w:eastAsia="de-DE"/>
        </w:rPr>
        <w:t>Për rivlerësimin kalimtar të gjyqtarëve dhe prokurorëve në Republikën e Shqipërisë</w:t>
      </w:r>
      <w:r w:rsidRPr="00EE2DE7">
        <w:rPr>
          <w:rFonts w:eastAsia="Times New Roman"/>
          <w:kern w:val="24"/>
          <w:lang w:eastAsia="de-DE"/>
        </w:rPr>
        <w:t xml:space="preserve">”. </w:t>
      </w:r>
    </w:p>
    <w:p w:rsidR="009F23E3" w:rsidRPr="00EE2DE7" w:rsidRDefault="009F23E3" w:rsidP="009F23E3">
      <w:pPr>
        <w:widowControl w:val="0"/>
        <w:spacing w:line="276" w:lineRule="auto"/>
        <w:ind w:firstLine="720"/>
        <w:jc w:val="both"/>
        <w:rPr>
          <w:rFonts w:eastAsia="Times New Roman"/>
          <w:kern w:val="24"/>
          <w:lang w:eastAsia="de-DE"/>
        </w:rPr>
      </w:pPr>
      <w:r w:rsidRPr="00EE2DE7">
        <w:rPr>
          <w:rFonts w:eastAsia="Times New Roman"/>
          <w:kern w:val="24"/>
          <w:lang w:eastAsia="de-DE"/>
        </w:rPr>
        <w:t xml:space="preserve">Në përputhje me drejtimet dhe objektivat e reformës në drejtësi, Shkolla e Magjistraturës ka si detyrë funksionale jo vetëm sigurimin e Formimit Fillestar dhe Vazhdues të magjistratëve (gjyqtarë dhe prokurorë), por ajo do të ofrojë </w:t>
      </w:r>
      <w:r w:rsidRPr="00EE2DE7">
        <w:rPr>
          <w:rFonts w:eastAsia="Times New Roman"/>
          <w:kern w:val="24"/>
          <w:lang w:eastAsia="de-DE"/>
        </w:rPr>
        <w:t xml:space="preserve">formim fillestar dhe të vazhdueshëm të profilizuar për kategori të ndryshme juristësh, ku përfshihen avokatët e shtetit, ndihmësit ligjorë si dhe kancelarët në gjykata dhe prokurori. </w:t>
      </w:r>
    </w:p>
    <w:p w:rsidR="009F23E3" w:rsidRPr="00EE2DE7" w:rsidRDefault="009F23E3" w:rsidP="009F23E3">
      <w:pPr>
        <w:spacing w:line="276" w:lineRule="auto"/>
        <w:ind w:firstLine="720"/>
        <w:jc w:val="both"/>
        <w:rPr>
          <w:rFonts w:eastAsia="Times New Roman"/>
          <w:kern w:val="24"/>
          <w:lang w:eastAsia="de-DE"/>
        </w:rPr>
      </w:pPr>
      <w:r w:rsidRPr="00EE2DE7">
        <w:rPr>
          <w:rFonts w:eastAsia="Times New Roman"/>
          <w:kern w:val="24"/>
          <w:lang w:eastAsia="de-DE"/>
        </w:rPr>
        <w:t xml:space="preserve">Roli i Shkollës së Magjistraturës për përmbushjen e të gjitha detyrimeve që vijnë për shkak të efekteve ligjore që krijojnë ligjet e reja që rregullojnë aktivitetin e Shkollës, është mjaft thelbësor. Bashkëpunimi me Këshillin e Lartë Gjyqësor dhe Këshillin e Lartë të Prokurorisë do të jetë një element i domosdoshëm për rregullimin e shumë drejtimeve për të cilat ligji kërkon organizim dhe vendimmarrje të përbashkët nga ana e institucioneve. </w:t>
      </w:r>
    </w:p>
    <w:p w:rsidR="009F23E3" w:rsidRPr="007D1F0E" w:rsidRDefault="009F23E3" w:rsidP="009F23E3">
      <w:pPr>
        <w:spacing w:line="276" w:lineRule="auto"/>
        <w:jc w:val="both"/>
        <w:rPr>
          <w:b/>
          <w:noProof/>
          <w:color w:val="CC9966" w:themeColor="accent2"/>
          <w:lang w:eastAsia="en-US"/>
        </w:rPr>
      </w:pPr>
    </w:p>
    <w:p w:rsidR="007D1F0E" w:rsidRPr="007C25A6" w:rsidRDefault="009F23E3" w:rsidP="009F23E3">
      <w:pPr>
        <w:spacing w:line="276" w:lineRule="auto"/>
        <w:jc w:val="both"/>
        <w:rPr>
          <w:b/>
          <w:noProof/>
          <w:color w:val="CC9966" w:themeColor="accent2"/>
          <w:lang w:eastAsia="en-US"/>
        </w:rPr>
      </w:pPr>
      <w:r w:rsidRPr="007D1F0E">
        <w:rPr>
          <w:b/>
          <w:noProof/>
          <w:color w:val="CC9966" w:themeColor="accent2"/>
          <w:lang w:eastAsia="en-US"/>
        </w:rPr>
        <w:t xml:space="preserve">Objektiva të realizimit të Trajnimit Fillestar për vitin akademik në vijim 2018 </w:t>
      </w:r>
      <w:r w:rsidR="007D1F0E">
        <w:rPr>
          <w:b/>
          <w:noProof/>
          <w:color w:val="CC9966" w:themeColor="accent2"/>
          <w:lang w:eastAsia="en-US"/>
        </w:rPr>
        <w:t>–</w:t>
      </w:r>
      <w:r w:rsidRPr="007D1F0E">
        <w:rPr>
          <w:b/>
          <w:noProof/>
          <w:color w:val="CC9966" w:themeColor="accent2"/>
          <w:lang w:eastAsia="en-US"/>
        </w:rPr>
        <w:t xml:space="preserve"> 2019</w:t>
      </w:r>
    </w:p>
    <w:p w:rsidR="009F23E3" w:rsidRPr="00EE2DE7" w:rsidRDefault="009F23E3" w:rsidP="009F23E3">
      <w:pPr>
        <w:numPr>
          <w:ilvl w:val="0"/>
          <w:numId w:val="42"/>
        </w:numPr>
        <w:tabs>
          <w:tab w:val="left" w:pos="270"/>
        </w:tabs>
        <w:spacing w:line="276" w:lineRule="auto"/>
        <w:ind w:left="180" w:firstLine="90"/>
        <w:jc w:val="both"/>
        <w:rPr>
          <w:rFonts w:eastAsia="Calibri"/>
          <w:bCs/>
          <w:kern w:val="24"/>
        </w:rPr>
      </w:pPr>
      <w:r w:rsidRPr="00EE2DE7">
        <w:rPr>
          <w:rFonts w:eastAsia="Calibri"/>
          <w:bCs/>
          <w:kern w:val="24"/>
        </w:rPr>
        <w:t>Ruajtja e qëndrueshmërisë institucionale të Shkollës së Magjistraturës, duke filluar nga procesi i përzgjedhjes së magjistratëve, vlerësimit të tyre dhe në tërësi ruajtja e pavarësisë së Shkollës nga çdo pushtet apo ndikim që c</w:t>
      </w:r>
      <w:r>
        <w:rPr>
          <w:rFonts w:eastAsia="Calibri"/>
          <w:bCs/>
          <w:kern w:val="24"/>
        </w:rPr>
        <w:t>e</w:t>
      </w:r>
      <w:r w:rsidRPr="00EE2DE7">
        <w:rPr>
          <w:rFonts w:eastAsia="Calibri"/>
          <w:bCs/>
          <w:kern w:val="24"/>
        </w:rPr>
        <w:t>non apo zbeh pavarësinë dhe paanësinë e saj, deri te reputacioni pozitiv i saj, duke mundësuar edhe rikthim</w:t>
      </w:r>
      <w:r>
        <w:rPr>
          <w:rFonts w:eastAsia="Calibri"/>
          <w:bCs/>
          <w:kern w:val="24"/>
        </w:rPr>
        <w:t>in</w:t>
      </w:r>
      <w:r w:rsidRPr="00EE2DE7">
        <w:rPr>
          <w:rFonts w:eastAsia="Calibri"/>
          <w:bCs/>
          <w:kern w:val="24"/>
        </w:rPr>
        <w:t xml:space="preserve"> e besimit të</w:t>
      </w:r>
      <w:r>
        <w:rPr>
          <w:rFonts w:eastAsia="Calibri"/>
          <w:bCs/>
          <w:kern w:val="24"/>
        </w:rPr>
        <w:t xml:space="preserve"> publikut te</w:t>
      </w:r>
      <w:r w:rsidRPr="00EE2DE7">
        <w:rPr>
          <w:rFonts w:eastAsia="Calibri"/>
          <w:bCs/>
          <w:kern w:val="24"/>
        </w:rPr>
        <w:t xml:space="preserve"> drejtë</w:t>
      </w:r>
      <w:r>
        <w:rPr>
          <w:rFonts w:eastAsia="Calibri"/>
          <w:bCs/>
          <w:kern w:val="24"/>
        </w:rPr>
        <w:t>sia dhe te</w:t>
      </w:r>
      <w:r w:rsidRPr="00EE2DE7">
        <w:rPr>
          <w:rFonts w:eastAsia="Calibri"/>
          <w:bCs/>
          <w:kern w:val="24"/>
        </w:rPr>
        <w:t xml:space="preserve"> pushteti i ardhshëm gjyqësor</w:t>
      </w:r>
    </w:p>
    <w:p w:rsidR="009F23E3" w:rsidRPr="00CE2DD0" w:rsidRDefault="009F23E3" w:rsidP="009F23E3">
      <w:pPr>
        <w:numPr>
          <w:ilvl w:val="0"/>
          <w:numId w:val="42"/>
        </w:numPr>
        <w:tabs>
          <w:tab w:val="left" w:pos="270"/>
        </w:tabs>
        <w:spacing w:line="276" w:lineRule="auto"/>
        <w:ind w:left="180" w:firstLine="90"/>
        <w:jc w:val="both"/>
        <w:rPr>
          <w:rFonts w:eastAsia="Calibri"/>
          <w:bCs/>
          <w:kern w:val="24"/>
        </w:rPr>
      </w:pPr>
      <w:r w:rsidRPr="00EE2DE7">
        <w:rPr>
          <w:rFonts w:eastAsia="Times New Roman"/>
          <w:kern w:val="24"/>
          <w:lang w:eastAsia="de-DE"/>
        </w:rPr>
        <w:t>Detyrimi për organizimin e procedurave të rekrutimit nëpërmjet organizimit të provimit të pranimit</w:t>
      </w:r>
      <w:r w:rsidRPr="00CE2DD0">
        <w:rPr>
          <w:rFonts w:eastAsia="Times New Roman"/>
          <w:kern w:val="24"/>
          <w:lang w:eastAsia="de-DE"/>
        </w:rPr>
        <w:t>:</w:t>
      </w:r>
    </w:p>
    <w:p w:rsidR="009F23E3" w:rsidRPr="00CE2DD0" w:rsidRDefault="009F23E3" w:rsidP="009F23E3">
      <w:pPr>
        <w:numPr>
          <w:ilvl w:val="0"/>
          <w:numId w:val="43"/>
        </w:numPr>
        <w:tabs>
          <w:tab w:val="left" w:pos="270"/>
        </w:tabs>
        <w:spacing w:line="276" w:lineRule="auto"/>
        <w:jc w:val="both"/>
        <w:rPr>
          <w:rFonts w:eastAsia="Times New Roman"/>
          <w:bCs/>
          <w:kern w:val="24"/>
        </w:rPr>
      </w:pPr>
      <w:r w:rsidRPr="00CE2DD0">
        <w:rPr>
          <w:rFonts w:eastAsia="Times New Roman"/>
          <w:b/>
          <w:kern w:val="24"/>
          <w:lang w:eastAsia="de-DE"/>
        </w:rPr>
        <w:t>25 (50) kandidatëve për magjistratë</w:t>
      </w:r>
      <w:r w:rsidRPr="00CE2DD0">
        <w:rPr>
          <w:rFonts w:eastAsia="Times New Roman"/>
          <w:kern w:val="24"/>
          <w:lang w:eastAsia="de-DE"/>
        </w:rPr>
        <w:t xml:space="preserve"> (të ndarë në gjyqtarë dhe prokurorë), sipas procedurës së parashikuar në ligjin nr. 115/2016, “</w:t>
      </w:r>
      <w:r w:rsidRPr="00CE2DD0">
        <w:rPr>
          <w:rFonts w:eastAsia="Times New Roman"/>
          <w:i/>
          <w:kern w:val="24"/>
          <w:lang w:eastAsia="de-DE"/>
        </w:rPr>
        <w:t>Për organet e qeverisjes së sistemit të drejtësisë</w:t>
      </w:r>
      <w:r w:rsidRPr="00CE2DD0">
        <w:rPr>
          <w:rFonts w:eastAsia="Times New Roman"/>
          <w:kern w:val="24"/>
          <w:lang w:eastAsia="de-DE"/>
        </w:rPr>
        <w:t xml:space="preserve">”. Kjo procedurë duhet të fillojë në </w:t>
      </w:r>
      <w:r w:rsidRPr="00CE2DD0">
        <w:rPr>
          <w:rFonts w:eastAsia="Times New Roman"/>
          <w:kern w:val="24"/>
          <w:lang w:eastAsia="de-DE"/>
        </w:rPr>
        <w:lastRenderedPageBreak/>
        <w:t>muajin shkurt të vitit 2019, për vitin akademik 2019-2020. Për shkak të moskrijimit të Këshillit të Lartë Gjyqësor dhe Këshillit të Lartë të Prokurorisë, të cilët do të përcaktonin vendet vakante për kandidatët për gjyqtarë dhe kandidatët për prokurorë, konkursi i pranimit nuk u arrit të realizohej për këtë vit akademik.</w:t>
      </w:r>
    </w:p>
    <w:p w:rsidR="009F23E3" w:rsidRPr="00EE2DE7" w:rsidRDefault="009F23E3" w:rsidP="009F23E3">
      <w:pPr>
        <w:numPr>
          <w:ilvl w:val="0"/>
          <w:numId w:val="43"/>
        </w:numPr>
        <w:tabs>
          <w:tab w:val="left" w:pos="270"/>
        </w:tabs>
        <w:spacing w:line="276" w:lineRule="auto"/>
        <w:jc w:val="both"/>
        <w:rPr>
          <w:rFonts w:eastAsia="Times New Roman"/>
          <w:bCs/>
          <w:kern w:val="24"/>
        </w:rPr>
      </w:pPr>
      <w:r w:rsidRPr="00EE2DE7">
        <w:rPr>
          <w:rFonts w:eastAsia="Times New Roman"/>
          <w:b/>
          <w:kern w:val="24"/>
          <w:lang w:eastAsia="de-DE"/>
        </w:rPr>
        <w:t xml:space="preserve">Kandidatë për avokatë shteti, </w:t>
      </w:r>
      <w:r w:rsidRPr="00EE2DE7">
        <w:rPr>
          <w:rFonts w:eastAsia="Times New Roman"/>
          <w:kern w:val="24"/>
          <w:lang w:eastAsia="de-DE"/>
        </w:rPr>
        <w:t>kërkesat për rekrutim do të vijnë nga Avokatura e Shtetit;</w:t>
      </w:r>
    </w:p>
    <w:p w:rsidR="009F23E3" w:rsidRPr="00EE2DE7" w:rsidRDefault="009F23E3" w:rsidP="009F23E3">
      <w:pPr>
        <w:numPr>
          <w:ilvl w:val="0"/>
          <w:numId w:val="43"/>
        </w:numPr>
        <w:tabs>
          <w:tab w:val="left" w:pos="270"/>
        </w:tabs>
        <w:spacing w:line="276" w:lineRule="auto"/>
        <w:jc w:val="both"/>
        <w:rPr>
          <w:rFonts w:eastAsia="Times New Roman"/>
          <w:bCs/>
          <w:kern w:val="24"/>
        </w:rPr>
      </w:pPr>
      <w:r w:rsidRPr="00EE2DE7">
        <w:rPr>
          <w:rFonts w:eastAsia="Times New Roman"/>
          <w:b/>
          <w:kern w:val="24"/>
          <w:lang w:eastAsia="de-DE"/>
        </w:rPr>
        <w:t xml:space="preserve">Këshilltarë dhe ndihmës ligjorë, kërkesa për vende të lira </w:t>
      </w:r>
      <w:r w:rsidRPr="00EE2DE7">
        <w:rPr>
          <w:rFonts w:eastAsia="Times New Roman"/>
          <w:kern w:val="24"/>
          <w:lang w:eastAsia="de-DE"/>
        </w:rPr>
        <w:t>do të arsyetohet pas procesit të rivlerësimit, i cili do të përcaktojë edhe personat që do të vazhdojnë të qëndrojnë në detyrë. Vendet vakante do të propozohen nga KLGJ</w:t>
      </w:r>
      <w:r>
        <w:rPr>
          <w:rFonts w:eastAsia="Times New Roman"/>
          <w:kern w:val="24"/>
          <w:lang w:eastAsia="de-DE"/>
        </w:rPr>
        <w:t>-ja</w:t>
      </w:r>
      <w:r w:rsidRPr="00EE2DE7">
        <w:rPr>
          <w:rFonts w:eastAsia="Times New Roman"/>
          <w:kern w:val="24"/>
          <w:lang w:eastAsia="de-DE"/>
        </w:rPr>
        <w:t xml:space="preserve"> dhe KLP</w:t>
      </w:r>
      <w:r>
        <w:rPr>
          <w:rFonts w:eastAsia="Times New Roman"/>
          <w:kern w:val="24"/>
          <w:lang w:eastAsia="de-DE"/>
        </w:rPr>
        <w:t>-ja</w:t>
      </w:r>
      <w:r w:rsidRPr="00EE2DE7">
        <w:rPr>
          <w:rFonts w:eastAsia="Times New Roman"/>
          <w:kern w:val="24"/>
          <w:lang w:eastAsia="de-DE"/>
        </w:rPr>
        <w:t>.</w:t>
      </w:r>
    </w:p>
    <w:p w:rsidR="009F23E3" w:rsidRPr="008050D4" w:rsidRDefault="009F23E3" w:rsidP="009F23E3">
      <w:pPr>
        <w:numPr>
          <w:ilvl w:val="0"/>
          <w:numId w:val="43"/>
        </w:numPr>
        <w:tabs>
          <w:tab w:val="left" w:pos="270"/>
        </w:tabs>
        <w:spacing w:line="276" w:lineRule="auto"/>
        <w:jc w:val="both"/>
        <w:rPr>
          <w:rFonts w:eastAsia="Times New Roman"/>
          <w:bCs/>
          <w:kern w:val="24"/>
        </w:rPr>
      </w:pPr>
      <w:r w:rsidRPr="00EE2DE7">
        <w:rPr>
          <w:rFonts w:eastAsia="Times New Roman"/>
          <w:b/>
          <w:kern w:val="24"/>
          <w:lang w:eastAsia="de-DE"/>
        </w:rPr>
        <w:t>Kancelarëve në detyrë</w:t>
      </w:r>
      <w:r w:rsidRPr="00EE2DE7">
        <w:rPr>
          <w:rFonts w:eastAsia="Times New Roman"/>
          <w:kern w:val="24"/>
          <w:lang w:eastAsia="de-DE"/>
        </w:rPr>
        <w:t xml:space="preserve"> (një herë në tre vjet), si edhe të</w:t>
      </w:r>
      <w:r>
        <w:rPr>
          <w:rFonts w:eastAsia="Times New Roman"/>
          <w:kern w:val="24"/>
          <w:lang w:eastAsia="de-DE"/>
        </w:rPr>
        <w:t xml:space="preserve"> kandidatëve për kancelarë. </w:t>
      </w:r>
    </w:p>
    <w:p w:rsidR="009F23E3" w:rsidRPr="00EE2DE7" w:rsidRDefault="009F23E3" w:rsidP="009F23E3">
      <w:pPr>
        <w:tabs>
          <w:tab w:val="left" w:pos="270"/>
        </w:tabs>
        <w:spacing w:line="276" w:lineRule="auto"/>
        <w:ind w:left="990"/>
        <w:jc w:val="both"/>
        <w:rPr>
          <w:rFonts w:eastAsia="Times New Roman"/>
          <w:bCs/>
          <w:kern w:val="24"/>
        </w:rPr>
      </w:pPr>
    </w:p>
    <w:p w:rsidR="009F23E3" w:rsidRPr="00EE2DE7" w:rsidRDefault="009F23E3" w:rsidP="009F23E3">
      <w:pPr>
        <w:tabs>
          <w:tab w:val="left" w:pos="270"/>
        </w:tabs>
        <w:spacing w:line="276" w:lineRule="auto"/>
        <w:ind w:left="270"/>
        <w:jc w:val="both"/>
        <w:rPr>
          <w:rFonts w:eastAsia="Calibri"/>
          <w:bCs/>
          <w:kern w:val="24"/>
        </w:rPr>
      </w:pPr>
      <w:r>
        <w:rPr>
          <w:rFonts w:eastAsia="Times New Roman"/>
          <w:kern w:val="24"/>
          <w:lang w:eastAsia="de-DE"/>
        </w:rPr>
        <w:tab/>
      </w:r>
      <w:r w:rsidRPr="007D1F0E">
        <w:rPr>
          <w:rFonts w:eastAsia="Times New Roman"/>
          <w:kern w:val="24"/>
          <w:lang w:eastAsia="de-DE"/>
        </w:rPr>
        <w:t>3.</w:t>
      </w:r>
      <w:r w:rsidRPr="00EE2DE7">
        <w:rPr>
          <w:rFonts w:eastAsia="Times New Roman"/>
          <w:kern w:val="24"/>
          <w:lang w:eastAsia="de-DE"/>
        </w:rPr>
        <w:t xml:space="preserve"> Detyrimi për kryerjen e testimit profesional, për shkak të ligjit të</w:t>
      </w:r>
      <w:r>
        <w:rPr>
          <w:rFonts w:eastAsia="Times New Roman"/>
          <w:kern w:val="24"/>
          <w:lang w:eastAsia="de-DE"/>
        </w:rPr>
        <w:t xml:space="preserve"> </w:t>
      </w:r>
      <w:r w:rsidRPr="00001903">
        <w:rPr>
          <w:rFonts w:eastAsia="Times New Roman"/>
          <w:i/>
          <w:kern w:val="24"/>
          <w:lang w:eastAsia="de-DE"/>
        </w:rPr>
        <w:t>vetingut</w:t>
      </w:r>
      <w:r w:rsidRPr="00EE2DE7">
        <w:rPr>
          <w:rFonts w:eastAsia="Times New Roman"/>
          <w:kern w:val="24"/>
          <w:lang w:eastAsia="de-DE"/>
        </w:rPr>
        <w:t>, nëpërmjet organizimit të procedurave të provimit të:</w:t>
      </w:r>
      <w:r>
        <w:rPr>
          <w:rFonts w:eastAsia="Times New Roman"/>
          <w:kern w:val="24"/>
          <w:lang w:eastAsia="de-DE"/>
        </w:rPr>
        <w:t xml:space="preserve"> </w:t>
      </w:r>
    </w:p>
    <w:p w:rsidR="009F23E3" w:rsidRPr="008050D4" w:rsidRDefault="009F23E3" w:rsidP="009F23E3">
      <w:pPr>
        <w:numPr>
          <w:ilvl w:val="0"/>
          <w:numId w:val="44"/>
        </w:numPr>
        <w:tabs>
          <w:tab w:val="left" w:pos="270"/>
        </w:tabs>
        <w:spacing w:line="276" w:lineRule="auto"/>
        <w:jc w:val="both"/>
        <w:rPr>
          <w:rFonts w:eastAsia="Times New Roman"/>
          <w:bCs/>
          <w:kern w:val="24"/>
        </w:rPr>
      </w:pPr>
      <w:r w:rsidRPr="00EE2DE7">
        <w:rPr>
          <w:rFonts w:eastAsia="Times New Roman"/>
          <w:kern w:val="24"/>
          <w:lang w:eastAsia="de-DE"/>
        </w:rPr>
        <w:t>kancelarëve në detyrë.</w:t>
      </w:r>
    </w:p>
    <w:p w:rsidR="009F23E3" w:rsidRPr="00EE2DE7" w:rsidRDefault="009F23E3" w:rsidP="009F23E3">
      <w:pPr>
        <w:tabs>
          <w:tab w:val="left" w:pos="270"/>
        </w:tabs>
        <w:spacing w:line="276" w:lineRule="auto"/>
        <w:ind w:left="990"/>
        <w:jc w:val="both"/>
        <w:rPr>
          <w:rFonts w:eastAsia="Times New Roman"/>
          <w:bCs/>
          <w:kern w:val="24"/>
        </w:rPr>
      </w:pPr>
    </w:p>
    <w:p w:rsidR="009F23E3" w:rsidRPr="00EE2DE7" w:rsidRDefault="009F23E3" w:rsidP="009F23E3">
      <w:pPr>
        <w:spacing w:line="276" w:lineRule="auto"/>
        <w:jc w:val="both"/>
        <w:rPr>
          <w:rFonts w:eastAsia="Times New Roman"/>
          <w:kern w:val="24"/>
          <w:lang w:eastAsia="de-DE"/>
        </w:rPr>
      </w:pPr>
      <w:r w:rsidRPr="00EE2DE7">
        <w:rPr>
          <w:rFonts w:eastAsia="Times New Roman"/>
          <w:kern w:val="24"/>
          <w:lang w:eastAsia="de-DE"/>
        </w:rPr>
        <w:t xml:space="preserve">    </w:t>
      </w:r>
      <w:r>
        <w:rPr>
          <w:rFonts w:eastAsia="Times New Roman"/>
          <w:kern w:val="24"/>
          <w:lang w:eastAsia="de-DE"/>
        </w:rPr>
        <w:tab/>
      </w:r>
      <w:r w:rsidRPr="007D1F0E">
        <w:rPr>
          <w:rFonts w:eastAsia="Times New Roman"/>
          <w:kern w:val="24"/>
          <w:lang w:eastAsia="de-DE"/>
        </w:rPr>
        <w:t>4.</w:t>
      </w:r>
      <w:r w:rsidRPr="00EE2DE7">
        <w:rPr>
          <w:rFonts w:eastAsia="Times New Roman"/>
          <w:kern w:val="24"/>
          <w:lang w:eastAsia="de-DE"/>
        </w:rPr>
        <w:t xml:space="preserve"> Detyrimi për Formimin profesional Fillestar të:</w:t>
      </w:r>
    </w:p>
    <w:p w:rsidR="009F23E3" w:rsidRPr="00EE2DE7" w:rsidRDefault="009F23E3" w:rsidP="009F23E3">
      <w:pPr>
        <w:numPr>
          <w:ilvl w:val="0"/>
          <w:numId w:val="45"/>
        </w:numPr>
        <w:spacing w:line="276" w:lineRule="auto"/>
        <w:jc w:val="both"/>
        <w:rPr>
          <w:rFonts w:eastAsia="Times New Roman"/>
          <w:kern w:val="24"/>
          <w:lang w:eastAsia="de-DE"/>
        </w:rPr>
      </w:pPr>
      <w:r w:rsidRPr="00EE2DE7">
        <w:rPr>
          <w:rFonts w:eastAsia="Times New Roman"/>
          <w:b/>
          <w:kern w:val="24"/>
          <w:lang w:eastAsia="de-DE"/>
        </w:rPr>
        <w:t xml:space="preserve">kandidatëve për magjistratë, </w:t>
      </w:r>
      <w:r w:rsidRPr="00EE2DE7">
        <w:rPr>
          <w:rFonts w:eastAsia="Times New Roman"/>
          <w:kern w:val="24"/>
          <w:lang w:eastAsia="de-DE"/>
        </w:rPr>
        <w:t xml:space="preserve">nëpërmjet një programi mësimor trevjeçar, shoqëruar me </w:t>
      </w:r>
      <w:r>
        <w:rPr>
          <w:rFonts w:eastAsia="Times New Roman"/>
          <w:kern w:val="24"/>
          <w:lang w:eastAsia="de-DE"/>
        </w:rPr>
        <w:t>ku</w:t>
      </w:r>
      <w:r w:rsidRPr="00EE2DE7">
        <w:rPr>
          <w:rFonts w:eastAsia="Times New Roman"/>
          <w:kern w:val="24"/>
          <w:lang w:eastAsia="de-DE"/>
        </w:rPr>
        <w:t>rikula të standardeve bashkëkohore të përshtatura edhe me ndryshimet apo detyrimet që kanë të bëjnë me sistemin në kuadër të reformës në drejtësi;</w:t>
      </w:r>
    </w:p>
    <w:p w:rsidR="009F23E3" w:rsidRPr="00EE2DE7" w:rsidRDefault="009F23E3" w:rsidP="009F23E3">
      <w:pPr>
        <w:numPr>
          <w:ilvl w:val="0"/>
          <w:numId w:val="45"/>
        </w:numPr>
        <w:spacing w:line="276" w:lineRule="auto"/>
        <w:jc w:val="both"/>
        <w:rPr>
          <w:rFonts w:eastAsia="Times New Roman"/>
          <w:kern w:val="24"/>
          <w:lang w:eastAsia="de-DE"/>
        </w:rPr>
      </w:pPr>
      <w:r w:rsidRPr="00EE2DE7">
        <w:rPr>
          <w:rFonts w:eastAsia="Times New Roman"/>
          <w:b/>
          <w:kern w:val="24"/>
          <w:lang w:eastAsia="de-DE"/>
        </w:rPr>
        <w:t>kandidatëve për magjistratë, sipas parashikimeve të nenit 165/4 të ligjit nr. 96/2016</w:t>
      </w:r>
      <w:r>
        <w:rPr>
          <w:rFonts w:eastAsia="Times New Roman"/>
          <w:b/>
          <w:kern w:val="24"/>
          <w:lang w:eastAsia="de-DE"/>
        </w:rPr>
        <w:t>,</w:t>
      </w:r>
      <w:r w:rsidRPr="00EE2DE7">
        <w:rPr>
          <w:rFonts w:eastAsia="Times New Roman"/>
          <w:b/>
          <w:kern w:val="24"/>
          <w:lang w:eastAsia="de-DE"/>
        </w:rPr>
        <w:t xml:space="preserve"> “</w:t>
      </w:r>
      <w:r w:rsidRPr="00EE2DE7">
        <w:rPr>
          <w:rFonts w:eastAsia="Times New Roman"/>
          <w:b/>
          <w:i/>
          <w:kern w:val="24"/>
          <w:lang w:eastAsia="de-DE"/>
        </w:rPr>
        <w:t xml:space="preserve">Për statusin e gjyqtarëve </w:t>
      </w:r>
      <w:r w:rsidRPr="00EE2DE7">
        <w:rPr>
          <w:rFonts w:eastAsia="Times New Roman"/>
          <w:b/>
          <w:i/>
          <w:kern w:val="24"/>
          <w:lang w:eastAsia="de-DE"/>
        </w:rPr>
        <w:t>dhe prokurorëve në Republikën e Shqipërisë</w:t>
      </w:r>
      <w:r w:rsidRPr="00EE2DE7">
        <w:rPr>
          <w:rFonts w:eastAsia="Times New Roman"/>
          <w:b/>
          <w:kern w:val="24"/>
          <w:lang w:eastAsia="de-DE"/>
        </w:rPr>
        <w:t xml:space="preserve">“, </w:t>
      </w:r>
      <w:r w:rsidRPr="00EE2DE7">
        <w:rPr>
          <w:rFonts w:eastAsia="Times New Roman"/>
          <w:kern w:val="24"/>
          <w:lang w:eastAsia="de-DE"/>
        </w:rPr>
        <w:t xml:space="preserve">me një </w:t>
      </w:r>
      <w:r>
        <w:rPr>
          <w:rFonts w:eastAsia="Times New Roman"/>
          <w:kern w:val="24"/>
          <w:lang w:eastAsia="de-DE"/>
        </w:rPr>
        <w:t>p</w:t>
      </w:r>
      <w:r w:rsidRPr="00EE2DE7">
        <w:rPr>
          <w:rFonts w:eastAsia="Times New Roman"/>
          <w:kern w:val="24"/>
          <w:lang w:eastAsia="de-DE"/>
        </w:rPr>
        <w:t xml:space="preserve">rogram dyvjeçar trajnimi. Programi i trajnimit dhe plani mësimor për kandidatët për magjistratë, të ardhur nga radhët e ndihmësve/këshilltarëve ligjorë në gjykata dhe prokurori, si subjekte rivlerësimi </w:t>
      </w:r>
      <w:r w:rsidRPr="00EE2DE7">
        <w:rPr>
          <w:rFonts w:eastAsia="Times New Roman"/>
          <w:i/>
          <w:kern w:val="24"/>
          <w:lang w:eastAsia="de-DE"/>
        </w:rPr>
        <w:t>ex officio</w:t>
      </w:r>
      <w:r w:rsidRPr="00EE2DE7">
        <w:rPr>
          <w:rFonts w:eastAsia="Times New Roman"/>
          <w:kern w:val="24"/>
          <w:lang w:eastAsia="de-DE"/>
        </w:rPr>
        <w:t xml:space="preserve"> është përgatitur posaçërisht për këtë kategori, si një detyrim ligjor ndaj Shkollës së Magjistraturës;</w:t>
      </w:r>
    </w:p>
    <w:p w:rsidR="009F23E3" w:rsidRPr="00EE2DE7" w:rsidRDefault="009F23E3" w:rsidP="009F23E3">
      <w:pPr>
        <w:numPr>
          <w:ilvl w:val="0"/>
          <w:numId w:val="45"/>
        </w:numPr>
        <w:spacing w:line="276" w:lineRule="auto"/>
        <w:jc w:val="both"/>
        <w:rPr>
          <w:rFonts w:eastAsia="Times New Roman"/>
          <w:kern w:val="24"/>
          <w:lang w:eastAsia="de-DE"/>
        </w:rPr>
      </w:pPr>
      <w:r w:rsidRPr="00EE2DE7">
        <w:rPr>
          <w:rFonts w:eastAsia="Times New Roman"/>
          <w:b/>
          <w:kern w:val="24"/>
          <w:lang w:eastAsia="de-DE"/>
        </w:rPr>
        <w:t>gjyqtarëve dhe prokurorëve që nuk do të kalojnë procesin e vetingut</w:t>
      </w:r>
      <w:r w:rsidRPr="00EE2DE7">
        <w:rPr>
          <w:rFonts w:eastAsia="Times New Roman"/>
          <w:kern w:val="24"/>
          <w:lang w:eastAsia="de-DE"/>
        </w:rPr>
        <w:t xml:space="preserve"> për arsye të përgatitjes së pamjaftueshme profesionale, nëpërmjet një programi mësimor njëvjeçar të përshtatur për ta, që i përgjigjet eksperiencës dhe përgatitjes që ata kanë;</w:t>
      </w:r>
    </w:p>
    <w:p w:rsidR="009F23E3" w:rsidRPr="00EE2DE7" w:rsidRDefault="009F23E3" w:rsidP="009F23E3">
      <w:pPr>
        <w:numPr>
          <w:ilvl w:val="0"/>
          <w:numId w:val="45"/>
        </w:numPr>
        <w:spacing w:line="276" w:lineRule="auto"/>
        <w:contextualSpacing/>
        <w:jc w:val="both"/>
        <w:rPr>
          <w:rFonts w:eastAsia="Times New Roman"/>
          <w:kern w:val="24"/>
          <w:lang w:eastAsia="de-DE"/>
        </w:rPr>
      </w:pPr>
      <w:r w:rsidRPr="00EE2DE7">
        <w:rPr>
          <w:rFonts w:eastAsia="Times New Roman"/>
          <w:b/>
          <w:kern w:val="24"/>
          <w:lang w:eastAsia="de-DE"/>
        </w:rPr>
        <w:t>kandidatëve për pozicionet në Avokaturën e Shtetit dhe të kandidatëve për ndihmës ligjorë</w:t>
      </w:r>
      <w:r w:rsidRPr="00EE2DE7">
        <w:rPr>
          <w:rFonts w:eastAsia="Times New Roman"/>
          <w:kern w:val="24"/>
          <w:lang w:eastAsia="de-DE"/>
        </w:rPr>
        <w:t xml:space="preserve"> nëpërmjet një programi mësimor dyvjeçar, që i përgjigjet eksperiencës dhe përgatitjes që ata kanë;</w:t>
      </w:r>
    </w:p>
    <w:p w:rsidR="009F23E3" w:rsidRPr="00EE2DE7" w:rsidRDefault="009F23E3" w:rsidP="009F23E3">
      <w:pPr>
        <w:numPr>
          <w:ilvl w:val="0"/>
          <w:numId w:val="45"/>
        </w:numPr>
        <w:spacing w:line="276" w:lineRule="auto"/>
        <w:jc w:val="both"/>
        <w:rPr>
          <w:rFonts w:eastAsia="Times New Roman"/>
          <w:kern w:val="24"/>
          <w:lang w:eastAsia="de-DE"/>
        </w:rPr>
      </w:pPr>
      <w:r w:rsidRPr="00EE2DE7">
        <w:rPr>
          <w:rFonts w:eastAsia="Times New Roman"/>
          <w:b/>
          <w:kern w:val="24"/>
          <w:lang w:eastAsia="de-DE"/>
        </w:rPr>
        <w:t>kandidatëve për kancelarë</w:t>
      </w:r>
      <w:r w:rsidRPr="00EE2DE7">
        <w:rPr>
          <w:rFonts w:eastAsia="Times New Roman"/>
          <w:kern w:val="24"/>
          <w:lang w:eastAsia="de-DE"/>
        </w:rPr>
        <w:t xml:space="preserve"> nëpërmjet një programi tremujor të organizuar si pjesë e Trajnimit Fillestar të tyre.</w:t>
      </w:r>
    </w:p>
    <w:p w:rsidR="009F23E3" w:rsidRPr="00EE2DE7" w:rsidRDefault="009F23E3" w:rsidP="009F23E3">
      <w:pPr>
        <w:spacing w:line="276" w:lineRule="auto"/>
        <w:ind w:left="780"/>
        <w:jc w:val="both"/>
        <w:rPr>
          <w:rFonts w:eastAsia="Times New Roman"/>
          <w:b/>
          <w:kern w:val="24"/>
          <w:lang w:eastAsia="de-DE"/>
        </w:rPr>
      </w:pP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5.</w:t>
      </w:r>
      <w:r w:rsidRPr="00EE2DE7">
        <w:rPr>
          <w:rFonts w:eastAsia="Times New Roman"/>
          <w:kern w:val="24"/>
          <w:lang w:eastAsia="de-DE"/>
        </w:rPr>
        <w:t xml:space="preserve"> Sigurimi i standardit më të lartë në mësimdhënie, nëpërmjet përsosjes dhe përafrimit të programeve të lëndëve me standardet dhe </w:t>
      </w:r>
      <w:r>
        <w:rPr>
          <w:rFonts w:eastAsia="Times New Roman"/>
          <w:kern w:val="24"/>
          <w:lang w:eastAsia="de-DE"/>
        </w:rPr>
        <w:t>ku</w:t>
      </w:r>
      <w:r w:rsidRPr="00EE2DE7">
        <w:rPr>
          <w:rFonts w:eastAsia="Times New Roman"/>
          <w:kern w:val="24"/>
          <w:lang w:eastAsia="de-DE"/>
        </w:rPr>
        <w:t>rikulat e vendeve e</w:t>
      </w:r>
      <w:r>
        <w:rPr>
          <w:rFonts w:eastAsia="Times New Roman"/>
          <w:kern w:val="24"/>
          <w:lang w:eastAsia="de-DE"/>
        </w:rPr>
        <w:t>u</w:t>
      </w:r>
      <w:r w:rsidRPr="00EE2DE7">
        <w:rPr>
          <w:rFonts w:eastAsia="Times New Roman"/>
          <w:kern w:val="24"/>
          <w:lang w:eastAsia="de-DE"/>
        </w:rPr>
        <w:t>ropiane. Një nga objektivat e Shkollës së Magjistraturës është edhe rishikimi i  Programeve dhe planeve mësimor</w:t>
      </w:r>
      <w:r>
        <w:rPr>
          <w:rFonts w:eastAsia="Times New Roman"/>
          <w:kern w:val="24"/>
          <w:lang w:eastAsia="de-DE"/>
        </w:rPr>
        <w:t>e</w:t>
      </w:r>
      <w:r w:rsidRPr="00EE2DE7">
        <w:rPr>
          <w:rFonts w:eastAsia="Times New Roman"/>
          <w:kern w:val="24"/>
          <w:lang w:eastAsia="de-DE"/>
        </w:rPr>
        <w:t xml:space="preserve">, për shkak të ndryshimeve të legjislacionit të brendshëm, si </w:t>
      </w:r>
      <w:r w:rsidRPr="00EE2DE7">
        <w:rPr>
          <w:rFonts w:eastAsia="Calibri"/>
          <w:color w:val="000000"/>
          <w:kern w:val="24"/>
          <w:shd w:val="clear" w:color="auto" w:fill="FFFFFF"/>
        </w:rPr>
        <w:t xml:space="preserve">dhe në përputhje me </w:t>
      </w:r>
      <w:r w:rsidRPr="00EE2DE7">
        <w:rPr>
          <w:rFonts w:eastAsia="Calibri"/>
          <w:i/>
          <w:color w:val="000000"/>
          <w:kern w:val="24"/>
          <w:shd w:val="clear" w:color="auto" w:fill="FFFFFF"/>
        </w:rPr>
        <w:t>acquis</w:t>
      </w:r>
      <w:r w:rsidRPr="00EE2DE7">
        <w:rPr>
          <w:rFonts w:eastAsia="Calibri"/>
          <w:color w:val="000000"/>
          <w:kern w:val="24"/>
          <w:shd w:val="clear" w:color="auto" w:fill="FFFFFF"/>
        </w:rPr>
        <w:t xml:space="preserve"> </w:t>
      </w:r>
      <w:r>
        <w:rPr>
          <w:rFonts w:eastAsia="Calibri"/>
          <w:color w:val="000000"/>
          <w:kern w:val="24"/>
          <w:shd w:val="clear" w:color="auto" w:fill="FFFFFF"/>
        </w:rPr>
        <w:t>e</w:t>
      </w:r>
      <w:r w:rsidRPr="00EE2DE7">
        <w:rPr>
          <w:rFonts w:eastAsia="Calibri"/>
          <w:color w:val="000000"/>
          <w:kern w:val="24"/>
          <w:shd w:val="clear" w:color="auto" w:fill="FFFFFF"/>
        </w:rPr>
        <w:t xml:space="preserve"> BE-së</w:t>
      </w:r>
      <w:r w:rsidRPr="00EE2DE7">
        <w:rPr>
          <w:rFonts w:eastAsia="Times New Roman"/>
          <w:kern w:val="24"/>
          <w:lang w:eastAsia="de-DE"/>
        </w:rPr>
        <w:t>. Në veçanti do të përqendrohemi te ndryshimet apo detyrimet që kanë të bëjnë me gjyqësorin dhe prokurorinë, në kuadër të reformave në sistemin e drejtësisë nëpërmjet:</w:t>
      </w:r>
    </w:p>
    <w:p w:rsidR="009F23E3" w:rsidRPr="00EE2DE7" w:rsidRDefault="009F23E3" w:rsidP="009F23E3">
      <w:pPr>
        <w:numPr>
          <w:ilvl w:val="0"/>
          <w:numId w:val="45"/>
        </w:numPr>
        <w:spacing w:line="276" w:lineRule="auto"/>
        <w:jc w:val="both"/>
        <w:rPr>
          <w:rFonts w:eastAsia="Times New Roman"/>
          <w:kern w:val="24"/>
          <w:lang w:eastAsia="de-DE"/>
        </w:rPr>
      </w:pPr>
      <w:r w:rsidRPr="00EE2DE7">
        <w:rPr>
          <w:rFonts w:eastAsia="Times New Roman"/>
          <w:kern w:val="24"/>
          <w:lang w:eastAsia="de-DE"/>
        </w:rPr>
        <w:lastRenderedPageBreak/>
        <w:t xml:space="preserve">përgatitjes së </w:t>
      </w:r>
      <w:r>
        <w:rPr>
          <w:rFonts w:eastAsia="Times New Roman"/>
          <w:kern w:val="24"/>
          <w:lang w:eastAsia="de-DE"/>
        </w:rPr>
        <w:t>kur</w:t>
      </w:r>
      <w:r w:rsidRPr="00EE2DE7">
        <w:rPr>
          <w:rFonts w:eastAsia="Times New Roman"/>
          <w:kern w:val="24"/>
          <w:lang w:eastAsia="de-DE"/>
        </w:rPr>
        <w:t xml:space="preserve">ikulave të kandidatëve për magjistratë, 9 kandidatë për gjyqtarë, që vijnë nga radhët e ndihmësve/ këshilltarëve ligjorë, sipas parashikimeve të nenit 165/4 të ligjit </w:t>
      </w:r>
      <w:r>
        <w:rPr>
          <w:rFonts w:eastAsia="Times New Roman"/>
          <w:kern w:val="24"/>
          <w:lang w:eastAsia="de-DE"/>
        </w:rPr>
        <w:t xml:space="preserve">nr. </w:t>
      </w:r>
      <w:r w:rsidRPr="00EE2DE7">
        <w:rPr>
          <w:rFonts w:eastAsia="Times New Roman"/>
          <w:kern w:val="24"/>
          <w:lang w:eastAsia="de-DE"/>
        </w:rPr>
        <w:t xml:space="preserve">96/2016 (viti akademik 2018 - 2019) si edhe për </w:t>
      </w:r>
      <w:r w:rsidRPr="00EE2DE7">
        <w:rPr>
          <w:rFonts w:eastAsia="Times New Roman"/>
          <w:b/>
          <w:kern w:val="24"/>
          <w:lang w:eastAsia="de-DE"/>
        </w:rPr>
        <w:t>kandidatët për pozicionet në Avokaturën e Shtetit dhe të kandidatëve për ndihmës ligjorë</w:t>
      </w:r>
      <w:r w:rsidRPr="00EE2DE7">
        <w:rPr>
          <w:rFonts w:eastAsia="Times New Roman"/>
          <w:kern w:val="24"/>
          <w:lang w:eastAsia="de-DE"/>
        </w:rPr>
        <w:t xml:space="preserve">; </w:t>
      </w:r>
    </w:p>
    <w:p w:rsidR="009F23E3" w:rsidRPr="00EE2DE7" w:rsidRDefault="009F23E3" w:rsidP="009F23E3">
      <w:pPr>
        <w:numPr>
          <w:ilvl w:val="0"/>
          <w:numId w:val="45"/>
        </w:numPr>
        <w:spacing w:line="276" w:lineRule="auto"/>
        <w:jc w:val="both"/>
        <w:rPr>
          <w:rFonts w:eastAsia="Times New Roman"/>
          <w:kern w:val="24"/>
          <w:lang w:eastAsia="de-DE"/>
        </w:rPr>
      </w:pPr>
      <w:r w:rsidRPr="00EE2DE7">
        <w:rPr>
          <w:rFonts w:eastAsia="Times New Roman"/>
          <w:kern w:val="24"/>
          <w:lang w:eastAsia="de-DE"/>
        </w:rPr>
        <w:t xml:space="preserve">përgatitjes së </w:t>
      </w:r>
      <w:r>
        <w:rPr>
          <w:rFonts w:eastAsia="Times New Roman"/>
          <w:kern w:val="24"/>
          <w:lang w:eastAsia="de-DE"/>
        </w:rPr>
        <w:t>kur</w:t>
      </w:r>
      <w:r w:rsidRPr="00EE2DE7">
        <w:rPr>
          <w:rFonts w:eastAsia="Times New Roman"/>
          <w:kern w:val="24"/>
          <w:lang w:eastAsia="de-DE"/>
        </w:rPr>
        <w:t xml:space="preserve">ikulave për Trajnimin Fillestar të kandidatëve për magjistratë që vijnë nga radhët e gjyqtarëve dhe prokurorëve që nuk do të kalojnë procesin e </w:t>
      </w:r>
      <w:r>
        <w:rPr>
          <w:rFonts w:eastAsia="Times New Roman"/>
          <w:kern w:val="24"/>
          <w:lang w:eastAsia="de-DE"/>
        </w:rPr>
        <w:t>vet</w:t>
      </w:r>
      <w:r w:rsidRPr="00EE2DE7">
        <w:rPr>
          <w:rFonts w:eastAsia="Times New Roman"/>
          <w:kern w:val="24"/>
          <w:lang w:eastAsia="de-DE"/>
        </w:rPr>
        <w:t>ingut për arsye të përgatitjes së pamjaftueshme profesionale,</w:t>
      </w:r>
    </w:p>
    <w:p w:rsidR="009F23E3" w:rsidRPr="00EE2DE7" w:rsidRDefault="009F23E3" w:rsidP="009F23E3">
      <w:pPr>
        <w:numPr>
          <w:ilvl w:val="0"/>
          <w:numId w:val="45"/>
        </w:numPr>
        <w:spacing w:line="276" w:lineRule="auto"/>
        <w:jc w:val="both"/>
        <w:rPr>
          <w:rFonts w:eastAsia="Times New Roman"/>
          <w:kern w:val="24"/>
          <w:lang w:eastAsia="de-DE"/>
        </w:rPr>
      </w:pPr>
      <w:r w:rsidRPr="00EE2DE7">
        <w:rPr>
          <w:rFonts w:eastAsia="Times New Roman"/>
          <w:kern w:val="24"/>
          <w:lang w:eastAsia="de-DE"/>
        </w:rPr>
        <w:t xml:space="preserve">përgatitjes së </w:t>
      </w:r>
      <w:r>
        <w:rPr>
          <w:rFonts w:eastAsia="Times New Roman"/>
          <w:kern w:val="24"/>
          <w:lang w:eastAsia="de-DE"/>
        </w:rPr>
        <w:t>kur</w:t>
      </w:r>
      <w:r w:rsidRPr="00EE2DE7">
        <w:rPr>
          <w:rFonts w:eastAsia="Times New Roman"/>
          <w:kern w:val="24"/>
          <w:lang w:eastAsia="de-DE"/>
        </w:rPr>
        <w:t>ikulave për Trajnimin Fillestar të kancelarëve të gjykatave dhe prokurorive;</w:t>
      </w:r>
    </w:p>
    <w:p w:rsidR="009F23E3" w:rsidRPr="00EE2DE7" w:rsidRDefault="009F23E3" w:rsidP="009F23E3">
      <w:pPr>
        <w:numPr>
          <w:ilvl w:val="0"/>
          <w:numId w:val="45"/>
        </w:numPr>
        <w:spacing w:line="276" w:lineRule="auto"/>
        <w:jc w:val="both"/>
        <w:rPr>
          <w:rFonts w:eastAsia="Times New Roman"/>
          <w:kern w:val="24"/>
          <w:lang w:eastAsia="de-DE"/>
        </w:rPr>
      </w:pPr>
      <w:r w:rsidRPr="00EE2DE7">
        <w:rPr>
          <w:rFonts w:eastAsia="Times New Roman"/>
          <w:kern w:val="24"/>
          <w:lang w:eastAsia="de-DE"/>
        </w:rPr>
        <w:t>sigurimit të sallave për mësim të tri grupeve, ku nevojitet të paktën një sallë për çdo grup prej 25 personash;</w:t>
      </w:r>
    </w:p>
    <w:p w:rsidR="009F23E3" w:rsidRPr="00EE2DE7" w:rsidRDefault="009F23E3" w:rsidP="009F23E3">
      <w:pPr>
        <w:numPr>
          <w:ilvl w:val="0"/>
          <w:numId w:val="45"/>
        </w:numPr>
        <w:spacing w:line="276" w:lineRule="auto"/>
        <w:jc w:val="both"/>
        <w:rPr>
          <w:rFonts w:eastAsia="Times New Roman"/>
          <w:kern w:val="24"/>
          <w:lang w:eastAsia="de-DE"/>
        </w:rPr>
      </w:pPr>
      <w:r w:rsidRPr="00EE2DE7">
        <w:rPr>
          <w:rFonts w:eastAsia="Times New Roman"/>
          <w:kern w:val="24"/>
          <w:lang w:eastAsia="de-DE"/>
        </w:rPr>
        <w:t xml:space="preserve">sigurimit të trupës pedagogjike për çdo grup trajnimi dhe për çdo program trajnimi, duke llogaritur që për 20-25 kandidatë që trajnohen nevojiten rreth 35-40 pedagogë për programin e plotë trevjeçar dhe rreth 20 trajnerë në programin më të reduktuar për kategoritë e trajnimit 1.1.2 dhe 1.2.1. </w:t>
      </w:r>
    </w:p>
    <w:p w:rsidR="009F23E3" w:rsidRPr="009A01C5" w:rsidRDefault="009F23E3" w:rsidP="009F23E3">
      <w:pPr>
        <w:numPr>
          <w:ilvl w:val="0"/>
          <w:numId w:val="45"/>
        </w:numPr>
        <w:spacing w:line="276" w:lineRule="auto"/>
        <w:jc w:val="both"/>
        <w:rPr>
          <w:rFonts w:eastAsia="Times New Roman"/>
          <w:kern w:val="24"/>
          <w:lang w:eastAsia="de-DE"/>
        </w:rPr>
      </w:pPr>
      <w:r w:rsidRPr="009A01C5">
        <w:rPr>
          <w:rFonts w:eastAsia="Times New Roman"/>
          <w:kern w:val="24"/>
          <w:lang w:eastAsia="de-DE"/>
        </w:rPr>
        <w:t xml:space="preserve">sigurimit të një shtese në stafin pedagogjik dhe administrativ me të paktën 2-3 persona për çdo program trajnimi gjatë tri viteve në vazhdim. </w:t>
      </w:r>
    </w:p>
    <w:p w:rsidR="009F23E3" w:rsidRPr="00EE2DE7" w:rsidRDefault="009F23E3" w:rsidP="009F23E3">
      <w:pPr>
        <w:spacing w:line="276" w:lineRule="auto"/>
        <w:rPr>
          <w:rFonts w:eastAsia="Calibri"/>
          <w:kern w:val="24"/>
        </w:rPr>
      </w:pPr>
    </w:p>
    <w:p w:rsidR="009F23E3" w:rsidRPr="008050D4"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6.</w:t>
      </w:r>
      <w:r w:rsidRPr="00EE2DE7">
        <w:rPr>
          <w:rFonts w:eastAsia="Times New Roman"/>
          <w:kern w:val="24"/>
          <w:lang w:eastAsia="de-DE"/>
        </w:rPr>
        <w:t xml:space="preserve"> Rritja e nivelit të mësimdhënies nga pedagogët edhe nëpërmjet ndërtimit të një sistemi vlerësimi të Trajnimit Fillestar nga vetë kandidatët për magjistrat. Shkolla duhet të mbështetet te një staf pedagogjik me përvojë. Për këtë arsye, ne kemi ndërtuar një </w:t>
      </w:r>
      <w:r w:rsidRPr="00EE2DE7">
        <w:rPr>
          <w:rFonts w:eastAsia="Times New Roman"/>
          <w:kern w:val="24"/>
          <w:lang w:eastAsia="de-DE"/>
        </w:rPr>
        <w:t xml:space="preserve">sistem të vlerësimit të nivelit të Trajnimit Fillestar, ku kryesisht kandidatët për magjistrat shprehen anonimisht për nivelin e organizimit të procesit mësimor, duke filluar nga programet, struktura e tyre, tematika, metodologjia, pedagogët dhe specialistët, me qëllim që të pasqyrohen ndryshimet për vitet e ardhshme akademike. Për të rritur shkallën e profesionalizmit në mësimdhënie, duhet të bëhet kujdes në zbatimin e sistemit të vlerësimit të pedagogëve, për të parë nëse ka nevojë për ndryshime në listën e tyre, si dhe në grupet e lëndëve, të parashikuara në programet mësimore. </w:t>
      </w:r>
      <w:r w:rsidRPr="00EE2DE7">
        <w:rPr>
          <w:rFonts w:eastAsia="Calibri"/>
          <w:kern w:val="24"/>
        </w:rPr>
        <w:t xml:space="preserve">Procesi i vlerësimit të pedagogëve të Formimit Fillestar realizohet në fund të çdo viti akademik dhe kryhet </w:t>
      </w:r>
      <w:r w:rsidRPr="00EE2DE7">
        <w:rPr>
          <w:rFonts w:eastAsia="Times New Roman"/>
          <w:kern w:val="24"/>
          <w:lang w:eastAsia="de-DE"/>
        </w:rPr>
        <w:t>fillimisht nga kandidatët për magjistratë, të cilët plotësojnë pyetësorët në fund të ç</w:t>
      </w:r>
      <w:r>
        <w:rPr>
          <w:rFonts w:eastAsia="Times New Roman"/>
          <w:kern w:val="24"/>
          <w:lang w:eastAsia="de-DE"/>
        </w:rPr>
        <w:t>do</w:t>
      </w:r>
      <w:r w:rsidRPr="00EE2DE7">
        <w:rPr>
          <w:rFonts w:eastAsia="Times New Roman"/>
          <w:kern w:val="24"/>
          <w:lang w:eastAsia="de-DE"/>
        </w:rPr>
        <w:t xml:space="preserve"> viti akademik, duke respektuar anonimatin</w:t>
      </w:r>
      <w:r w:rsidRPr="00EE2DE7">
        <w:rPr>
          <w:rFonts w:eastAsia="Times New Roman"/>
          <w:kern w:val="24"/>
        </w:rPr>
        <w:t>:</w:t>
      </w:r>
      <w:r w:rsidRPr="00EE2DE7">
        <w:rPr>
          <w:rFonts w:eastAsia="Times New Roman"/>
          <w:i/>
          <w:kern w:val="24"/>
        </w:rPr>
        <w:t xml:space="preserve"> </w:t>
      </w:r>
      <w:r w:rsidRPr="00EE2DE7">
        <w:rPr>
          <w:rFonts w:eastAsia="Times New Roman"/>
          <w:kern w:val="24"/>
        </w:rPr>
        <w:t>Përgjegjësi i Formimit Fillestar përgatit një relacion me shkrim në fund të çdo viti akademik me vlerësimet për punën e çdo pedagogu/specialisti, të aktivizuar gjatë vitit akademik të</w:t>
      </w:r>
      <w:r w:rsidRPr="00EE2DE7">
        <w:rPr>
          <w:rFonts w:eastAsia="Times New Roman"/>
          <w:kern w:val="24"/>
          <w:lang w:eastAsia="de-DE"/>
        </w:rPr>
        <w:t xml:space="preserve"> cilin ia drejton Drejtorit të Shkollës. </w:t>
      </w:r>
      <w:r w:rsidRPr="00EE2DE7">
        <w:rPr>
          <w:rFonts w:eastAsia="Times New Roman"/>
          <w:kern w:val="24"/>
        </w:rPr>
        <w:t xml:space="preserve">Drejtori i Shkollës, çdo fillim viti akademik përgatit një raport për Këshillin Drejtues mbi rezultatet e vlerësimit të pedagogëve/specialistëve gjatë vitit pararendës akademik, së bashku me propozimet për marrjen e masave për largimin apo ndryshimin e atyre që nuk plotësojnë kriteret, me qëllim që Këshilli Drejtues të realizojë vendimmarrjen e tij në formën e dhënies së </w:t>
      </w:r>
      <w:r w:rsidRPr="00EE2DE7">
        <w:rPr>
          <w:rFonts w:eastAsia="Times New Roman"/>
          <w:i/>
          <w:kern w:val="24"/>
        </w:rPr>
        <w:t>Vlerësimit Përfundimtar.</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8050D4">
        <w:rPr>
          <w:rFonts w:eastAsia="Times New Roman"/>
          <w:b/>
          <w:kern w:val="24"/>
          <w:lang w:eastAsia="de-DE"/>
        </w:rPr>
        <w:t>7.</w:t>
      </w:r>
      <w:r w:rsidRPr="00EE2DE7">
        <w:rPr>
          <w:rFonts w:eastAsia="Times New Roman"/>
          <w:kern w:val="24"/>
          <w:lang w:eastAsia="de-DE"/>
        </w:rPr>
        <w:t xml:space="preserve"> Programi i praktikës së vitit të tretë duhet të përmirësohet që kontaktet e Shkollës me kandidatët e praktikës të jenë më aktive dhe më periodike. Kjo do të realizohet përmes takimeve dhe raportimeve mujore të kandidatëve me trupën pedagogjike apo Këshillin Pedagogjik. Gjatë këtij viti, ata nuk </w:t>
      </w:r>
      <w:r w:rsidRPr="00EE2DE7">
        <w:rPr>
          <w:rFonts w:eastAsia="Times New Roman"/>
          <w:kern w:val="24"/>
          <w:lang w:eastAsia="de-DE"/>
        </w:rPr>
        <w:lastRenderedPageBreak/>
        <w:t>do të ushtrojnë drejtpërdrejt funksionin e magjistratit, por do të angazhohen pranë magjistratëve udhëheqës të caktuar për të ndjekur praktikën e tyre profesionale. Gjatë kësaj periudhe ata përfshihen sa më shumë të jetë e mundur në aspekte të punës së përditshme të magjistratëve, me pjesëmarrjen në seancat dëgjimore ose marrjen në pyetje, me përgatitjen dhe diskutimin e projektvendimeve etj. Do të ndiqet në vijimësi përgatitja e tyre gjatë praktikës duke plotësuar formularë</w:t>
      </w:r>
      <w:r>
        <w:rPr>
          <w:rFonts w:eastAsia="Times New Roman"/>
          <w:kern w:val="24"/>
          <w:lang w:eastAsia="de-DE"/>
        </w:rPr>
        <w:t>t e</w:t>
      </w:r>
      <w:r w:rsidRPr="00EE2DE7">
        <w:rPr>
          <w:rFonts w:eastAsia="Times New Roman"/>
          <w:kern w:val="24"/>
          <w:lang w:eastAsia="de-DE"/>
        </w:rPr>
        <w:t xml:space="preserve"> vlerësimi</w:t>
      </w:r>
      <w:r>
        <w:rPr>
          <w:rFonts w:eastAsia="Times New Roman"/>
          <w:kern w:val="24"/>
          <w:lang w:eastAsia="de-DE"/>
        </w:rPr>
        <w:t>t</w:t>
      </w:r>
      <w:r w:rsidRPr="00EE2DE7">
        <w:rPr>
          <w:rFonts w:eastAsia="Times New Roman"/>
          <w:kern w:val="24"/>
          <w:lang w:eastAsia="de-DE"/>
        </w:rPr>
        <w:t xml:space="preserve"> nga magjistratët udhëheqës përgjatë ndjekjes së</w:t>
      </w:r>
      <w:r>
        <w:rPr>
          <w:rFonts w:eastAsia="Times New Roman"/>
          <w:kern w:val="24"/>
          <w:lang w:eastAsia="de-DE"/>
        </w:rPr>
        <w:t xml:space="preserve"> tyre</w:t>
      </w:r>
      <w:r w:rsidRPr="00EE2DE7">
        <w:rPr>
          <w:rFonts w:eastAsia="Times New Roman"/>
          <w:kern w:val="24"/>
          <w:lang w:eastAsia="de-DE"/>
        </w:rPr>
        <w:t>. Qëllimi i këtyre vlerësimeve periodike është që të punohet me kandidatin aty ku ai ka mangësi.</w:t>
      </w:r>
    </w:p>
    <w:p w:rsidR="009F23E3" w:rsidRPr="00EE2DE7" w:rsidRDefault="009F23E3" w:rsidP="009F23E3">
      <w:pPr>
        <w:tabs>
          <w:tab w:val="left" w:pos="270"/>
        </w:tabs>
        <w:spacing w:line="276" w:lineRule="auto"/>
        <w:ind w:left="270"/>
        <w:jc w:val="both"/>
        <w:rPr>
          <w:rFonts w:eastAsia="Times New Roman"/>
          <w:kern w:val="24"/>
          <w:lang w:eastAsia="de-DE"/>
        </w:rPr>
      </w:pPr>
      <w:r w:rsidRPr="00EE2DE7">
        <w:rPr>
          <w:rFonts w:eastAsia="Times New Roman"/>
          <w:kern w:val="24"/>
          <w:lang w:eastAsia="de-DE"/>
        </w:rPr>
        <w:t>Gjithashtu, e rëndësishme është edhe procedura e vlerësimit nga kandidati për magjistrat i magjistratit udhëheqës. Formularët e vlerësimit për magjistratin udhëheqës nga kandidati për magjistrat do të plotësohen gjatë periudhës së praktikës.</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8.</w:t>
      </w:r>
      <w:r w:rsidRPr="00EE2DE7">
        <w:rPr>
          <w:rFonts w:eastAsia="Times New Roman"/>
          <w:kern w:val="24"/>
          <w:lang w:eastAsia="de-DE"/>
        </w:rPr>
        <w:t xml:space="preserve"> Detyrimi për ndjekjen e seminareve të Trajnimit Vazhdues nga kandidatët që ndjekin vitin e tretë të Shkollës, përmes një programi të specifikuar për ta, jo vetëm kundrejt zgjedhjes së temave të seminareve prej tyre, por edhe përzgjedhjes së temave të detyrueshme për t'u ndjekur nga Shkolla, meqenëse viti i tyre i praktikës aktive është jo vetëm një vit prove, por edhe një vit formimi.</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9.</w:t>
      </w:r>
      <w:r w:rsidRPr="00EE2DE7">
        <w:rPr>
          <w:rFonts w:eastAsia="Times New Roman"/>
          <w:kern w:val="24"/>
          <w:lang w:eastAsia="de-DE"/>
        </w:rPr>
        <w:t xml:space="preserve"> Aktivizimi i trajnerëve në Shkollë qoftë për Trajnimin Fillestar, qoftë për Trajnimin Vazhdues, realizohet pasi konkurrohet me dokumentacion prej tyre, në përputhje me kërkesat e ligjit dhe </w:t>
      </w:r>
      <w:r>
        <w:rPr>
          <w:rFonts w:eastAsia="Times New Roman"/>
          <w:kern w:val="24"/>
          <w:lang w:eastAsia="de-DE"/>
        </w:rPr>
        <w:t>R</w:t>
      </w:r>
      <w:r w:rsidRPr="00EE2DE7">
        <w:rPr>
          <w:rFonts w:eastAsia="Times New Roman"/>
          <w:kern w:val="24"/>
          <w:lang w:eastAsia="de-DE"/>
        </w:rPr>
        <w:t>regulloren e Shkollës së Magjistraturës. Prioritet do të jetë përthithja e pedagogëve të huaj, të spikatur në fushat me prioritet për Shkollën, nga Universitete të E</w:t>
      </w:r>
      <w:r>
        <w:rPr>
          <w:rFonts w:eastAsia="Times New Roman"/>
          <w:kern w:val="24"/>
          <w:lang w:eastAsia="de-DE"/>
        </w:rPr>
        <w:t>u</w:t>
      </w:r>
      <w:r w:rsidRPr="00EE2DE7">
        <w:rPr>
          <w:rFonts w:eastAsia="Times New Roman"/>
          <w:kern w:val="24"/>
          <w:lang w:eastAsia="de-DE"/>
        </w:rPr>
        <w:t xml:space="preserve">ropës Perëndimore për të dhënë mësim në lëndë që gjykohen si më thelbësoret, apo aty ku ekspertët shqiptarë </w:t>
      </w:r>
      <w:r>
        <w:rPr>
          <w:rFonts w:eastAsia="Times New Roman"/>
          <w:kern w:val="24"/>
          <w:lang w:eastAsia="de-DE"/>
        </w:rPr>
        <w:t>janë të paktë</w:t>
      </w:r>
      <w:r w:rsidRPr="00EE2DE7">
        <w:rPr>
          <w:rFonts w:eastAsia="Times New Roman"/>
          <w:kern w:val="24"/>
          <w:lang w:eastAsia="de-DE"/>
        </w:rPr>
        <w:t>.</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10.</w:t>
      </w:r>
      <w:r w:rsidRPr="00EE2DE7">
        <w:rPr>
          <w:rFonts w:eastAsia="Times New Roman"/>
          <w:kern w:val="24"/>
          <w:lang w:eastAsia="de-DE"/>
        </w:rPr>
        <w:t xml:space="preserve"> Hartimi i një programi për trajnim trajnerësh, jo vetëm për trajnerët ekzistues, por edhe për çdo trajner të ri, që futet rishtaz</w:t>
      </w:r>
      <w:r>
        <w:rPr>
          <w:rFonts w:eastAsia="Times New Roman"/>
          <w:kern w:val="24"/>
          <w:lang w:eastAsia="de-DE"/>
        </w:rPr>
        <w:t>i</w:t>
      </w:r>
      <w:r w:rsidRPr="00EE2DE7">
        <w:rPr>
          <w:rFonts w:eastAsia="Times New Roman"/>
          <w:kern w:val="24"/>
          <w:lang w:eastAsia="de-DE"/>
        </w:rPr>
        <w:t xml:space="preserve"> në Shkollë, para se të fillojë nga puna, me qëllim unifikimin e metodave të mësimdhënies, duke ruajtur parimet e pavarësisë akademike. Gjithashtu, do të parashikohen trajnime të veçanta për gjyqtarët dhe prokurorët që do të jenë udhëheqës të stazhit të magjistratëve. </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11.</w:t>
      </w:r>
      <w:r w:rsidRPr="00EE2DE7">
        <w:rPr>
          <w:rFonts w:eastAsia="Times New Roman"/>
          <w:kern w:val="24"/>
          <w:lang w:eastAsia="de-DE"/>
        </w:rPr>
        <w:t xml:space="preserve"> Shkolla do të vendosë në dispozicion materiale, artikuj, publikime, do të zhvillojë seminare dhe trajnime dhe do të angazhohet në trajnimin e trajnerëve në mënyrë që të plotësohen e pasurohen njohuritë për çështjet e mëposhtme: institucionet e Bashkimit E</w:t>
      </w:r>
      <w:r>
        <w:rPr>
          <w:rFonts w:eastAsia="Times New Roman"/>
          <w:kern w:val="24"/>
          <w:lang w:eastAsia="de-DE"/>
        </w:rPr>
        <w:t>u</w:t>
      </w:r>
      <w:r w:rsidRPr="00EE2DE7">
        <w:rPr>
          <w:rFonts w:eastAsia="Times New Roman"/>
          <w:kern w:val="24"/>
          <w:lang w:eastAsia="de-DE"/>
        </w:rPr>
        <w:t>ropian dhe burimet ligjore të tij; marrëdhëniet e jashtme të BE-së dhe Planit Kombëtar të Integrimit E</w:t>
      </w:r>
      <w:r>
        <w:rPr>
          <w:rFonts w:eastAsia="Times New Roman"/>
          <w:kern w:val="24"/>
          <w:lang w:eastAsia="de-DE"/>
        </w:rPr>
        <w:t>u</w:t>
      </w:r>
      <w:r w:rsidRPr="00EE2DE7">
        <w:rPr>
          <w:rFonts w:eastAsia="Times New Roman"/>
          <w:kern w:val="24"/>
          <w:lang w:eastAsia="de-DE"/>
        </w:rPr>
        <w:t xml:space="preserve">ropian, funksionet kryesore dhe përbërja e Gjykatës së Drejtësisë; mbrojtja e të drejtave themelore në sistemin ligjor të BE-së; njohja dhe ekzekutimi i vendimeve në vendet e BE-së; dhe e drejta e krijimit të shoqërive dhe profesioneve. </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12.</w:t>
      </w:r>
      <w:r w:rsidRPr="00EE2DE7">
        <w:rPr>
          <w:rFonts w:eastAsia="Times New Roman"/>
          <w:kern w:val="24"/>
          <w:lang w:eastAsia="de-DE"/>
        </w:rPr>
        <w:t xml:space="preserve"> Gjatë kësaj periudhe, do të planifikojmë të identifikojmë nevojat për kurse të reja në fusha të tjera, paralelisht me forcimin e kurseve aktuale. Kurset mund të zhvillohen në lidhje me rritjen e njohurive të gjyqtarëve dhe prokurorëve për efekte e faktorë shoqërorë, në rritjen e përgjegjshmërisë sociale të gjyqtarëve dhe prokurorëve.</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13.</w:t>
      </w:r>
      <w:r w:rsidRPr="00EE2DE7">
        <w:rPr>
          <w:rFonts w:eastAsia="Times New Roman"/>
          <w:kern w:val="24"/>
          <w:lang w:eastAsia="de-DE"/>
        </w:rPr>
        <w:t xml:space="preserve"> Përsa i përket trajnimit praktik, prioriteti ynë është të garantojmë që të trajnuarit të arrijnë nivelin më të lartë të kompetencës në lidhje me natyrën e funksionit të tyre të ardhshëm. Për këtë, Shkolla ka për qëllim ta drejtojë trajnimin drejt praktikave profesionale me qëllim që t’i aftësojë magjistratët e ardhshëm në mënyrë që ata të </w:t>
      </w:r>
      <w:r w:rsidRPr="00EE2DE7">
        <w:rPr>
          <w:rFonts w:eastAsia="Times New Roman"/>
          <w:kern w:val="24"/>
          <w:lang w:eastAsia="de-DE"/>
        </w:rPr>
        <w:lastRenderedPageBreak/>
        <w:t>kryejnë detyrat dhe të zhvillojnë aktivitetet profesionale.</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14.</w:t>
      </w:r>
      <w:r w:rsidRPr="00EE2DE7">
        <w:rPr>
          <w:rFonts w:eastAsia="Times New Roman"/>
          <w:kern w:val="24"/>
          <w:lang w:eastAsia="de-DE"/>
        </w:rPr>
        <w:t xml:space="preserve"> Përmirësimin e komunikimit ndërmjet kandidatëve për magjistratë të të tre viteve (si edhe të të diplomuarve) dhe për këtë qëllim të krijohet një forum diskutimi nëpërmjet faqes sonë të Internetit, në të cilin do të marrin pjesë të gjithë.</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15.</w:t>
      </w:r>
      <w:r w:rsidRPr="00EE2DE7">
        <w:rPr>
          <w:rFonts w:eastAsia="Times New Roman"/>
          <w:kern w:val="24"/>
          <w:lang w:eastAsia="de-DE"/>
        </w:rPr>
        <w:t xml:space="preserve"> Përmirësimin dhe zhvillimin e marrëdhënies me median, jo vetëm për të pasqyruar aktivitetet e Shkollës në funksion të parimit të transparencës dhe informimit, por edhe për të rritur interesin dhe për të forcuar besimin e publikut për Shkollën e Magjistraturës.</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16.</w:t>
      </w:r>
      <w:r w:rsidRPr="00EE2DE7">
        <w:rPr>
          <w:rFonts w:eastAsia="Times New Roman"/>
          <w:kern w:val="24"/>
          <w:lang w:eastAsia="de-DE"/>
        </w:rPr>
        <w:t xml:space="preserve"> Duke njohur rëndësinë kyçe të bashkëpunimit </w:t>
      </w:r>
      <w:r w:rsidRPr="008050D4">
        <w:rPr>
          <w:rFonts w:eastAsia="Times New Roman"/>
          <w:kern w:val="24"/>
          <w:lang w:eastAsia="de-DE"/>
        </w:rPr>
        <w:t>me Këshillin e Lartë të Drejtësisë dhe Prokurorinë e Përgjithshme,</w:t>
      </w:r>
      <w:r w:rsidRPr="00EE2DE7">
        <w:rPr>
          <w:rFonts w:eastAsia="Times New Roman"/>
          <w:kern w:val="24"/>
          <w:lang w:eastAsia="de-DE"/>
        </w:rPr>
        <w:t xml:space="preserve"> në përmbushjen e nevojave të gjyqtarëve dhe prokurorëve për Formimin Fillestar, Shkolla do të vijojë bashkëpunimin me këto organe deri në krijimin e organeve të reja, KLGJ dhe KLP. Me krijimin e KLGJ-së dhe KLP-së, pritet të përgatitet një studim, i cili të japë një analizë të hollësishme për të ardhmen, lidhur me dy drejtime:</w:t>
      </w:r>
    </w:p>
    <w:p w:rsidR="009F23E3" w:rsidRPr="00EE2DE7" w:rsidRDefault="009F23E3" w:rsidP="009F23E3">
      <w:pPr>
        <w:numPr>
          <w:ilvl w:val="0"/>
          <w:numId w:val="46"/>
        </w:numPr>
        <w:tabs>
          <w:tab w:val="left" w:pos="270"/>
        </w:tabs>
        <w:spacing w:line="276" w:lineRule="auto"/>
        <w:jc w:val="both"/>
        <w:rPr>
          <w:rFonts w:eastAsia="Times New Roman"/>
          <w:kern w:val="24"/>
          <w:lang w:eastAsia="de-DE"/>
        </w:rPr>
      </w:pPr>
      <w:r w:rsidRPr="00EE2DE7">
        <w:rPr>
          <w:rFonts w:eastAsia="Times New Roman"/>
          <w:kern w:val="24"/>
        </w:rPr>
        <w:t>së pari, lidhur me vendet vakante dhe nevojat e gjyqësorit dhe prokurorisë për gjyqtarë e prokurorë të rinj, për të parë se si do të riorganizohen gjykatat dhe strukturat e tyre, sa vetë dalin në pension, sa transferohen n</w:t>
      </w:r>
      <w:r>
        <w:rPr>
          <w:rFonts w:eastAsia="Times New Roman"/>
          <w:kern w:val="24"/>
        </w:rPr>
        <w:t>ë fusha të tjera, sa shkarkohen</w:t>
      </w:r>
      <w:r w:rsidRPr="00EE2DE7">
        <w:rPr>
          <w:rFonts w:eastAsia="Times New Roman"/>
          <w:kern w:val="24"/>
        </w:rPr>
        <w:t xml:space="preserve"> e të tjera</w:t>
      </w:r>
      <w:r>
        <w:rPr>
          <w:rFonts w:eastAsia="Times New Roman"/>
          <w:kern w:val="24"/>
        </w:rPr>
        <w:t>, dhe</w:t>
      </w:r>
      <w:r w:rsidRPr="00EE2DE7">
        <w:rPr>
          <w:rFonts w:eastAsia="Times New Roman"/>
          <w:kern w:val="24"/>
        </w:rPr>
        <w:t xml:space="preserve"> </w:t>
      </w:r>
    </w:p>
    <w:p w:rsidR="009F23E3" w:rsidRPr="00EE2DE7" w:rsidRDefault="009F23E3" w:rsidP="009F23E3">
      <w:pPr>
        <w:numPr>
          <w:ilvl w:val="0"/>
          <w:numId w:val="46"/>
        </w:numPr>
        <w:tabs>
          <w:tab w:val="left" w:pos="270"/>
        </w:tabs>
        <w:spacing w:line="276" w:lineRule="auto"/>
        <w:jc w:val="both"/>
        <w:rPr>
          <w:rFonts w:eastAsia="Times New Roman"/>
          <w:kern w:val="24"/>
          <w:lang w:eastAsia="de-DE"/>
        </w:rPr>
      </w:pPr>
      <w:r w:rsidRPr="00EE2DE7">
        <w:rPr>
          <w:rFonts w:eastAsia="Times New Roman"/>
          <w:kern w:val="24"/>
        </w:rPr>
        <w:t xml:space="preserve">së dyti, lidhur me parashikimin dhe vlerësimin e kritereve praktike të rekrutimit të tyre, mbështetur në eksperiencën e këtyre viteve, me qëllim që të ecet me një program të qartë, (meqenëse varet shumë shikimi strategjik i Shkollës në varësi të faktit) nëse për një periudhë ajo do të </w:t>
      </w:r>
      <w:r w:rsidRPr="00EE2DE7">
        <w:rPr>
          <w:rFonts w:eastAsia="Times New Roman"/>
          <w:kern w:val="24"/>
        </w:rPr>
        <w:t xml:space="preserve">përqendrohet te Formimi Fillestar, apo do të përqendrohet te Trajnimi Vazhdues dhe botimet e studimet. </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17.</w:t>
      </w:r>
      <w:r w:rsidRPr="00EE2DE7">
        <w:rPr>
          <w:rFonts w:eastAsia="Times New Roman"/>
          <w:kern w:val="24"/>
          <w:lang w:eastAsia="de-DE"/>
        </w:rPr>
        <w:t xml:space="preserve"> Do të rishikojmë çështje të ndryshme që lidhen me vlerësimin e kandidatëve për magjistratë, duke filluar me mënyrën e zhvillimit të konkursit të pranimit, duke u përpjekur që të bëjmë unifikimin e mënyrës së kontrollit të dijeve, me qëllim realizimin e një konkursi sa më të drejtë e të ndershëm, njësoj për të gjithë kandidatët. Për këtë qëllim, gjatë vitit 2018-2019 do të rishikohet dhe do të studiohet programi i provimit të pranimit, për të dy fazat e tij (</w:t>
      </w:r>
      <w:r w:rsidRPr="008050D4">
        <w:rPr>
          <w:rFonts w:eastAsia="Times New Roman"/>
          <w:i/>
          <w:kern w:val="24"/>
          <w:lang w:eastAsia="de-DE"/>
        </w:rPr>
        <w:t>scan-tron</w:t>
      </w:r>
      <w:r w:rsidRPr="00EE2DE7">
        <w:rPr>
          <w:rFonts w:eastAsia="Times New Roman"/>
          <w:kern w:val="24"/>
          <w:lang w:eastAsia="de-DE"/>
        </w:rPr>
        <w:t xml:space="preserve"> dhe testi profesional), do të standardizohet testi i shëndetit mendor dhe psikologjik, i cili është pjesë e procesit të rekrutimit të kandidatëve për magjistratë. Duhet të shkojmë drejt një provimi pranimi ku evidentohet aftësia logjike dhe interpretative e konkurrentit, duke synuar përthithjen e prurjeve më të mira për kandidatët për magjistratë.</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18.</w:t>
      </w:r>
      <w:r w:rsidRPr="00EE2DE7">
        <w:rPr>
          <w:rFonts w:eastAsia="Times New Roman"/>
          <w:kern w:val="24"/>
          <w:lang w:eastAsia="de-DE"/>
        </w:rPr>
        <w:t xml:space="preserve"> Përmirësimin e praktikave për realizmin e provimit përfundimtar të vitit të dytë, i cili zhvillohet në përfundim të ciklit teorik dhe praktiko-teorik të studimeve, për ta bërë vlerësimin përfundimtar, sa më të dobishëm dhe në funksion të klasifikimit të kandidatëve.</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19.</w:t>
      </w:r>
      <w:r w:rsidRPr="00EE2DE7">
        <w:rPr>
          <w:rFonts w:eastAsia="Times New Roman"/>
          <w:kern w:val="24"/>
          <w:lang w:eastAsia="de-DE"/>
        </w:rPr>
        <w:t xml:space="preserve"> Realizimin e procesit të trajnimit teorik të kandidatëve për magjistratë të vitit të parë, për shkak edhe të specifikës së tyre si subjekte të rivlerësimit </w:t>
      </w:r>
      <w:r w:rsidRPr="00EE2DE7">
        <w:rPr>
          <w:rFonts w:eastAsia="Times New Roman"/>
          <w:i/>
          <w:kern w:val="24"/>
          <w:lang w:eastAsia="de-DE"/>
        </w:rPr>
        <w:t>ex officio</w:t>
      </w:r>
      <w:r w:rsidRPr="00EE2DE7">
        <w:rPr>
          <w:rFonts w:eastAsia="Times New Roman"/>
          <w:kern w:val="24"/>
          <w:lang w:eastAsia="de-DE"/>
        </w:rPr>
        <w:t xml:space="preserve"> dhe realizimin e vlerësimit të tyre, duke zhvilluar provimin përfundimtar në përfundim të vitit të parë teorik.</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20.</w:t>
      </w:r>
      <w:r w:rsidRPr="00EE2DE7">
        <w:rPr>
          <w:rFonts w:eastAsia="Times New Roman"/>
          <w:kern w:val="24"/>
          <w:lang w:eastAsia="de-DE"/>
        </w:rPr>
        <w:t xml:space="preserve"> Përgatitjen e një projektplani për vitin e dytë të trajnimit të tyre gjatë praktikës së tyre profesionale, sipas parashikimeve të nenit 165/7 të ligjit </w:t>
      </w:r>
      <w:r>
        <w:rPr>
          <w:rFonts w:eastAsia="Times New Roman"/>
          <w:kern w:val="24"/>
          <w:lang w:eastAsia="de-DE"/>
        </w:rPr>
        <w:t xml:space="preserve">nr. </w:t>
      </w:r>
      <w:r w:rsidRPr="00EE2DE7">
        <w:rPr>
          <w:rFonts w:eastAsia="Times New Roman"/>
          <w:kern w:val="24"/>
          <w:lang w:eastAsia="de-DE"/>
        </w:rPr>
        <w:t>96/2016</w:t>
      </w:r>
      <w:r>
        <w:rPr>
          <w:rFonts w:eastAsia="Times New Roman"/>
          <w:kern w:val="24"/>
          <w:lang w:eastAsia="de-DE"/>
        </w:rPr>
        <w:t>,</w:t>
      </w:r>
      <w:r w:rsidRPr="00EE2DE7">
        <w:rPr>
          <w:rFonts w:eastAsia="Times New Roman"/>
          <w:kern w:val="24"/>
          <w:lang w:eastAsia="de-DE"/>
        </w:rPr>
        <w:t xml:space="preserve"> “</w:t>
      </w:r>
      <w:r w:rsidRPr="00EE2DE7">
        <w:rPr>
          <w:rFonts w:eastAsia="Calibri"/>
          <w:i/>
          <w:kern w:val="24"/>
        </w:rPr>
        <w:t xml:space="preserve">Shkolla e Magjistraturës miraton rregullat për </w:t>
      </w:r>
      <w:r w:rsidRPr="00EE2DE7">
        <w:rPr>
          <w:rFonts w:eastAsia="Calibri"/>
          <w:i/>
          <w:kern w:val="24"/>
        </w:rPr>
        <w:lastRenderedPageBreak/>
        <w:t>procedurën dhe kushtet për pjesëmarrj</w:t>
      </w:r>
      <w:r>
        <w:rPr>
          <w:rFonts w:eastAsia="Calibri"/>
          <w:i/>
          <w:kern w:val="24"/>
        </w:rPr>
        <w:t>en në provimin përfundimtar, ku</w:t>
      </w:r>
      <w:r w:rsidRPr="00EE2DE7">
        <w:rPr>
          <w:rFonts w:eastAsia="Calibri"/>
          <w:i/>
          <w:kern w:val="24"/>
        </w:rPr>
        <w:t>rikulën dhe pjesëmarrjen në kurset e trajnimit.</w:t>
      </w:r>
      <w:r w:rsidRPr="00EE2DE7">
        <w:rPr>
          <w:rFonts w:eastAsia="Times New Roman"/>
          <w:kern w:val="24"/>
          <w:lang w:eastAsia="de-DE"/>
        </w:rPr>
        <w:t>”</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21.</w:t>
      </w:r>
      <w:r w:rsidRPr="00EE2DE7">
        <w:rPr>
          <w:rFonts w:eastAsia="Times New Roman"/>
          <w:kern w:val="24"/>
          <w:lang w:eastAsia="de-DE"/>
        </w:rPr>
        <w:t xml:space="preserve"> Drejtimi i formimit në fushën e mprehjes së aftësive profesionale dhe etikës do të vazhdojë të mbetet i rëndësishëm</w:t>
      </w:r>
      <w:r w:rsidRPr="00EE2DE7">
        <w:rPr>
          <w:rFonts w:eastAsia="Calibri"/>
          <w:kern w:val="24"/>
        </w:rPr>
        <w:t>.</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22.</w:t>
      </w:r>
      <w:r w:rsidRPr="00EE2DE7">
        <w:rPr>
          <w:rFonts w:eastAsia="Times New Roman"/>
          <w:kern w:val="24"/>
          <w:lang w:eastAsia="de-DE"/>
        </w:rPr>
        <w:t xml:space="preserve"> Kontaktimi me ekspertët nga nivele akademike dhe nga praktika gjyqësore lidhur me përgatitjen e materialeve didaktike për kurset e reja që do t’i shtohen programit mësimor për vitin e ardhshëm akademik.</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23.</w:t>
      </w:r>
      <w:r w:rsidRPr="008050D4">
        <w:rPr>
          <w:rFonts w:eastAsia="Times New Roman"/>
          <w:b/>
          <w:kern w:val="24"/>
          <w:lang w:eastAsia="de-DE"/>
        </w:rPr>
        <w:t xml:space="preserve"> </w:t>
      </w:r>
      <w:r w:rsidRPr="00EE2DE7">
        <w:rPr>
          <w:rFonts w:eastAsia="Times New Roman"/>
          <w:kern w:val="24"/>
          <w:lang w:eastAsia="de-DE"/>
        </w:rPr>
        <w:t>Shtimi i numrit të pedagogëve të brendshëm për ndjekjen e praktikës mësimdhënëse të kandidatëve gjatë vitit të dytë dhe të tretë, por edhe për realizimin e programeve të reja akademike, si rrjedhojë e detyrimeve që sjell reforma në drejtësi.</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24.</w:t>
      </w:r>
      <w:r w:rsidRPr="008050D4">
        <w:rPr>
          <w:rFonts w:eastAsia="Times New Roman"/>
          <w:b/>
          <w:kern w:val="24"/>
          <w:lang w:eastAsia="de-DE"/>
        </w:rPr>
        <w:t xml:space="preserve"> </w:t>
      </w:r>
      <w:r w:rsidRPr="00EE2DE7">
        <w:rPr>
          <w:rFonts w:eastAsia="Times New Roman"/>
          <w:kern w:val="24"/>
          <w:lang w:eastAsia="de-DE"/>
        </w:rPr>
        <w:t>Vizita studimore për studentët e vitit të parë dhe të dytë që ndjekin Programin e Formimit Fillestar në gjykatat e Strasburgut dhe Luksemburgut.</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25.</w:t>
      </w:r>
      <w:r w:rsidRPr="008050D4">
        <w:rPr>
          <w:rFonts w:eastAsia="Times New Roman"/>
          <w:b/>
          <w:kern w:val="24"/>
          <w:lang w:eastAsia="de-DE"/>
        </w:rPr>
        <w:t xml:space="preserve"> </w:t>
      </w:r>
      <w:r w:rsidRPr="00EE2DE7">
        <w:rPr>
          <w:rFonts w:eastAsia="Times New Roman"/>
          <w:kern w:val="24"/>
          <w:lang w:eastAsia="de-DE"/>
        </w:rPr>
        <w:t>Praktikë (intership) për kandidatët për magjistratë me rezultate të larta të vitit të tretë në gjykatat e vendeve të BE-së.</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26.</w:t>
      </w:r>
      <w:r w:rsidRPr="00EE2DE7">
        <w:rPr>
          <w:rFonts w:eastAsia="Times New Roman"/>
          <w:kern w:val="24"/>
          <w:lang w:eastAsia="de-DE"/>
        </w:rPr>
        <w:t xml:space="preserve"> Asistencë me profesorë /lektorë ndërkombëtarë në Programin e Formimit Fillestar.</w:t>
      </w:r>
    </w:p>
    <w:p w:rsidR="009F23E3"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27.</w:t>
      </w:r>
      <w:r w:rsidRPr="00EE2DE7">
        <w:rPr>
          <w:rFonts w:eastAsia="Times New Roman"/>
          <w:kern w:val="24"/>
          <w:lang w:eastAsia="de-DE"/>
        </w:rPr>
        <w:t xml:space="preserve"> Përmirësimi në vazhdimësi i punës kërkimore shkencore nëpërmjet Klinikës Ligjore dhe Kërkimore me qëllim ndërgjegjësimin e kandidatëve për magjistratë për çështje të tilla, si: motivimi, argumentimi, transparenca dhe shteti i së drejtës. Duke bërë punë kërkimore ligjore krahasuese të gjerë dhe veçanërisht për çështjet e të drejtave të njeriut që janë pezull përpara institucioneve të drejtësisë, brezi i ri i gjyqtarëve dhe prokurorëve do të prezantohet me një kulturë të re të argumentimit dhe motivimit ligjor. Për rrjedhojë, është e pritshme që kandidatët për magjistratë të fusin këtë kulturë në gjykatat </w:t>
      </w:r>
      <w:r w:rsidRPr="00EE2DE7">
        <w:rPr>
          <w:rFonts w:eastAsia="Times New Roman"/>
          <w:kern w:val="24"/>
          <w:lang w:eastAsia="de-DE"/>
        </w:rPr>
        <w:t xml:space="preserve">dhe prokuroritë ku do të punojnë në të ardhmen. Krahas kësaj, kjo Klinikë do të ketë një ndikim pozitiv në cilësinë – përsa i përket motivimit dhe argumentimit – e institucioneve kyç të sistemit gjyqësor në vendin tonë. Ky ndikim pozitiv do të jetë rezultat jo vetëm i konsulencës që do të marrin institucionet nga kandidatët për magjistratë, por edhe nga trajnimi që do të ketë stafi mbështetës i këtyre institucioneve gjatë kohës së projektit. Ky kurs do të kontribuojë në konsolidimin e profilit të Shkollës si një institucion kyç në edukimin ligjor, që kombinon edukimin profesional me kërkimin akademik. </w:t>
      </w:r>
    </w:p>
    <w:p w:rsidR="009F23E3" w:rsidRPr="009F23E3" w:rsidRDefault="009F23E3" w:rsidP="009F23E3">
      <w:pPr>
        <w:tabs>
          <w:tab w:val="left" w:pos="270"/>
        </w:tabs>
        <w:spacing w:line="276" w:lineRule="auto"/>
        <w:ind w:left="270"/>
        <w:jc w:val="both"/>
        <w:rPr>
          <w:rFonts w:eastAsia="Times New Roman"/>
          <w:kern w:val="24"/>
          <w:lang w:eastAsia="de-DE"/>
        </w:rPr>
      </w:pPr>
    </w:p>
    <w:p w:rsidR="009F23E3" w:rsidRPr="009F23E3" w:rsidRDefault="009F23E3" w:rsidP="009F23E3">
      <w:pPr>
        <w:spacing w:line="276" w:lineRule="auto"/>
        <w:jc w:val="both"/>
        <w:rPr>
          <w:b/>
          <w:noProof/>
          <w:color w:val="CC9966" w:themeColor="accent2"/>
          <w:sz w:val="32"/>
          <w:lang w:eastAsia="en-US"/>
        </w:rPr>
      </w:pPr>
      <w:r w:rsidRPr="009F23E3">
        <w:rPr>
          <w:b/>
          <w:noProof/>
          <w:color w:val="CC9966" w:themeColor="accent2"/>
          <w:sz w:val="32"/>
          <w:lang w:eastAsia="en-US"/>
        </w:rPr>
        <w:t>6.2</w:t>
      </w:r>
      <w:r>
        <w:rPr>
          <w:b/>
          <w:noProof/>
          <w:color w:val="CC9966" w:themeColor="accent2"/>
          <w:sz w:val="32"/>
          <w:lang w:eastAsia="en-US"/>
        </w:rPr>
        <w:t>.</w:t>
      </w:r>
      <w:r w:rsidRPr="009F23E3">
        <w:rPr>
          <w:b/>
          <w:noProof/>
          <w:color w:val="CC9966" w:themeColor="accent2"/>
          <w:sz w:val="32"/>
          <w:lang w:eastAsia="en-US"/>
        </w:rPr>
        <w:t xml:space="preserve"> Trajnimi Vazhdues </w:t>
      </w:r>
    </w:p>
    <w:p w:rsidR="009F23E3" w:rsidRPr="00EE2DE7" w:rsidRDefault="009F23E3" w:rsidP="009F23E3">
      <w:pPr>
        <w:spacing w:before="240" w:after="80" w:line="276" w:lineRule="auto"/>
        <w:contextualSpacing/>
        <w:outlineLvl w:val="1"/>
        <w:rPr>
          <w:rFonts w:ascii="Cambria" w:eastAsia="Calibri" w:hAnsi="Cambria"/>
          <w:b/>
          <w:color w:val="244061"/>
          <w:spacing w:val="20"/>
          <w:kern w:val="24"/>
          <w:sz w:val="12"/>
          <w:szCs w:val="28"/>
        </w:rPr>
      </w:pPr>
    </w:p>
    <w:p w:rsidR="009F23E3" w:rsidRPr="007C25A6" w:rsidRDefault="009F23E3" w:rsidP="007C25A6">
      <w:pPr>
        <w:jc w:val="both"/>
        <w:rPr>
          <w:b/>
          <w:noProof/>
          <w:color w:val="CC9966" w:themeColor="accent2"/>
          <w:lang w:eastAsia="en-US"/>
        </w:rPr>
      </w:pPr>
      <w:r w:rsidRPr="009F23E3">
        <w:rPr>
          <w:b/>
          <w:noProof/>
          <w:color w:val="CC9966" w:themeColor="accent2"/>
          <w:lang w:eastAsia="en-US"/>
        </w:rPr>
        <w:t>Objektivat për periudhën 2018-2019</w:t>
      </w:r>
    </w:p>
    <w:p w:rsidR="009F23E3" w:rsidRPr="00EE2DE7" w:rsidRDefault="009F23E3" w:rsidP="009F23E3">
      <w:pPr>
        <w:spacing w:line="276" w:lineRule="auto"/>
        <w:ind w:firstLine="720"/>
        <w:jc w:val="both"/>
        <w:rPr>
          <w:rFonts w:eastAsia="Calibri"/>
          <w:kern w:val="24"/>
        </w:rPr>
      </w:pPr>
      <w:r w:rsidRPr="00EE2DE7">
        <w:rPr>
          <w:rFonts w:eastAsia="Calibri"/>
          <w:kern w:val="24"/>
        </w:rPr>
        <w:t>Viti akademik 2018-2019 është në vazhdim të zbatimit të programit trevjeçar të Formimit Vazhdues, por njëkohësisht, i ndikuar edhe nga ndryshimet më të fundit të ndodhura në legjislacion. Përme</w:t>
      </w:r>
      <w:r>
        <w:rPr>
          <w:rFonts w:eastAsia="Calibri"/>
          <w:kern w:val="24"/>
        </w:rPr>
        <w:t>ndim se gjatë gjithë këtij viti</w:t>
      </w:r>
      <w:r w:rsidRPr="00EE2DE7">
        <w:rPr>
          <w:rFonts w:eastAsia="Calibri"/>
          <w:kern w:val="24"/>
        </w:rPr>
        <w:t xml:space="preserve"> ishte prioritet strukturimi dhe zbatimi i koordinuar i këtij programi për gjyqtarë e prokurorë si edhe implementimi dhe përshtatja me parashikimet në legjislacion.</w:t>
      </w:r>
    </w:p>
    <w:p w:rsidR="009F23E3" w:rsidRPr="00EE2DE7" w:rsidRDefault="009F23E3" w:rsidP="009F23E3">
      <w:pPr>
        <w:spacing w:line="276" w:lineRule="auto"/>
        <w:ind w:firstLine="720"/>
        <w:jc w:val="both"/>
        <w:rPr>
          <w:rFonts w:eastAsia="Calibri"/>
          <w:bCs/>
          <w:kern w:val="24"/>
        </w:rPr>
      </w:pPr>
      <w:r w:rsidRPr="00EE2DE7">
        <w:rPr>
          <w:rFonts w:eastAsia="Calibri"/>
          <w:kern w:val="24"/>
        </w:rPr>
        <w:t xml:space="preserve">Kështu, lidhur me prioritetet </w:t>
      </w:r>
      <w:r w:rsidRPr="00EE2DE7">
        <w:rPr>
          <w:rFonts w:eastAsia="Calibri"/>
          <w:bCs/>
          <w:kern w:val="24"/>
        </w:rPr>
        <w:t>afatshkurtra dhe afatmesme të parashikuara në planin strategjik të Shkollës së Magjistraturës ky program u fokusua në:</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sidRPr="00EE2DE7">
        <w:rPr>
          <w:rFonts w:eastAsia="Times New Roman"/>
          <w:kern w:val="24"/>
          <w:lang w:eastAsia="en-GB"/>
        </w:rPr>
        <w:t xml:space="preserve">Përmirësimin e sistemit të mbajtjes së të dhënave lidhur me aspekte të ndryshme të komponentëve të Trajnimit Vazhdues të tilla, si: listat e pjesëmarrësve, ditët e trajnimit mbi baza vjetore dhe 5-vjeçare, tematika, certifikimi, aplikimi </w:t>
      </w:r>
      <w:r w:rsidRPr="00EE2DE7">
        <w:rPr>
          <w:rFonts w:eastAsia="Times New Roman"/>
          <w:i/>
          <w:kern w:val="24"/>
          <w:lang w:eastAsia="en-GB"/>
        </w:rPr>
        <w:t>on line</w:t>
      </w:r>
      <w:r w:rsidRPr="00EE2DE7">
        <w:rPr>
          <w:rFonts w:eastAsia="Times New Roman"/>
          <w:kern w:val="24"/>
          <w:lang w:eastAsia="en-GB"/>
        </w:rPr>
        <w:t xml:space="preserve"> etj. </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sidRPr="00EE2DE7">
        <w:rPr>
          <w:rFonts w:eastAsia="Times New Roman"/>
          <w:kern w:val="24"/>
          <w:lang w:eastAsia="en-GB"/>
        </w:rPr>
        <w:t>Përmirësimi</w:t>
      </w:r>
      <w:r>
        <w:rPr>
          <w:rFonts w:eastAsia="Times New Roman"/>
          <w:kern w:val="24"/>
          <w:lang w:eastAsia="en-GB"/>
        </w:rPr>
        <w:t xml:space="preserve">n vazhdues të </w:t>
      </w:r>
      <w:r w:rsidRPr="00EE2DE7">
        <w:rPr>
          <w:rFonts w:eastAsia="Times New Roman"/>
          <w:kern w:val="24"/>
          <w:lang w:eastAsia="en-GB"/>
        </w:rPr>
        <w:t>metodologjisë së vlerësimit të nevojave për trajnim dhe përmirësimi</w:t>
      </w:r>
      <w:r>
        <w:rPr>
          <w:rFonts w:eastAsia="Times New Roman"/>
          <w:kern w:val="24"/>
          <w:lang w:eastAsia="en-GB"/>
        </w:rPr>
        <w:t>n e</w:t>
      </w:r>
      <w:r w:rsidRPr="00EE2DE7">
        <w:rPr>
          <w:rFonts w:eastAsia="Times New Roman"/>
          <w:kern w:val="24"/>
          <w:lang w:eastAsia="en-GB"/>
        </w:rPr>
        <w:t xml:space="preserve"> mjeteve dhe metodave të analizës; programimin mbi baza shkencore, organizimin dhe zhvillimin e sesioneve </w:t>
      </w:r>
      <w:r w:rsidRPr="00EE2DE7">
        <w:rPr>
          <w:rFonts w:eastAsia="Times New Roman"/>
          <w:kern w:val="24"/>
          <w:lang w:eastAsia="en-GB"/>
        </w:rPr>
        <w:lastRenderedPageBreak/>
        <w:t>trajnuese të evidentuara nga vlerësimi i nevojave të marra drejtpërdrejt nga aktorët përfitues dhe nga institucionet që afektojnë në sistemin e drejtësisë, përfshi këtu proceset e reformës në drejtësi dhe të atyre integruese në BE etj. Këtu duhet të nënvizohet vendi dhe roli i partnerëve ndërkombëtar</w:t>
      </w:r>
      <w:r w:rsidRPr="00EE2DE7">
        <w:rPr>
          <w:rFonts w:eastAsia="MS Mincho"/>
          <w:kern w:val="24"/>
        </w:rPr>
        <w:t>ë</w:t>
      </w:r>
      <w:r w:rsidRPr="00EE2DE7">
        <w:rPr>
          <w:rFonts w:eastAsia="Times New Roman"/>
          <w:kern w:val="24"/>
          <w:lang w:eastAsia="en-GB"/>
        </w:rPr>
        <w:t xml:space="preserve"> që ende japin një kontribut cilësor në komponentë të ndryshëm të Programit të Formimit Vazhdues. Programi i Formimit Vazhdues do të vazhdojë të ketë një përmbajtje tematike gjithëpërfshirëse. Kështu, edhe në vazhdim, seminaret që do të organizojmë, do të prekin të gjitha fushat e ligjit, si: e drejta civile dhe e drejta procedurale civile me ndryshimet më të fundit në ligj, e drejta penale dhe e drejta procedurale penale me ndryshimet më të fundit në ligj, e drejta familjare dhe e drejta e të miturve me ndryshimet më të fundit në ligj, e drejta administrative, ku pritet që të vazhdohet me sete trajnimesh kushtuar gjyqtarëve të këtyre gjykatave të reja me gjyqtarët e emëruar në rreth e apel, shkrimi dhe arsyetimi ligjor, etika profesionale, e drejta e punës, e drejta tregtare, e drejta kushtetuese, e drejta europiane, të drejtat e njeriut, e drejta ndërkombëtare private, kibernetika, barazia gjinore dhe mosdiskriminimi, e drejta e punës, e drejta familjare, e drejta e falimentimit, e drejta bankare, e drejta ndërkombëtare publike, sistemi i drejtësisë për të miturit etj. </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sidRPr="00EE2DE7">
        <w:rPr>
          <w:rFonts w:eastAsia="Times New Roman"/>
          <w:kern w:val="24"/>
          <w:lang w:eastAsia="en-GB"/>
        </w:rPr>
        <w:t xml:space="preserve">Përmirësimin e aspekteve të koordinimit të aktiviteteve trajnuese dhe zyrtarizimit të protokolleve dhe mënyrave të njoftimit të pjesëmarrësve nga ana e Shkollës dhe e konfirmimit të pjesëmarrjes ose mospjesëmarrjes, përmes metodave on line. </w:t>
      </w:r>
    </w:p>
    <w:p w:rsidR="009F23E3" w:rsidRPr="00EE2DE7" w:rsidRDefault="009F23E3" w:rsidP="009F23E3">
      <w:pPr>
        <w:numPr>
          <w:ilvl w:val="0"/>
          <w:numId w:val="41"/>
        </w:numPr>
        <w:spacing w:line="276" w:lineRule="auto"/>
        <w:ind w:left="360"/>
        <w:contextualSpacing/>
        <w:jc w:val="both"/>
        <w:rPr>
          <w:rFonts w:eastAsia="MS Mincho"/>
          <w:kern w:val="24"/>
        </w:rPr>
      </w:pPr>
      <w:r w:rsidRPr="00EE2DE7">
        <w:rPr>
          <w:rFonts w:eastAsia="MS Mincho"/>
          <w:kern w:val="24"/>
        </w:rPr>
        <w:t xml:space="preserve">Përmirësimin e metodave të trajnimit duke përfshirë mundësinë e trajnimit në distancë dhe </w:t>
      </w:r>
      <w:r>
        <w:rPr>
          <w:rFonts w:eastAsia="MS Mincho"/>
          <w:kern w:val="24"/>
        </w:rPr>
        <w:t>E</w:t>
      </w:r>
      <w:r w:rsidRPr="00EE2DE7">
        <w:rPr>
          <w:rFonts w:eastAsia="MS Mincho"/>
          <w:kern w:val="24"/>
        </w:rPr>
        <w:t>-</w:t>
      </w:r>
      <w:r>
        <w:rPr>
          <w:rFonts w:eastAsia="MS Mincho"/>
          <w:kern w:val="24"/>
        </w:rPr>
        <w:t>l</w:t>
      </w:r>
      <w:r w:rsidRPr="00EE2DE7">
        <w:rPr>
          <w:rFonts w:eastAsia="MS Mincho"/>
          <w:kern w:val="24"/>
        </w:rPr>
        <w:t xml:space="preserve">earning, teknologjitë e reja në ndihmë </w:t>
      </w:r>
      <w:r w:rsidRPr="00EE2DE7">
        <w:rPr>
          <w:rFonts w:eastAsia="MS Mincho"/>
          <w:kern w:val="24"/>
        </w:rPr>
        <w:t xml:space="preserve">të trajnimit, me qëllim rritjen e cilësisë së trajnimit dhe performancës së trajnerëve etj. Tashmë, Shkolla është e mirë orientuar dhe ka hyrë në një fazë të konsoliduar të aktivitetit trajnues duke: u mbështetur në programe trajnuese të detajuara dhe të miratuara paraprakisht, sikurse ka ndodhur edhe me programet e mëparshme të miratuara nga Këshilli Drejtues; ka adoptuar protokolle për koordinimin dhe metodologjinë e mësimdhënies, të përshtatshme për seminaret kjo edhe falë një sërë aktivitetesh të formatit të trajnimit të trajnerëve të organizuara në vazhdimësi; mbledhur materiale si p.sh.: tekste ligjore; doktrina; jurisprudencë, një pjesë e të cilave bëhen edhe pjesë e modulit të çdo aktiviteti trajnues duke orientuar gjyqtarët dhe prokurorët në orientime doktrinare e praktike; individualizuar dhe rinovuar një grup pedagogësh të zgjedhur në bazë të ekspertizës specifike të demonstruar në lidhje me lëndë të veçanta për seminaret nisur edhe sipas vlerësimeve të shprehura nga pjesëmarrësit. </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sidRPr="00EE2DE7">
        <w:rPr>
          <w:rFonts w:eastAsia="Times New Roman"/>
          <w:kern w:val="24"/>
          <w:lang w:eastAsia="en-GB"/>
        </w:rPr>
        <w:t xml:space="preserve">Përmirësimin e metodologjisë në Formimin Vazhdues, përmes trajnimit të trajnerëve në mënyrë të rregullt në fillim të çdo viti akademik, por edhe në vazhdimësi, të seleksionimit dhe të rivlerësimit të kritereve për përzgjedhjen e trajnuesve, duke i dhënë përparësi rritjes së përfshirjes së gjyqtarëve dhe prokurorëve, si edhe ndjekjes me kujdes të procesit për përgatitjen e kurikulave dhe të moduleve të trajnimit prej trajnuesve. Për më tepër, do t’i jepet rëndësi kualifikimit të stafit të ekspertëve trajnues (ose pedagogjik) për seminare të cilat janë krejt të reja për nga tematika, ose të tilla që janë organizuar deri tani nga Shkolla, por pjesërisht janë mbështetur edhe nga ekspertë të ardhur prej partnerëve ndërkombëtarë. </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sidRPr="00EE2DE7">
        <w:rPr>
          <w:rFonts w:eastAsia="Times New Roman"/>
          <w:kern w:val="24"/>
          <w:lang w:eastAsia="en-GB"/>
        </w:rPr>
        <w:lastRenderedPageBreak/>
        <w:t>Realizimin e Programit të Formimit Vazhdues</w:t>
      </w:r>
      <w:r w:rsidRPr="00EE2DE7">
        <w:rPr>
          <w:rFonts w:eastAsia="Times New Roman"/>
          <w:color w:val="FF0000"/>
          <w:kern w:val="24"/>
          <w:lang w:eastAsia="en-GB"/>
        </w:rPr>
        <w:t xml:space="preserve">, </w:t>
      </w:r>
      <w:r w:rsidRPr="00EE2DE7">
        <w:rPr>
          <w:rFonts w:eastAsia="Times New Roman"/>
          <w:kern w:val="24"/>
          <w:lang w:eastAsia="en-GB"/>
        </w:rPr>
        <w:t>nisur edhe nga nevojat që vijnë si nga ndryshimet e legjislacionit, si dhe nga praktika e përditshme e punës së gjyqtarëve dhe prokurorëve. Kjo do të thotë kurse m</w:t>
      </w:r>
      <w:r w:rsidRPr="00EE2DE7">
        <w:rPr>
          <w:rFonts w:eastAsia="MS Mincho"/>
          <w:kern w:val="24"/>
        </w:rPr>
        <w:t>ë</w:t>
      </w:r>
      <w:r w:rsidRPr="00EE2DE7">
        <w:rPr>
          <w:rFonts w:eastAsia="Times New Roman"/>
          <w:kern w:val="24"/>
          <w:lang w:eastAsia="en-GB"/>
        </w:rPr>
        <w:t xml:space="preserve"> të shpeshta për tema të interesit më të gjerë; kurse të niveleve të caktuara për më tepër gjyqtarë dhe prokurorë; dhe kurse në fusha të reja dhe unifikim i tematikës së Formimit Vazhdues. Ndërmjet të tjerash, kurset që janë dhënë dhe që do të vazhdojnë të jepen nuk do të bëhen rutinë, por do të përmirësohen vazhdimisht, bazuar në opinionet e pjesëmarrësve, këshillat e miqve tanë ndërkombëtarë dhe, sigurisht, në përfundimet dhe sugjerimet e stafit tonë pedagogjik.</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sidRPr="00EE2DE7">
        <w:rPr>
          <w:rFonts w:eastAsia="Times New Roman"/>
          <w:kern w:val="24"/>
          <w:lang w:eastAsia="en-GB"/>
        </w:rPr>
        <w:t>Përfshirjen në trajnimet e profesioneve gjyqësore edhe të njohurive teknike që lidhen me: informatikën ligjore, krimin kompjuterik, administrimin e çështjeve dhe gjykatave, teknikat e administrimit të gjyqit, teknikat e hetimit, teknikat e mbledhjes së provave, teknikat e pyetjes së dëshmitarëve me vëmendje të veçantë për dëshmitarët e dobët si të miturit dhe viktimat e krimit, teknikat e ekspertizës gjyqësore, teknikat e dëgjimit, barazia gjinore dhe mosdiskriminimi etj.</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sidRPr="00EE2DE7">
        <w:rPr>
          <w:rFonts w:eastAsia="Times New Roman"/>
          <w:kern w:val="24"/>
          <w:lang w:eastAsia="en-GB"/>
        </w:rPr>
        <w:t xml:space="preserve">Aftësimin e gjyqtarëve dhe prokurorëve në detyrë, në lidhje me implementimin e rregullave kombëtare dhe ndërkombëtare dhe parimet për të drejtën e shtetasve për një gjykim të drejtë e të shpejtë, të drejtën e mbrojtjes dhe të barazisë në gjyq, të drejtën për t’u gjykuar nga një gjyqtar i paanshëm. Në këtë pikëpamje, qëllimi ynë do të jetë vazhdimi, si më parë, i trajnimit të gjyqtarëve e prokurorëve në lidhje me çështje të Konventës Europiane për të Drejtat e Njeriut dhe Etikës Profesionale të Gjyqësorit dhe në të njëjtën kohë, zhvillimin e trajnimeve të reja për aksesin në drejtësi dhe për një lidhje </w:t>
      </w:r>
      <w:r w:rsidRPr="00EE2DE7">
        <w:rPr>
          <w:rFonts w:eastAsia="Times New Roman"/>
          <w:kern w:val="24"/>
          <w:lang w:eastAsia="en-GB"/>
        </w:rPr>
        <w:t>më të drejtpërdrejtë të gjyqtarëve dhe prokurorëve me tema të fokusuara mbi çështje të kontekstit social.</w:t>
      </w:r>
    </w:p>
    <w:p w:rsidR="009F23E3" w:rsidRPr="00EE2DE7" w:rsidRDefault="009F23E3" w:rsidP="009F23E3">
      <w:pPr>
        <w:numPr>
          <w:ilvl w:val="0"/>
          <w:numId w:val="41"/>
        </w:numPr>
        <w:tabs>
          <w:tab w:val="left" w:pos="360"/>
          <w:tab w:val="left" w:pos="990"/>
        </w:tabs>
        <w:autoSpaceDE w:val="0"/>
        <w:autoSpaceDN w:val="0"/>
        <w:adjustRightInd w:val="0"/>
        <w:spacing w:line="276" w:lineRule="auto"/>
        <w:ind w:left="360"/>
        <w:contextualSpacing/>
        <w:jc w:val="both"/>
        <w:rPr>
          <w:rFonts w:eastAsia="Times New Roman"/>
          <w:kern w:val="24"/>
          <w:lang w:eastAsia="en-GB"/>
        </w:rPr>
      </w:pPr>
      <w:r>
        <w:rPr>
          <w:rFonts w:eastAsia="Times New Roman"/>
          <w:kern w:val="24"/>
          <w:lang w:eastAsia="en-GB"/>
        </w:rPr>
        <w:t>P</w:t>
      </w:r>
      <w:r w:rsidRPr="00EE2DE7">
        <w:rPr>
          <w:rFonts w:eastAsia="Times New Roman"/>
          <w:kern w:val="24"/>
          <w:lang w:eastAsia="en-GB"/>
        </w:rPr>
        <w:t>ërditësimi</w:t>
      </w:r>
      <w:r>
        <w:rPr>
          <w:rFonts w:eastAsia="Times New Roman"/>
          <w:kern w:val="24"/>
          <w:lang w:eastAsia="en-GB"/>
        </w:rPr>
        <w:t>n</w:t>
      </w:r>
      <w:r w:rsidRPr="00EE2DE7">
        <w:rPr>
          <w:rFonts w:eastAsia="Times New Roman"/>
          <w:kern w:val="24"/>
          <w:lang w:eastAsia="en-GB"/>
        </w:rPr>
        <w:t xml:space="preserve"> dhe pasurimi</w:t>
      </w:r>
      <w:r>
        <w:rPr>
          <w:rFonts w:eastAsia="Times New Roman"/>
          <w:kern w:val="24"/>
          <w:lang w:eastAsia="en-GB"/>
        </w:rPr>
        <w:t>n e</w:t>
      </w:r>
      <w:r w:rsidRPr="00EE2DE7">
        <w:rPr>
          <w:rFonts w:eastAsia="Times New Roman"/>
          <w:kern w:val="24"/>
          <w:lang w:eastAsia="en-GB"/>
        </w:rPr>
        <w:t xml:space="preserve"> programeve</w:t>
      </w:r>
      <w:r>
        <w:rPr>
          <w:rFonts w:eastAsia="Times New Roman"/>
          <w:kern w:val="24"/>
          <w:lang w:eastAsia="en-GB"/>
        </w:rPr>
        <w:t>, të cilat</w:t>
      </w:r>
      <w:r w:rsidRPr="00EE2DE7">
        <w:rPr>
          <w:rFonts w:eastAsia="Times New Roman"/>
          <w:kern w:val="24"/>
          <w:lang w:eastAsia="en-GB"/>
        </w:rPr>
        <w:t xml:space="preserve"> do të mbetet </w:t>
      </w:r>
      <w:r>
        <w:rPr>
          <w:rFonts w:eastAsia="Times New Roman"/>
          <w:kern w:val="24"/>
          <w:lang w:eastAsia="en-GB"/>
        </w:rPr>
        <w:t>p</w:t>
      </w:r>
      <w:r w:rsidRPr="00EE2DE7">
        <w:rPr>
          <w:rFonts w:eastAsia="Times New Roman"/>
          <w:kern w:val="24"/>
          <w:lang w:eastAsia="en-GB"/>
        </w:rPr>
        <w:t xml:space="preserve">ërsëri prioritet, duke marrë në konsideratë nxitjen që vjen nga jeta shkencore. Trajnimi i gjyqtarëve dhe prokurorëve, i ofruar nga Shkolla, do të investigojë marrëdhëniet ndërmjet të drejtës dhe shkencës, të drejtës dhe filozofisë, të drejtës dhe logjikës, të drejtës dhe psikologjisë dhe të drejtës e ekonomisë. Kjo, me qëllim që ligji të jetë në funksion të shoqërisë. </w:t>
      </w:r>
    </w:p>
    <w:p w:rsidR="009F23E3" w:rsidRPr="00EE2DE7" w:rsidRDefault="009F23E3" w:rsidP="009F23E3">
      <w:pPr>
        <w:numPr>
          <w:ilvl w:val="0"/>
          <w:numId w:val="41"/>
        </w:numPr>
        <w:tabs>
          <w:tab w:val="left" w:pos="540"/>
          <w:tab w:val="left" w:pos="1080"/>
        </w:tabs>
        <w:autoSpaceDE w:val="0"/>
        <w:autoSpaceDN w:val="0"/>
        <w:adjustRightInd w:val="0"/>
        <w:spacing w:line="276" w:lineRule="auto"/>
        <w:ind w:left="360"/>
        <w:contextualSpacing/>
        <w:jc w:val="both"/>
        <w:rPr>
          <w:rFonts w:eastAsia="Times New Roman"/>
          <w:kern w:val="24"/>
          <w:lang w:eastAsia="en-GB"/>
        </w:rPr>
      </w:pPr>
      <w:r w:rsidRPr="00EE2DE7">
        <w:rPr>
          <w:rFonts w:eastAsia="Times New Roman"/>
          <w:kern w:val="24"/>
          <w:lang w:eastAsia="en-GB"/>
        </w:rPr>
        <w:t>Identifikimin nga pikëpamja sasiore t</w:t>
      </w:r>
      <w:r w:rsidRPr="00EE2DE7">
        <w:rPr>
          <w:rFonts w:eastAsia="MS Mincho"/>
          <w:kern w:val="24"/>
        </w:rPr>
        <w:t>ë</w:t>
      </w:r>
      <w:r w:rsidRPr="00EE2DE7">
        <w:rPr>
          <w:rFonts w:eastAsia="Times New Roman"/>
          <w:kern w:val="24"/>
          <w:lang w:eastAsia="en-GB"/>
        </w:rPr>
        <w:t xml:space="preserve"> numrit të gjyqtarëve dhe prokurorëve që do të trajnohen lidhur me legjislacionin dhe standardet e BE-së dhe praktikën ndërkombëtare. Në këtë vështrim, do të studiohet një orientim i tematikës mbi bazë nivelesh dhe duke studiuar realitetin dhe perspektivën e përçimit të këtyre standardeve.</w:t>
      </w:r>
    </w:p>
    <w:p w:rsidR="009F23E3" w:rsidRPr="00EE2DE7" w:rsidRDefault="009F23E3" w:rsidP="009F23E3">
      <w:pPr>
        <w:numPr>
          <w:ilvl w:val="0"/>
          <w:numId w:val="41"/>
        </w:numPr>
        <w:tabs>
          <w:tab w:val="left" w:pos="360"/>
          <w:tab w:val="left" w:pos="540"/>
          <w:tab w:val="left" w:pos="900"/>
        </w:tabs>
        <w:autoSpaceDE w:val="0"/>
        <w:autoSpaceDN w:val="0"/>
        <w:adjustRightInd w:val="0"/>
        <w:spacing w:line="276" w:lineRule="auto"/>
        <w:ind w:left="360"/>
        <w:contextualSpacing/>
        <w:jc w:val="both"/>
        <w:rPr>
          <w:rFonts w:eastAsia="Times New Roman"/>
          <w:kern w:val="24"/>
          <w:lang w:eastAsia="en-GB"/>
        </w:rPr>
      </w:pPr>
      <w:r>
        <w:rPr>
          <w:rFonts w:eastAsia="Times New Roman"/>
          <w:kern w:val="24"/>
          <w:lang w:eastAsia="en-GB"/>
        </w:rPr>
        <w:t>R</w:t>
      </w:r>
      <w:r w:rsidRPr="00EE2DE7">
        <w:rPr>
          <w:rFonts w:eastAsia="Times New Roman"/>
          <w:kern w:val="24"/>
          <w:lang w:eastAsia="en-GB"/>
        </w:rPr>
        <w:t>ritjen e kapaciteteve të trajnerëve lokalë të ardhur nga radh</w:t>
      </w:r>
      <w:r>
        <w:rPr>
          <w:rFonts w:eastAsia="Times New Roman"/>
          <w:kern w:val="24"/>
          <w:lang w:eastAsia="en-GB"/>
        </w:rPr>
        <w:t xml:space="preserve">ët e gjyqtarëve dhe prokurorëve. Shkolla </w:t>
      </w:r>
      <w:r w:rsidRPr="00EE2DE7">
        <w:rPr>
          <w:rFonts w:eastAsia="Times New Roman"/>
          <w:kern w:val="24"/>
          <w:lang w:eastAsia="en-GB"/>
        </w:rPr>
        <w:t xml:space="preserve">do të kujdeset në vazhdimësi për evidentimin e trajnerëve të rinj dhe trajnimin e tyre në vazhdimësi, si dhe do të mbajë në vëmendje gjithashtu, për vendosjen e marrëdhënieve të drejta ndërmjet trajnerëve lokalë dhe atyre ndërkombëtarë. </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Pr>
          <w:rFonts w:eastAsia="Times New Roman"/>
          <w:kern w:val="24"/>
          <w:lang w:eastAsia="en-GB"/>
        </w:rPr>
        <w:t>Trajnimin e</w:t>
      </w:r>
      <w:r w:rsidRPr="00EE2DE7">
        <w:rPr>
          <w:rFonts w:eastAsia="Times New Roman"/>
          <w:kern w:val="24"/>
          <w:lang w:eastAsia="en-GB"/>
        </w:rPr>
        <w:t xml:space="preserve"> kryetarëve të gjykatave dhe drejtuesve të prokurorive, duke pasur parasysh se puna e tyre presupozon aftësi gjyqësore dhe gjithashtu administru</w:t>
      </w:r>
      <w:r>
        <w:rPr>
          <w:rFonts w:eastAsia="Times New Roman"/>
          <w:kern w:val="24"/>
          <w:lang w:eastAsia="en-GB"/>
        </w:rPr>
        <w:t>ese. Në një afat të shkurtër,</w:t>
      </w:r>
      <w:r w:rsidRPr="00EE2DE7">
        <w:rPr>
          <w:rFonts w:eastAsia="Times New Roman"/>
          <w:kern w:val="24"/>
          <w:lang w:eastAsia="en-GB"/>
        </w:rPr>
        <w:t xml:space="preserve"> do të vazhdojmë të zhvillojmë më tej trajnimet për kryetarët e gjykatave në lidhje me: kuadrin ligjor që rregullon statusin, rolin dhe përgjegjësitë e tyre; planifikimin dhe administrimin e zyrave në lidhje me implementimin e reformave administrative dhe gjyqësore; menaxhimin e </w:t>
      </w:r>
      <w:r w:rsidRPr="00EE2DE7">
        <w:rPr>
          <w:rFonts w:eastAsia="Times New Roman"/>
          <w:kern w:val="24"/>
          <w:lang w:eastAsia="en-GB"/>
        </w:rPr>
        <w:lastRenderedPageBreak/>
        <w:t>burimeve njerëzore; kontabilitetin; politikat buxhetore; dhe vlerësimin profesional të gjyqtarëve. Disa sesione trajnuese do të jenë të përbashkëta me kancelarët, përderisa ne shohim detyra dhe përgjegjësi të përbashkëta në lidhje me administrimin e gjykatës. Në të njëjtën mënyrë do të zhvillohen edhe sesione trajnimi specifike të dedikuara prokurorëve të rretheve në fushën e administrimit të prokurorive.</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Pr>
          <w:rFonts w:eastAsia="Times New Roman"/>
          <w:kern w:val="24"/>
          <w:lang w:eastAsia="en-GB"/>
        </w:rPr>
        <w:t>T</w:t>
      </w:r>
      <w:r w:rsidRPr="00EE2DE7">
        <w:rPr>
          <w:rFonts w:eastAsia="Times New Roman"/>
          <w:kern w:val="24"/>
          <w:lang w:eastAsia="en-GB"/>
        </w:rPr>
        <w:t xml:space="preserve">rajnimin e gjyqtarëve dhe prokurorëve edhe me legjislacionin rajonal, me të cilin marrëdhëniet juridiksionale janë më të spikatura. Kështu, do të bëhet orientimi i të gjithë tematikës, për nga nivelet e marrëdhënieve dhe të ndërvarësisë të legjislacionit shqiptar me atë të shteteve të tjera dhe të BE-së; </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sidRPr="00EE2DE7">
        <w:rPr>
          <w:rFonts w:eastAsia="Times New Roman"/>
          <w:kern w:val="24"/>
          <w:lang w:eastAsia="en-GB"/>
        </w:rPr>
        <w:t xml:space="preserve">Nxitjen e gjyqtarëve dhe prokurorëve për përdorimin e teknologjisë ekzistuese dhe në zhvillim. Shkolla ka faqen e saj të internetit, në të cilën do të paraqiten informacione të ndryshme. Do të jemi vazhdimisht të përditësuar me ndryshimet në teknologji dhe do të kërkojmë që të përfitojmë plotësisht nga burimet e disponueshme të internetit. Ndër të tjera, kjo do të përfshijë zhvillimin e mëtejshëm të faqes së internetit në përfitim të gjyqtarëve dhe prokurorëve në detyrë, duke zhvilluar dhe stimuluar përdorimin e forumit të diskutimit në internet dhe përhapjen e informacionit ligjor me anë të komunikimit online me ta. Ne do të vazhdojmë t’i kushtojmë vëmendje përmirësimit të faqes së internetit të Shkollës për ta bërë sa më të dobishme që të mundemi, midis të tjerave duke: futur informacion në lidhje me kurset e ardhshme, në mënyrë që të ketë më tepër pjesëmarrje; me futjen e materialeve ligjore, si leksione jurisprudencë të mbledhura nga </w:t>
      </w:r>
      <w:r w:rsidRPr="00EE2DE7">
        <w:rPr>
          <w:rFonts w:eastAsia="Times New Roman"/>
          <w:kern w:val="24"/>
          <w:lang w:eastAsia="en-GB"/>
        </w:rPr>
        <w:t>seminaret, në mënyrë që njohuritë e trajnimit të përhapen në të gjithë vendin.</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sidRPr="00EE2DE7">
        <w:rPr>
          <w:rFonts w:eastAsia="Times New Roman"/>
          <w:kern w:val="24"/>
          <w:lang w:eastAsia="en-GB"/>
        </w:rPr>
        <w:t>Përdorimi</w:t>
      </w:r>
      <w:r>
        <w:rPr>
          <w:rFonts w:eastAsia="Times New Roman"/>
          <w:kern w:val="24"/>
          <w:lang w:eastAsia="en-GB"/>
        </w:rPr>
        <w:t>n e</w:t>
      </w:r>
      <w:r w:rsidRPr="00EE2DE7">
        <w:rPr>
          <w:rFonts w:eastAsia="Times New Roman"/>
          <w:kern w:val="24"/>
          <w:lang w:eastAsia="en-GB"/>
        </w:rPr>
        <w:t xml:space="preserve"> platform</w:t>
      </w:r>
      <w:r w:rsidRPr="00EE2DE7">
        <w:rPr>
          <w:rFonts w:eastAsia="MS Mincho"/>
          <w:kern w:val="24"/>
        </w:rPr>
        <w:t>ë</w:t>
      </w:r>
      <w:r w:rsidRPr="00EE2DE7">
        <w:rPr>
          <w:rFonts w:eastAsia="Times New Roman"/>
          <w:kern w:val="24"/>
          <w:lang w:eastAsia="en-GB"/>
        </w:rPr>
        <w:t xml:space="preserve">s </w:t>
      </w:r>
      <w:r>
        <w:rPr>
          <w:rFonts w:eastAsia="Times New Roman"/>
          <w:i/>
          <w:kern w:val="24"/>
          <w:lang w:eastAsia="en-GB"/>
        </w:rPr>
        <w:t>E</w:t>
      </w:r>
      <w:r w:rsidRPr="00EE2DE7">
        <w:rPr>
          <w:rFonts w:eastAsia="Times New Roman"/>
          <w:i/>
          <w:kern w:val="24"/>
          <w:lang w:eastAsia="en-GB"/>
        </w:rPr>
        <w:t>-learning</w:t>
      </w:r>
      <w:r w:rsidRPr="00EE2DE7">
        <w:rPr>
          <w:rFonts w:eastAsia="Times New Roman"/>
          <w:kern w:val="24"/>
          <w:lang w:eastAsia="en-GB"/>
        </w:rPr>
        <w:t xml:space="preserve"> n</w:t>
      </w:r>
      <w:r w:rsidRPr="00EE2DE7">
        <w:rPr>
          <w:rFonts w:eastAsia="MS Mincho"/>
          <w:kern w:val="24"/>
        </w:rPr>
        <w:t>ë</w:t>
      </w:r>
      <w:r w:rsidRPr="00EE2DE7">
        <w:rPr>
          <w:rFonts w:eastAsia="Times New Roman"/>
          <w:kern w:val="24"/>
          <w:lang w:eastAsia="en-GB"/>
        </w:rPr>
        <w:t xml:space="preserve"> lidhje me aplikimin apo edhe disponimin e materialeve trajnuese ku çdo gjyqtar apo prokuror, ka mundësinë e pasjes së të gjitha materialeve trajnuese të përdorura nga ekspertët në aktivitetet përkatëse, por edhe të kontrollojnë temat për të cilat ata kanë interes, ka qenë objektiv i realizuar nga Shkolla gjatë vitit akademik 2017-2018. Synohet që platforma të përmir</w:t>
      </w:r>
      <w:r w:rsidRPr="00EE2DE7">
        <w:rPr>
          <w:rFonts w:eastAsia="MS Mincho"/>
          <w:kern w:val="24"/>
        </w:rPr>
        <w:t>ë</w:t>
      </w:r>
      <w:r w:rsidRPr="00EE2DE7">
        <w:rPr>
          <w:rFonts w:eastAsia="Times New Roman"/>
          <w:kern w:val="24"/>
          <w:lang w:eastAsia="en-GB"/>
        </w:rPr>
        <w:t>sohet vazhdimisht në materialet referuese, por dhe në shtimin e numrit të seminareve dhe zgjerimin e përfituesve duke mundësuar  ndjekjen në distancë dhe të seminareve trajnuese, duke ua leht</w:t>
      </w:r>
      <w:r w:rsidRPr="00EE2DE7">
        <w:rPr>
          <w:rFonts w:eastAsia="MS Mincho"/>
          <w:kern w:val="24"/>
        </w:rPr>
        <w:t>ësuar</w:t>
      </w:r>
      <w:r w:rsidRPr="00EE2DE7">
        <w:rPr>
          <w:rFonts w:eastAsia="Times New Roman"/>
          <w:kern w:val="24"/>
          <w:lang w:eastAsia="en-GB"/>
        </w:rPr>
        <w:t xml:space="preserve"> gjyqtar</w:t>
      </w:r>
      <w:r w:rsidRPr="00EE2DE7">
        <w:rPr>
          <w:rFonts w:eastAsia="MS Mincho"/>
          <w:kern w:val="24"/>
        </w:rPr>
        <w:t>ëve</w:t>
      </w:r>
      <w:r w:rsidRPr="00EE2DE7">
        <w:rPr>
          <w:rFonts w:eastAsia="Times New Roman"/>
          <w:kern w:val="24"/>
          <w:lang w:eastAsia="en-GB"/>
        </w:rPr>
        <w:t xml:space="preserve">  dhe prokuror</w:t>
      </w:r>
      <w:r w:rsidRPr="00EE2DE7">
        <w:rPr>
          <w:rFonts w:eastAsia="MS Mincho"/>
          <w:kern w:val="24"/>
        </w:rPr>
        <w:t>ë</w:t>
      </w:r>
      <w:r w:rsidRPr="00EE2DE7">
        <w:rPr>
          <w:rFonts w:eastAsia="Times New Roman"/>
          <w:kern w:val="24"/>
          <w:lang w:eastAsia="en-GB"/>
        </w:rPr>
        <w:t xml:space="preserve"> q</w:t>
      </w:r>
      <w:r w:rsidRPr="00EE2DE7">
        <w:rPr>
          <w:rFonts w:eastAsia="MS Mincho"/>
          <w:kern w:val="24"/>
        </w:rPr>
        <w:t>ë</w:t>
      </w:r>
      <w:r w:rsidRPr="00EE2DE7">
        <w:rPr>
          <w:rFonts w:eastAsia="Times New Roman"/>
          <w:kern w:val="24"/>
          <w:lang w:eastAsia="en-GB"/>
        </w:rPr>
        <w:t xml:space="preserve"> p</w:t>
      </w:r>
      <w:r w:rsidRPr="00EE2DE7">
        <w:rPr>
          <w:rFonts w:eastAsia="MS Mincho"/>
          <w:kern w:val="24"/>
        </w:rPr>
        <w:t>ë</w:t>
      </w:r>
      <w:r w:rsidRPr="00EE2DE7">
        <w:rPr>
          <w:rFonts w:eastAsia="Times New Roman"/>
          <w:kern w:val="24"/>
          <w:lang w:eastAsia="en-GB"/>
        </w:rPr>
        <w:t>r shkak t</w:t>
      </w:r>
      <w:r w:rsidRPr="00EE2DE7">
        <w:rPr>
          <w:rFonts w:eastAsia="MS Mincho"/>
          <w:kern w:val="24"/>
        </w:rPr>
        <w:t>ë</w:t>
      </w:r>
      <w:r w:rsidRPr="00EE2DE7">
        <w:rPr>
          <w:rFonts w:eastAsia="Times New Roman"/>
          <w:kern w:val="24"/>
          <w:lang w:eastAsia="en-GB"/>
        </w:rPr>
        <w:t xml:space="preserve"> larg</w:t>
      </w:r>
      <w:r w:rsidRPr="00EE2DE7">
        <w:rPr>
          <w:rFonts w:eastAsia="MS Mincho"/>
          <w:kern w:val="24"/>
        </w:rPr>
        <w:t>ë</w:t>
      </w:r>
      <w:r w:rsidRPr="00EE2DE7">
        <w:rPr>
          <w:rFonts w:eastAsia="Times New Roman"/>
          <w:kern w:val="24"/>
          <w:lang w:eastAsia="en-GB"/>
        </w:rPr>
        <w:t>sis</w:t>
      </w:r>
      <w:r w:rsidRPr="00EE2DE7">
        <w:rPr>
          <w:rFonts w:eastAsia="MS Mincho"/>
          <w:kern w:val="24"/>
        </w:rPr>
        <w:t>ë</w:t>
      </w:r>
      <w:r w:rsidRPr="00EE2DE7">
        <w:rPr>
          <w:rFonts w:eastAsia="Times New Roman"/>
          <w:kern w:val="24"/>
          <w:lang w:eastAsia="en-GB"/>
        </w:rPr>
        <w:t xml:space="preserve"> gjeografike apo angazhimeve do ta kishin t</w:t>
      </w:r>
      <w:r w:rsidRPr="00EE2DE7">
        <w:rPr>
          <w:rFonts w:eastAsia="MS Mincho"/>
          <w:kern w:val="24"/>
        </w:rPr>
        <w:t>ë</w:t>
      </w:r>
      <w:r w:rsidRPr="00EE2DE7">
        <w:rPr>
          <w:rFonts w:eastAsia="Times New Roman"/>
          <w:kern w:val="24"/>
          <w:lang w:eastAsia="en-GB"/>
        </w:rPr>
        <w:t xml:space="preserve"> pamundur ndjekjen e tyre.</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Pr>
          <w:rFonts w:eastAsia="Times New Roman"/>
          <w:kern w:val="24"/>
          <w:lang w:eastAsia="en-GB"/>
        </w:rPr>
        <w:t>V</w:t>
      </w:r>
      <w:r w:rsidRPr="00EE2DE7">
        <w:rPr>
          <w:rFonts w:eastAsia="Times New Roman"/>
          <w:kern w:val="24"/>
          <w:lang w:eastAsia="en-GB"/>
        </w:rPr>
        <w:t xml:space="preserve">endosjen e pikave të kontaktit me gjykatat dhe prokuroritë në rreth dhe </w:t>
      </w:r>
      <w:r>
        <w:rPr>
          <w:rFonts w:eastAsia="Times New Roman"/>
          <w:kern w:val="24"/>
          <w:lang w:eastAsia="en-GB"/>
        </w:rPr>
        <w:t xml:space="preserve">në </w:t>
      </w:r>
      <w:r w:rsidRPr="00EE2DE7">
        <w:rPr>
          <w:rFonts w:eastAsia="Times New Roman"/>
          <w:kern w:val="24"/>
          <w:lang w:eastAsia="en-GB"/>
        </w:rPr>
        <w:t>apel, me qëllim koordinimin e aktiviteteve duke siguruar komunikim të drejtpërdrejtë dhe në kohë reale. Ky angazhim do të mbetet prioritet i Shkollës edhe për të ardhmen.</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Pr>
          <w:rFonts w:eastAsia="Times New Roman"/>
          <w:kern w:val="24"/>
          <w:lang w:eastAsia="en-GB"/>
        </w:rPr>
        <w:t>Rritjen e disiplinës dhe</w:t>
      </w:r>
      <w:r w:rsidRPr="00EE2DE7">
        <w:rPr>
          <w:rFonts w:eastAsia="Times New Roman"/>
          <w:kern w:val="24"/>
          <w:lang w:eastAsia="en-GB"/>
        </w:rPr>
        <w:t xml:space="preserve"> pj</w:t>
      </w:r>
      <w:r>
        <w:rPr>
          <w:rFonts w:eastAsia="Times New Roman"/>
          <w:kern w:val="24"/>
          <w:lang w:eastAsia="en-GB"/>
        </w:rPr>
        <w:t>esëmarrjes në seminare të</w:t>
      </w:r>
      <w:r w:rsidRPr="00EE2DE7">
        <w:rPr>
          <w:rFonts w:eastAsia="Times New Roman"/>
          <w:kern w:val="24"/>
          <w:lang w:eastAsia="en-GB"/>
        </w:rPr>
        <w:t xml:space="preserve"> pjesëmarrësve dhe do të rrisë shkallën e bashkëpunimit me KLGJ-në dhe KLP-në edhe për këtë problem.</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sidRPr="00EE2DE7">
        <w:rPr>
          <w:rFonts w:eastAsia="Times New Roman"/>
          <w:kern w:val="24"/>
          <w:lang w:eastAsia="en-GB"/>
        </w:rPr>
        <w:t>Organizimi</w:t>
      </w:r>
      <w:r>
        <w:rPr>
          <w:rFonts w:eastAsia="Times New Roman"/>
          <w:kern w:val="24"/>
          <w:lang w:eastAsia="en-GB"/>
        </w:rPr>
        <w:t>n e</w:t>
      </w:r>
      <w:r w:rsidRPr="00EE2DE7">
        <w:rPr>
          <w:rFonts w:eastAsia="Times New Roman"/>
          <w:kern w:val="24"/>
          <w:lang w:eastAsia="en-GB"/>
        </w:rPr>
        <w:t xml:space="preserve"> trajnimeve specifike për gjyqtarët, prokurorët dhe avokatët e shtetit për zbatimin e ligjit për gjykatat administrative.</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sidRPr="00EE2DE7">
        <w:rPr>
          <w:rFonts w:eastAsia="Times New Roman"/>
          <w:kern w:val="24"/>
          <w:lang w:eastAsia="en-GB"/>
        </w:rPr>
        <w:t>Organizimi</w:t>
      </w:r>
      <w:r>
        <w:rPr>
          <w:rFonts w:eastAsia="Times New Roman"/>
          <w:kern w:val="24"/>
          <w:lang w:eastAsia="en-GB"/>
        </w:rPr>
        <w:t>n e</w:t>
      </w:r>
      <w:r w:rsidRPr="00EE2DE7">
        <w:rPr>
          <w:rFonts w:eastAsia="Times New Roman"/>
          <w:kern w:val="24"/>
          <w:lang w:eastAsia="en-GB"/>
        </w:rPr>
        <w:t xml:space="preserve"> trajnimeve specifike për subjektet e tjera të përfshira në programin e Trajnimit Vazhdues, referuar ndryshimeve më të fundit në legjislacion: gjyqtarë të Gjykatës së Lartë dhe prokurorëve të Prokurorisë së Përgjithshme dhe të SPAK-ut; avokatët e shtetit në detyrë; këshilltarët dhe ndihmësit </w:t>
      </w:r>
      <w:r w:rsidRPr="00EE2DE7">
        <w:rPr>
          <w:rFonts w:eastAsia="Times New Roman"/>
          <w:kern w:val="24"/>
          <w:lang w:eastAsia="en-GB"/>
        </w:rPr>
        <w:lastRenderedPageBreak/>
        <w:t xml:space="preserve">ligjorë në detyrë në gjykatat dhe prokuroritë; kancelarët në detyrë në gjykatat dhe prokuroritë si edhe gjyqtarët dhe prokurorët që nuk kalojnë procesin e </w:t>
      </w:r>
      <w:r w:rsidRPr="00EE2DE7">
        <w:rPr>
          <w:rFonts w:eastAsia="Times New Roman"/>
          <w:i/>
          <w:kern w:val="24"/>
          <w:lang w:eastAsia="en-GB"/>
        </w:rPr>
        <w:t>vetingut</w:t>
      </w:r>
      <w:r w:rsidRPr="00EE2DE7">
        <w:rPr>
          <w:rFonts w:eastAsia="Times New Roman"/>
          <w:kern w:val="24"/>
          <w:lang w:eastAsia="en-GB"/>
        </w:rPr>
        <w:t>.</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sidRPr="00EE2DE7">
        <w:rPr>
          <w:rFonts w:eastAsia="Times New Roman"/>
          <w:kern w:val="24"/>
          <w:lang w:eastAsia="en-GB"/>
        </w:rPr>
        <w:t>Identifikimi</w:t>
      </w:r>
      <w:r>
        <w:rPr>
          <w:rFonts w:eastAsia="Times New Roman"/>
          <w:kern w:val="24"/>
          <w:lang w:eastAsia="en-GB"/>
        </w:rPr>
        <w:t>n e</w:t>
      </w:r>
      <w:r w:rsidRPr="00EE2DE7">
        <w:rPr>
          <w:rFonts w:eastAsia="Times New Roman"/>
          <w:kern w:val="24"/>
          <w:lang w:eastAsia="en-GB"/>
        </w:rPr>
        <w:t xml:space="preserve"> nevojave për kurse të reja në fusha të tjera paralelisht me kurset ekzistuese për të rritur aftësitë gjyqësore mbi efektet e faktorëve shoqërorë në rritjen e përgjegjësisë sociale të gjyqtarëve dhe prokurorëve, për shembull, në fushën e logjikës dhe psikologjisë gjyqësore e të tjera.</w:t>
      </w:r>
    </w:p>
    <w:p w:rsidR="009F23E3" w:rsidRPr="00EE2DE7" w:rsidRDefault="009F23E3" w:rsidP="009F23E3">
      <w:pPr>
        <w:spacing w:line="276" w:lineRule="auto"/>
        <w:jc w:val="both"/>
        <w:rPr>
          <w:rFonts w:eastAsia="Calibri"/>
          <w:b/>
          <w:color w:val="1F4E79"/>
          <w:spacing w:val="20"/>
          <w:kern w:val="24"/>
        </w:rPr>
      </w:pPr>
    </w:p>
    <w:p w:rsidR="009F23E3" w:rsidRPr="009F23E3" w:rsidRDefault="009F23E3" w:rsidP="009F23E3">
      <w:pPr>
        <w:spacing w:line="276" w:lineRule="auto"/>
        <w:jc w:val="both"/>
        <w:rPr>
          <w:b/>
          <w:noProof/>
          <w:color w:val="CC9966" w:themeColor="accent2"/>
          <w:sz w:val="32"/>
          <w:lang w:eastAsia="en-US"/>
        </w:rPr>
      </w:pPr>
      <w:r w:rsidRPr="009F23E3">
        <w:rPr>
          <w:b/>
          <w:noProof/>
          <w:color w:val="CC9966" w:themeColor="accent2"/>
          <w:sz w:val="32"/>
          <w:lang w:eastAsia="en-US"/>
        </w:rPr>
        <w:t>6.3</w:t>
      </w:r>
      <w:r>
        <w:rPr>
          <w:b/>
          <w:noProof/>
          <w:color w:val="CC9966" w:themeColor="accent2"/>
          <w:sz w:val="32"/>
          <w:lang w:eastAsia="en-US"/>
        </w:rPr>
        <w:t>.</w:t>
      </w:r>
      <w:r w:rsidRPr="009F23E3">
        <w:rPr>
          <w:b/>
          <w:noProof/>
          <w:color w:val="CC9966" w:themeColor="accent2"/>
          <w:sz w:val="32"/>
          <w:lang w:eastAsia="en-US"/>
        </w:rPr>
        <w:t xml:space="preserve"> Publikimet dhe puna kërkimore-shkencore </w:t>
      </w:r>
    </w:p>
    <w:p w:rsidR="007C25A6" w:rsidRDefault="007C25A6" w:rsidP="009F23E3">
      <w:pPr>
        <w:spacing w:line="276" w:lineRule="auto"/>
        <w:jc w:val="both"/>
        <w:rPr>
          <w:rFonts w:eastAsia="Tw Cen MT"/>
          <w:b/>
          <w:kern w:val="24"/>
        </w:rPr>
      </w:pPr>
    </w:p>
    <w:p w:rsidR="009F23E3" w:rsidRDefault="009F23E3" w:rsidP="009F23E3">
      <w:pPr>
        <w:spacing w:line="276" w:lineRule="auto"/>
        <w:jc w:val="both"/>
        <w:rPr>
          <w:b/>
          <w:noProof/>
          <w:color w:val="CC9966" w:themeColor="accent2"/>
          <w:lang w:eastAsia="en-US"/>
        </w:rPr>
      </w:pPr>
      <w:r w:rsidRPr="009F23E3">
        <w:rPr>
          <w:b/>
          <w:noProof/>
          <w:color w:val="CC9966" w:themeColor="accent2"/>
          <w:lang w:eastAsia="en-US"/>
        </w:rPr>
        <w:t>Objektivat për periudhën 2018-2019</w:t>
      </w:r>
    </w:p>
    <w:p w:rsidR="009F23E3" w:rsidRPr="00EE2DE7" w:rsidRDefault="009F23E3" w:rsidP="009F23E3">
      <w:pPr>
        <w:spacing w:line="276" w:lineRule="auto"/>
        <w:jc w:val="both"/>
      </w:pPr>
      <w:r w:rsidRPr="00EE2DE7">
        <w:rPr>
          <w:rFonts w:eastAsia="Tw Cen MT"/>
          <w:kern w:val="24"/>
        </w:rPr>
        <w:t>Publikimet dhe puna kërkimore do të</w:t>
      </w:r>
      <w:r>
        <w:rPr>
          <w:rFonts w:eastAsia="Tw Cen MT"/>
          <w:kern w:val="24"/>
        </w:rPr>
        <w:t xml:space="preserve"> vazhdojnë të jenë veprimtari e</w:t>
      </w:r>
      <w:r w:rsidRPr="00EE2DE7">
        <w:rPr>
          <w:rFonts w:eastAsia="Tw Cen MT"/>
          <w:kern w:val="24"/>
        </w:rPr>
        <w:t xml:space="preserve"> rënd</w:t>
      </w:r>
      <w:r>
        <w:rPr>
          <w:rFonts w:eastAsia="Tw Cen MT"/>
          <w:kern w:val="24"/>
        </w:rPr>
        <w:t>ësishme e</w:t>
      </w:r>
      <w:r w:rsidRPr="00EE2DE7">
        <w:rPr>
          <w:rFonts w:eastAsia="Tw Cen MT"/>
          <w:kern w:val="24"/>
        </w:rPr>
        <w:t xml:space="preserve">  Shkollës për të mbështetur por dhe pasqyruar veprimtaritë </w:t>
      </w:r>
      <w:r>
        <w:rPr>
          <w:rFonts w:eastAsia="Tw Cen MT"/>
          <w:kern w:val="24"/>
        </w:rPr>
        <w:t>akademike të Formimit Fillestar</w:t>
      </w:r>
      <w:r w:rsidRPr="00EE2DE7">
        <w:rPr>
          <w:rFonts w:eastAsia="Tw Cen MT"/>
          <w:kern w:val="24"/>
        </w:rPr>
        <w:t xml:space="preserve"> dhe Formimit të Vazhduar. Duke punuar së bashku me të gjitha palët e interesuara në fushën e së drejtës synojmë të japim një kontribut të rëndësishëm në literaturën e fushës së jurisprudencës.</w:t>
      </w:r>
      <w:r w:rsidRPr="00EE2DE7">
        <w:t xml:space="preserve">  Shkolla e Magjistraturës do të botojë nën emrin dhe kujdesin e saj tekste të ndryshme</w:t>
      </w:r>
      <w:r>
        <w:t xml:space="preserve"> </w:t>
      </w:r>
      <w:r w:rsidRPr="00EE2DE7">
        <w:t>(monografi, periodik</w:t>
      </w:r>
      <w:r>
        <w:t>ë</w:t>
      </w:r>
      <w:r w:rsidRPr="00EE2DE7">
        <w:t>, manual</w:t>
      </w:r>
      <w:r>
        <w:t>ë</w:t>
      </w:r>
      <w:r w:rsidRPr="00EE2DE7">
        <w:t>, bot</w:t>
      </w:r>
      <w:r>
        <w:t>ime konferencash) në fushën e së</w:t>
      </w:r>
      <w:r w:rsidRPr="00EE2DE7">
        <w:t xml:space="preserve"> drejt</w:t>
      </w:r>
      <w:r>
        <w:t>ës duke ju referuar  publikut të gjerë të juristë</w:t>
      </w:r>
      <w:r w:rsidRPr="00EE2DE7">
        <w:t>ve vendas</w:t>
      </w:r>
      <w:r>
        <w:t>,</w:t>
      </w:r>
      <w:r w:rsidRPr="00EE2DE7">
        <w:t xml:space="preserve"> </w:t>
      </w:r>
      <w:r>
        <w:t xml:space="preserve"> por dhe të r</w:t>
      </w:r>
      <w:r w:rsidRPr="00EE2DE7">
        <w:t>ajonit.</w:t>
      </w:r>
    </w:p>
    <w:p w:rsidR="009F23E3" w:rsidRPr="00EE2DE7" w:rsidRDefault="009F23E3" w:rsidP="009F23E3">
      <w:pPr>
        <w:spacing w:line="276" w:lineRule="auto"/>
        <w:ind w:firstLine="720"/>
        <w:jc w:val="both"/>
        <w:rPr>
          <w:rFonts w:eastAsia="Tw Cen MT"/>
          <w:bCs/>
          <w:kern w:val="24"/>
        </w:rPr>
      </w:pPr>
      <w:r w:rsidRPr="00EE2DE7">
        <w:rPr>
          <w:rFonts w:eastAsia="Tw Cen MT"/>
          <w:kern w:val="24"/>
        </w:rPr>
        <w:t xml:space="preserve">Gjatë periudhës 2018-2019, lidhur me prioritetet </w:t>
      </w:r>
      <w:r w:rsidRPr="00EE2DE7">
        <w:rPr>
          <w:rFonts w:eastAsia="Tw Cen MT"/>
          <w:bCs/>
          <w:kern w:val="24"/>
        </w:rPr>
        <w:t xml:space="preserve">afatshkurtra dhe afatmesme të parashikuara në planin strategjik të Shkollës së Magjistraturës ky program </w:t>
      </w:r>
      <w:r>
        <w:rPr>
          <w:rFonts w:eastAsia="Tw Cen MT"/>
          <w:bCs/>
          <w:kern w:val="24"/>
        </w:rPr>
        <w:t>ka në fokus përparësitë e mëposhtme</w:t>
      </w:r>
      <w:r w:rsidRPr="00EE2DE7">
        <w:rPr>
          <w:rFonts w:eastAsia="Tw Cen MT"/>
          <w:bCs/>
          <w:kern w:val="24"/>
        </w:rPr>
        <w:t>:</w:t>
      </w:r>
    </w:p>
    <w:p w:rsidR="009F23E3" w:rsidRPr="00EE2DE7" w:rsidRDefault="009F23E3" w:rsidP="009F23E3">
      <w:pPr>
        <w:spacing w:line="276" w:lineRule="auto"/>
        <w:ind w:firstLine="720"/>
        <w:jc w:val="both"/>
        <w:rPr>
          <w:rFonts w:eastAsia="Tw Cen MT"/>
          <w:kern w:val="24"/>
        </w:rPr>
      </w:pPr>
      <w:r w:rsidRPr="00EE2DE7">
        <w:rPr>
          <w:rFonts w:eastAsia="Tw Cen MT"/>
          <w:kern w:val="24"/>
        </w:rPr>
        <w:t>1. Shkolla do të vazhdojë të publikojë revistën “</w:t>
      </w:r>
      <w:r w:rsidRPr="00770974">
        <w:rPr>
          <w:rFonts w:eastAsia="Tw Cen MT"/>
          <w:i/>
          <w:kern w:val="24"/>
        </w:rPr>
        <w:t>Jeta Juridike</w:t>
      </w:r>
      <w:r w:rsidRPr="00EE2DE7">
        <w:rPr>
          <w:rFonts w:eastAsia="Tw Cen MT"/>
          <w:kern w:val="24"/>
        </w:rPr>
        <w:t>” me tr</w:t>
      </w:r>
      <w:r>
        <w:rPr>
          <w:rFonts w:eastAsia="Tw Cen MT"/>
          <w:kern w:val="24"/>
        </w:rPr>
        <w:t>i</w:t>
      </w:r>
      <w:r w:rsidRPr="00EE2DE7">
        <w:rPr>
          <w:rFonts w:eastAsia="Tw Cen MT"/>
          <w:kern w:val="24"/>
        </w:rPr>
        <w:t xml:space="preserve"> numra në vit dhe të ndërmarrë hapa për ta përmirësuar atë duke nxitur juristët me përvojë (jo vetëm gjyqtarë dhe prokurorë) për të dhënë kontributin e tyre.</w:t>
      </w:r>
    </w:p>
    <w:p w:rsidR="009F23E3" w:rsidRPr="00EE2DE7" w:rsidRDefault="009F23E3" w:rsidP="009F23E3">
      <w:pPr>
        <w:spacing w:line="276" w:lineRule="auto"/>
        <w:ind w:firstLine="720"/>
        <w:jc w:val="both"/>
        <w:rPr>
          <w:rFonts w:eastAsia="Tw Cen MT"/>
          <w:kern w:val="24"/>
        </w:rPr>
      </w:pPr>
      <w:r w:rsidRPr="00EE2DE7">
        <w:rPr>
          <w:rFonts w:eastAsia="Tw Cen MT"/>
          <w:kern w:val="24"/>
        </w:rPr>
        <w:t>2. Po ashtu, do të vazhdojë botimin e revistës “</w:t>
      </w:r>
      <w:r w:rsidRPr="00770974">
        <w:rPr>
          <w:rFonts w:eastAsia="Tw Cen MT"/>
          <w:i/>
          <w:kern w:val="24"/>
        </w:rPr>
        <w:t>Magjistrati</w:t>
      </w:r>
      <w:r w:rsidRPr="00EE2DE7">
        <w:rPr>
          <w:rFonts w:eastAsia="Tw Cen MT"/>
          <w:kern w:val="24"/>
        </w:rPr>
        <w:t>” me botime të temave të kandidatëve për magjistratë të vitit të dytë.</w:t>
      </w:r>
    </w:p>
    <w:p w:rsidR="009F23E3" w:rsidRPr="00EE2DE7" w:rsidRDefault="009F23E3" w:rsidP="009F23E3">
      <w:pPr>
        <w:spacing w:line="276" w:lineRule="auto"/>
        <w:ind w:firstLine="720"/>
        <w:jc w:val="both"/>
        <w:rPr>
          <w:rFonts w:eastAsia="Tw Cen MT"/>
          <w:kern w:val="24"/>
        </w:rPr>
      </w:pPr>
      <w:r w:rsidRPr="00EE2DE7">
        <w:rPr>
          <w:rFonts w:eastAsia="Tw Cen MT"/>
          <w:kern w:val="24"/>
        </w:rPr>
        <w:t xml:space="preserve">3. Mendohet të nisim botime në </w:t>
      </w:r>
      <w:r>
        <w:rPr>
          <w:rFonts w:eastAsia="Tw Cen MT"/>
          <w:kern w:val="24"/>
        </w:rPr>
        <w:t>format digjital të periodikëve “</w:t>
      </w:r>
      <w:r w:rsidRPr="00770974">
        <w:rPr>
          <w:rFonts w:eastAsia="Tw Cen MT"/>
          <w:i/>
          <w:kern w:val="24"/>
        </w:rPr>
        <w:t>Magjistrati</w:t>
      </w:r>
      <w:r>
        <w:rPr>
          <w:rFonts w:eastAsia="Tw Cen MT"/>
          <w:kern w:val="24"/>
        </w:rPr>
        <w:t>”</w:t>
      </w:r>
      <w:r w:rsidRPr="00EE2DE7">
        <w:rPr>
          <w:rFonts w:eastAsia="Tw Cen MT"/>
          <w:kern w:val="24"/>
        </w:rPr>
        <w:t xml:space="preserve"> dhe </w:t>
      </w:r>
      <w:r>
        <w:rPr>
          <w:rFonts w:eastAsia="Tw Cen MT"/>
          <w:kern w:val="24"/>
        </w:rPr>
        <w:t>“</w:t>
      </w:r>
      <w:r w:rsidRPr="00770974">
        <w:rPr>
          <w:rFonts w:eastAsia="Tw Cen MT"/>
          <w:i/>
          <w:kern w:val="24"/>
        </w:rPr>
        <w:t>Jeta Juridike</w:t>
      </w:r>
      <w:r>
        <w:rPr>
          <w:rFonts w:eastAsia="Tw Cen MT"/>
          <w:kern w:val="24"/>
        </w:rPr>
        <w:t>”</w:t>
      </w:r>
      <w:r w:rsidRPr="00EE2DE7">
        <w:rPr>
          <w:rFonts w:eastAsia="Tw Cen MT"/>
          <w:kern w:val="24"/>
        </w:rPr>
        <w:t>.</w:t>
      </w:r>
    </w:p>
    <w:p w:rsidR="009F23E3" w:rsidRPr="00EE2DE7" w:rsidRDefault="009F23E3" w:rsidP="009F23E3">
      <w:pPr>
        <w:spacing w:line="276" w:lineRule="auto"/>
        <w:ind w:firstLine="720"/>
        <w:jc w:val="both"/>
        <w:rPr>
          <w:rFonts w:eastAsia="Tw Cen MT"/>
          <w:kern w:val="24"/>
        </w:rPr>
      </w:pPr>
      <w:r w:rsidRPr="00EE2DE7">
        <w:rPr>
          <w:rFonts w:eastAsia="Tw Cen MT"/>
          <w:kern w:val="24"/>
        </w:rPr>
        <w:t>4. Përfshirja e gjyqtarëve dhe prokurorëve në fushën e publikimeve dhe forcimi i punës kërkimore-shkencore.</w:t>
      </w:r>
    </w:p>
    <w:p w:rsidR="009F23E3" w:rsidRPr="00EE2DE7" w:rsidRDefault="009F23E3" w:rsidP="009F23E3">
      <w:pPr>
        <w:spacing w:line="276" w:lineRule="auto"/>
        <w:ind w:firstLine="720"/>
        <w:jc w:val="both"/>
        <w:rPr>
          <w:rFonts w:eastAsia="Tw Cen MT"/>
          <w:kern w:val="24"/>
        </w:rPr>
      </w:pPr>
      <w:r w:rsidRPr="00EE2DE7">
        <w:rPr>
          <w:rFonts w:eastAsia="Tw Cen MT"/>
          <w:kern w:val="24"/>
        </w:rPr>
        <w:t>5. Shkolla e Magjistraturës do të botojë, nën emrin dhe kujdesin e saj, tekstet dhe librat të cilët trajtojnë probleme ligjore të lidhura ngushtë me programet e lëndëve dhe kurseve të Trajnimit Fillestar e Vazhdues të gjyqtarëve dhe prokurorëve, duke synuar në unifikimin dhe analizimin e praktikës gjyqësore dhe juridike kombëtare e ndërkombëtare.</w:t>
      </w:r>
    </w:p>
    <w:p w:rsidR="009F23E3" w:rsidRPr="00EE2DE7" w:rsidRDefault="009F23E3" w:rsidP="009F23E3">
      <w:pPr>
        <w:spacing w:line="276" w:lineRule="auto"/>
        <w:ind w:firstLine="720"/>
        <w:jc w:val="both"/>
        <w:rPr>
          <w:rFonts w:eastAsia="Tw Cen MT"/>
          <w:kern w:val="24"/>
        </w:rPr>
      </w:pPr>
      <w:r w:rsidRPr="00EE2DE7">
        <w:rPr>
          <w:rFonts w:eastAsia="Tw Cen MT"/>
          <w:kern w:val="24"/>
        </w:rPr>
        <w:t>6. Përditësimi i Rregullores së Botimeve dhe revistës “</w:t>
      </w:r>
      <w:r w:rsidRPr="00902A3C">
        <w:rPr>
          <w:rFonts w:eastAsia="Tw Cen MT"/>
          <w:i/>
          <w:kern w:val="24"/>
        </w:rPr>
        <w:t>Jeta Juridike</w:t>
      </w:r>
      <w:r w:rsidRPr="00EE2DE7">
        <w:rPr>
          <w:rFonts w:eastAsia="Tw Cen MT"/>
          <w:kern w:val="24"/>
        </w:rPr>
        <w:t>”, me qëllim rritjen e cilësisë së këtyre botimeve.</w:t>
      </w:r>
    </w:p>
    <w:p w:rsidR="009F23E3" w:rsidRPr="00EE2DE7" w:rsidRDefault="009F23E3" w:rsidP="009F23E3">
      <w:pPr>
        <w:spacing w:line="276" w:lineRule="auto"/>
        <w:ind w:firstLine="720"/>
        <w:jc w:val="both"/>
        <w:rPr>
          <w:rFonts w:eastAsia="Tw Cen MT"/>
          <w:kern w:val="24"/>
        </w:rPr>
      </w:pPr>
      <w:r w:rsidRPr="00EE2DE7">
        <w:rPr>
          <w:rFonts w:eastAsia="Tw Cen MT"/>
          <w:kern w:val="24"/>
        </w:rPr>
        <w:t>7. Një prioritet mbetet dhe rishikimi i teksteve ligjore ekzistuese dhe bërja e një plani për botimin e leksioneve, manualeve</w:t>
      </w:r>
      <w:r>
        <w:rPr>
          <w:rFonts w:eastAsia="Tw Cen MT"/>
          <w:kern w:val="24"/>
        </w:rPr>
        <w:t>;</w:t>
      </w:r>
      <w:r w:rsidRPr="00EE2DE7">
        <w:rPr>
          <w:rFonts w:eastAsia="Tw Cen MT"/>
          <w:kern w:val="24"/>
        </w:rPr>
        <w:t xml:space="preserve"> përgatitjen e teksteve më thelbësore që mungojnë, përditësimin e atyre që ekzistojnë dhe krijimin e një liste të teksteve të huaja që konsiderohen të dobishme. Përgatitja e librave, manualeve, kurseve dhe moduleve për lëndë, apo tema që trajtohen në procesin e Formimit Fillestar të magjistratëve. Motivimi dhe trajnimi i kandidatëve për magjistratë për të hulumtuar dhe shkruar ese e tema me qëllim botimin e punimeve më të mira ose të pjesëve të tyre. Pjesë e rëndësishme e aktivitetit të Departamentit të Botimeve do të jetë edhe botimi i temave të trajtuara në kuadër të Programit të Formimit Vazhdues. </w:t>
      </w:r>
    </w:p>
    <w:p w:rsidR="009F23E3" w:rsidRPr="00EE2DE7" w:rsidRDefault="009F23E3" w:rsidP="009F23E3">
      <w:pPr>
        <w:tabs>
          <w:tab w:val="left" w:pos="900"/>
          <w:tab w:val="left" w:pos="1080"/>
        </w:tabs>
        <w:spacing w:line="276" w:lineRule="auto"/>
        <w:jc w:val="both"/>
        <w:rPr>
          <w:rFonts w:eastAsia="Tw Cen MT"/>
          <w:kern w:val="24"/>
        </w:rPr>
      </w:pPr>
      <w:r>
        <w:rPr>
          <w:rFonts w:eastAsia="Tw Cen MT"/>
          <w:kern w:val="24"/>
        </w:rPr>
        <w:tab/>
      </w:r>
      <w:r w:rsidRPr="00EE2DE7">
        <w:rPr>
          <w:rFonts w:eastAsia="Tw Cen MT"/>
          <w:kern w:val="24"/>
        </w:rPr>
        <w:t xml:space="preserve">8. Një nga synimet e Shkollës në këtë fushë është botimi i librave me </w:t>
      </w:r>
      <w:r>
        <w:rPr>
          <w:rFonts w:eastAsia="Tw Cen MT"/>
          <w:kern w:val="24"/>
        </w:rPr>
        <w:t>p</w:t>
      </w:r>
      <w:r w:rsidRPr="00EE2DE7">
        <w:rPr>
          <w:rFonts w:eastAsia="Tw Cen MT"/>
          <w:kern w:val="24"/>
        </w:rPr>
        <w:t xml:space="preserve">raktikë </w:t>
      </w:r>
      <w:r>
        <w:rPr>
          <w:rFonts w:eastAsia="Tw Cen MT"/>
          <w:kern w:val="24"/>
        </w:rPr>
        <w:t>g</w:t>
      </w:r>
      <w:r w:rsidRPr="00EE2DE7">
        <w:rPr>
          <w:rFonts w:eastAsia="Tw Cen MT"/>
          <w:kern w:val="24"/>
        </w:rPr>
        <w:t>jyqësore (Case study) për Trajnimin Fillestar.</w:t>
      </w:r>
    </w:p>
    <w:p w:rsidR="009F23E3" w:rsidRDefault="009F23E3" w:rsidP="009F23E3">
      <w:pPr>
        <w:spacing w:line="276" w:lineRule="auto"/>
        <w:ind w:firstLine="720"/>
        <w:jc w:val="both"/>
      </w:pPr>
      <w:r w:rsidRPr="00EE2DE7">
        <w:rPr>
          <w:rFonts w:eastAsia="Tw Cen MT"/>
          <w:kern w:val="24"/>
        </w:rPr>
        <w:lastRenderedPageBreak/>
        <w:t>9.</w:t>
      </w:r>
      <w:r w:rsidRPr="00EE2DE7">
        <w:rPr>
          <w:i/>
        </w:rPr>
        <w:t xml:space="preserve"> </w:t>
      </w:r>
      <w:r w:rsidRPr="00EE2DE7">
        <w:t>Sigurimi i a</w:t>
      </w:r>
      <w:r>
        <w:t>ksesit</w:t>
      </w:r>
      <w:r w:rsidRPr="00EE2DE7">
        <w:t xml:space="preserve"> n</w:t>
      </w:r>
      <w:r>
        <w:t>ë të</w:t>
      </w:r>
      <w:r w:rsidRPr="00EE2DE7">
        <w:t xml:space="preserve"> gjitha </w:t>
      </w:r>
      <w:r>
        <w:t>portalet dhe bazat e të</w:t>
      </w:r>
      <w:r w:rsidRPr="00EE2DE7">
        <w:t xml:space="preserve"> dhënave ligjore.</w:t>
      </w:r>
      <w:r>
        <w:t xml:space="preserve"> </w:t>
      </w:r>
    </w:p>
    <w:p w:rsidR="009F23E3" w:rsidRPr="00EE2DE7" w:rsidRDefault="009F23E3" w:rsidP="009F23E3">
      <w:pPr>
        <w:spacing w:line="276" w:lineRule="auto"/>
        <w:ind w:firstLine="720"/>
        <w:jc w:val="both"/>
        <w:rPr>
          <w:rFonts w:eastAsia="Tw Cen MT"/>
          <w:kern w:val="24"/>
        </w:rPr>
      </w:pPr>
      <w:r w:rsidRPr="00EE2DE7">
        <w:rPr>
          <w:rFonts w:eastAsia="Tw Cen MT"/>
          <w:kern w:val="24"/>
        </w:rPr>
        <w:t>10. Ngritjen e një qendre burimore për të drejtën e</w:t>
      </w:r>
      <w:r>
        <w:rPr>
          <w:rFonts w:eastAsia="Tw Cen MT"/>
          <w:kern w:val="24"/>
        </w:rPr>
        <w:t>u</w:t>
      </w:r>
      <w:r w:rsidRPr="00EE2DE7">
        <w:rPr>
          <w:rFonts w:eastAsia="Tw Cen MT"/>
          <w:kern w:val="24"/>
        </w:rPr>
        <w:t>ropiane, në shërbim të sistemit të drejtësisë në Shqipëri.</w:t>
      </w:r>
    </w:p>
    <w:p w:rsidR="009F23E3" w:rsidRPr="00EE2DE7" w:rsidRDefault="009F23E3" w:rsidP="009F23E3">
      <w:pPr>
        <w:spacing w:line="276" w:lineRule="auto"/>
        <w:ind w:firstLine="720"/>
        <w:jc w:val="both"/>
      </w:pPr>
      <w:r w:rsidRPr="00EE2DE7">
        <w:rPr>
          <w:rFonts w:eastAsia="Tw Cen MT"/>
          <w:kern w:val="24"/>
        </w:rPr>
        <w:t>11.</w:t>
      </w:r>
      <w:r w:rsidRPr="00EE2DE7">
        <w:rPr>
          <w:i/>
        </w:rPr>
        <w:t xml:space="preserve"> </w:t>
      </w:r>
      <w:r w:rsidRPr="00EE2DE7">
        <w:t xml:space="preserve">Krijimin e hapësirave për </w:t>
      </w:r>
      <w:r>
        <w:t>studim duke mbajtur  një bibliotekë moderne me fond të</w:t>
      </w:r>
      <w:r w:rsidRPr="00EE2DE7">
        <w:t xml:space="preserve"> gjerë dhe multimedial.</w:t>
      </w:r>
    </w:p>
    <w:p w:rsidR="009F23E3" w:rsidRPr="00EE2DE7" w:rsidRDefault="009F23E3" w:rsidP="009F23E3">
      <w:pPr>
        <w:spacing w:line="276" w:lineRule="auto"/>
        <w:jc w:val="both"/>
        <w:rPr>
          <w:rFonts w:eastAsia="Tw Cen MT"/>
          <w:kern w:val="24"/>
        </w:rPr>
      </w:pPr>
    </w:p>
    <w:p w:rsidR="009F23E3" w:rsidRPr="007C25A6" w:rsidRDefault="009F23E3" w:rsidP="007C25A6">
      <w:pPr>
        <w:spacing w:line="276" w:lineRule="auto"/>
        <w:contextualSpacing/>
        <w:outlineLvl w:val="1"/>
        <w:rPr>
          <w:b/>
          <w:noProof/>
          <w:color w:val="CC9966" w:themeColor="accent2"/>
          <w:sz w:val="32"/>
          <w:lang w:eastAsia="en-US"/>
        </w:rPr>
      </w:pPr>
      <w:r w:rsidRPr="009F23E3">
        <w:rPr>
          <w:b/>
          <w:noProof/>
          <w:color w:val="CC9966" w:themeColor="accent2"/>
          <w:sz w:val="32"/>
          <w:lang w:eastAsia="en-US"/>
        </w:rPr>
        <w:t>6.4</w:t>
      </w:r>
      <w:r>
        <w:rPr>
          <w:b/>
          <w:noProof/>
          <w:color w:val="CC9966" w:themeColor="accent2"/>
          <w:sz w:val="32"/>
          <w:lang w:eastAsia="en-US"/>
        </w:rPr>
        <w:t>.</w:t>
      </w:r>
      <w:r w:rsidRPr="009F23E3">
        <w:rPr>
          <w:b/>
          <w:noProof/>
          <w:color w:val="CC9966" w:themeColor="accent2"/>
          <w:sz w:val="32"/>
          <w:lang w:eastAsia="en-US"/>
        </w:rPr>
        <w:t xml:space="preserve"> Biblioteka </w:t>
      </w:r>
    </w:p>
    <w:p w:rsidR="009F23E3" w:rsidRPr="00EE2DE7" w:rsidRDefault="009F23E3" w:rsidP="009F23E3">
      <w:pPr>
        <w:spacing w:line="276" w:lineRule="auto"/>
        <w:jc w:val="both"/>
        <w:rPr>
          <w:rFonts w:eastAsia="Tw Cen MT"/>
          <w:kern w:val="24"/>
        </w:rPr>
      </w:pPr>
      <w:r w:rsidRPr="00EE2DE7">
        <w:rPr>
          <w:rFonts w:eastAsia="Tw Cen MT"/>
          <w:kern w:val="24"/>
        </w:rPr>
        <w:t>Zhvillimi dhe përmirësimi i vazhdueshëm i bibliotekës, e cila është thelbësore për magjistratët që kryejnë Formimin Fillestar dhe Vazhdues, si edhe qenien e një burimi për të diplomuarit (në rastin tonë për gjyqtarët dhe prokurorët) dhe të tjerët është prioritet i Shkollës. Prioritetet tona afatshkurtra, për bibliotekën përfshijnë përdorimin e teknologjive elektronike, pasurimin e bibliotekës me materiale shqiptare dhe të huaja për të përballuar kurset e reja që do të zhvillohen dhe zhvillimin e thellimin e lidhjeve tona me bibliotekat e shkollave e</w:t>
      </w:r>
      <w:r>
        <w:rPr>
          <w:rFonts w:eastAsia="Tw Cen MT"/>
          <w:kern w:val="24"/>
        </w:rPr>
        <w:t>u</w:t>
      </w:r>
      <w:r w:rsidRPr="00EE2DE7">
        <w:rPr>
          <w:rFonts w:eastAsia="Tw Cen MT"/>
          <w:kern w:val="24"/>
        </w:rPr>
        <w:t>ropiane të magjistraturës dhe institucioneve të tjera ligjore.</w:t>
      </w:r>
    </w:p>
    <w:p w:rsidR="009F23E3" w:rsidRPr="00EE2DE7" w:rsidRDefault="009F23E3" w:rsidP="007C25A6">
      <w:pPr>
        <w:spacing w:line="276" w:lineRule="auto"/>
        <w:ind w:firstLine="720"/>
        <w:jc w:val="both"/>
        <w:rPr>
          <w:rFonts w:eastAsia="Tw Cen MT"/>
          <w:kern w:val="24"/>
          <w:lang w:eastAsia="ja-JP"/>
        </w:rPr>
      </w:pPr>
      <w:r w:rsidRPr="00EE2DE7">
        <w:rPr>
          <w:rFonts w:eastAsia="Tw Cen MT"/>
          <w:kern w:val="24"/>
        </w:rPr>
        <w:t xml:space="preserve"> Prioritet do të jetë sigurimi i aksesit në biblioteka</w:t>
      </w:r>
      <w:r>
        <w:rPr>
          <w:rFonts w:eastAsia="Tw Cen MT"/>
          <w:kern w:val="24"/>
        </w:rPr>
        <w:t>t</w:t>
      </w:r>
      <w:r w:rsidRPr="00EE2DE7">
        <w:rPr>
          <w:rFonts w:eastAsia="Tw Cen MT"/>
          <w:kern w:val="24"/>
        </w:rPr>
        <w:t xml:space="preserve"> digjitale. Synojmë gjithashtu krijimin e një koleksioni digjital të bibliotekës nëpërmjet digjitalizimi</w:t>
      </w:r>
      <w:r>
        <w:rPr>
          <w:rFonts w:eastAsia="Tw Cen MT"/>
          <w:kern w:val="24"/>
        </w:rPr>
        <w:t>t</w:t>
      </w:r>
      <w:r w:rsidRPr="00EE2DE7">
        <w:rPr>
          <w:rFonts w:eastAsia="Tw Cen MT"/>
          <w:kern w:val="24"/>
        </w:rPr>
        <w:t xml:space="preserve"> </w:t>
      </w:r>
      <w:r>
        <w:rPr>
          <w:rFonts w:eastAsia="Tw Cen MT"/>
          <w:kern w:val="24"/>
        </w:rPr>
        <w:t>të</w:t>
      </w:r>
      <w:r w:rsidRPr="00EE2DE7">
        <w:rPr>
          <w:rFonts w:eastAsia="Tw Cen MT"/>
          <w:kern w:val="24"/>
        </w:rPr>
        <w:t xml:space="preserve"> formatit të librit për  botime që janë nën të drejtën tonë të autorit dhe që janë prodhim i Shkollës së Magjistraturës. Funksionimi në vazhdim i platformës E-</w:t>
      </w:r>
      <w:r>
        <w:rPr>
          <w:rFonts w:eastAsia="Tw Cen MT"/>
          <w:kern w:val="24"/>
        </w:rPr>
        <w:t>l</w:t>
      </w:r>
      <w:r w:rsidRPr="00EE2DE7">
        <w:rPr>
          <w:rFonts w:eastAsia="Tw Cen MT"/>
          <w:kern w:val="24"/>
        </w:rPr>
        <w:t>earning mund të krijojë mundësinë për ngritjen e një koleksioni multimedial si pjesë e ve</w:t>
      </w:r>
      <w:r w:rsidRPr="00EE2DE7">
        <w:rPr>
          <w:rFonts w:eastAsia="Tw Cen MT"/>
          <w:kern w:val="24"/>
          <w:lang w:eastAsia="ja-JP"/>
        </w:rPr>
        <w:t>çantë e fondit të bibliotekës. Një koleksion multimedial përb</w:t>
      </w:r>
      <w:r>
        <w:rPr>
          <w:rFonts w:eastAsia="Tw Cen MT"/>
          <w:kern w:val="24"/>
          <w:lang w:eastAsia="ja-JP"/>
        </w:rPr>
        <w:t>ë</w:t>
      </w:r>
      <w:r w:rsidRPr="00EE2DE7">
        <w:rPr>
          <w:rFonts w:eastAsia="Tw Cen MT"/>
          <w:kern w:val="24"/>
          <w:lang w:eastAsia="ja-JP"/>
        </w:rPr>
        <w:t xml:space="preserve">het nga regjistrime në video të trajnimeve apo leksioneve të veçanta të ruajtura në server apo CD. Përdoruesit e bibliotekës do </w:t>
      </w:r>
      <w:r>
        <w:rPr>
          <w:rFonts w:eastAsia="Tw Cen MT"/>
          <w:kern w:val="24"/>
          <w:lang w:eastAsia="ja-JP"/>
        </w:rPr>
        <w:t xml:space="preserve">të </w:t>
      </w:r>
      <w:r w:rsidRPr="00EE2DE7">
        <w:rPr>
          <w:rFonts w:eastAsia="Tw Cen MT"/>
          <w:kern w:val="24"/>
          <w:lang w:eastAsia="ja-JP"/>
        </w:rPr>
        <w:t>mund të aksesonin trajnime me interes pavarësisht mospjesëmarrjes së tyre në ditën e zhvillimit të tyre.</w:t>
      </w:r>
      <w:r w:rsidR="007C25A6">
        <w:rPr>
          <w:rFonts w:eastAsia="Tw Cen MT"/>
          <w:kern w:val="24"/>
          <w:lang w:eastAsia="ja-JP"/>
        </w:rPr>
        <w:t xml:space="preserve"> </w:t>
      </w:r>
      <w:r>
        <w:rPr>
          <w:rFonts w:eastAsia="Tw Cen MT"/>
          <w:kern w:val="24"/>
        </w:rPr>
        <w:t>Në bibliotekë do t’i kushtojmë përpjekje</w:t>
      </w:r>
      <w:r w:rsidRPr="00EE2DE7">
        <w:rPr>
          <w:rFonts w:eastAsia="Tw Cen MT"/>
          <w:kern w:val="24"/>
        </w:rPr>
        <w:t xml:space="preserve"> katalogimit të burimeve tona në përputhje me </w:t>
      </w:r>
      <w:r w:rsidRPr="00EE2DE7">
        <w:rPr>
          <w:rFonts w:eastAsia="Tw Cen MT"/>
          <w:kern w:val="24"/>
        </w:rPr>
        <w:t>praktikat standarde të bibliotekave, duke vazhduar të shfrytëzojmë teknologjitë e reja, duke qenë një shërbim efikas mbështetjeje për sektorët ose departamentet e reja për botim dhe punë kërkimore.</w:t>
      </w:r>
    </w:p>
    <w:p w:rsidR="009F23E3" w:rsidRDefault="009F23E3" w:rsidP="009F23E3">
      <w:pPr>
        <w:spacing w:line="276" w:lineRule="auto"/>
        <w:ind w:firstLine="720"/>
        <w:jc w:val="both"/>
        <w:rPr>
          <w:rFonts w:eastAsia="Tw Cen MT"/>
          <w:kern w:val="24"/>
        </w:rPr>
      </w:pPr>
      <w:r w:rsidRPr="00EE2DE7">
        <w:rPr>
          <w:rFonts w:eastAsia="Tw Cen MT"/>
          <w:kern w:val="24"/>
        </w:rPr>
        <w:t>Do të vazhdojë regjistrimi bibliografik i gjithë fondit të bibliotekës në bazën lokale të të dhënave bibliografike, pjesë e sistemit COBISS.net, një sistem i regjistrimit bibliografik dhe katalogimit të përbashkët online për E</w:t>
      </w:r>
      <w:r>
        <w:rPr>
          <w:rFonts w:eastAsia="Tw Cen MT"/>
          <w:kern w:val="24"/>
        </w:rPr>
        <w:t>u</w:t>
      </w:r>
      <w:r w:rsidRPr="00EE2DE7">
        <w:rPr>
          <w:rFonts w:eastAsia="Tw Cen MT"/>
          <w:kern w:val="24"/>
        </w:rPr>
        <w:t>ropën Juglindore. </w:t>
      </w:r>
    </w:p>
    <w:p w:rsidR="009F23E3" w:rsidRPr="009F23E3" w:rsidRDefault="009F23E3" w:rsidP="009F23E3">
      <w:pPr>
        <w:spacing w:line="276" w:lineRule="auto"/>
        <w:ind w:firstLine="720"/>
        <w:jc w:val="both"/>
        <w:rPr>
          <w:rFonts w:eastAsia="Tw Cen MT"/>
          <w:kern w:val="24"/>
        </w:rPr>
      </w:pPr>
    </w:p>
    <w:p w:rsidR="009F23E3" w:rsidRPr="007C25A6" w:rsidRDefault="009F23E3" w:rsidP="007C25A6">
      <w:pPr>
        <w:spacing w:line="276" w:lineRule="auto"/>
        <w:contextualSpacing/>
        <w:outlineLvl w:val="1"/>
        <w:rPr>
          <w:b/>
          <w:noProof/>
          <w:color w:val="CC9966" w:themeColor="accent2"/>
          <w:sz w:val="32"/>
          <w:lang w:eastAsia="en-US"/>
        </w:rPr>
      </w:pPr>
      <w:r w:rsidRPr="009F23E3">
        <w:rPr>
          <w:b/>
          <w:noProof/>
          <w:color w:val="CC9966" w:themeColor="accent2"/>
          <w:sz w:val="32"/>
          <w:lang w:eastAsia="en-US"/>
        </w:rPr>
        <w:t>6.5</w:t>
      </w:r>
      <w:r>
        <w:rPr>
          <w:b/>
          <w:noProof/>
          <w:color w:val="CC9966" w:themeColor="accent2"/>
          <w:sz w:val="32"/>
          <w:lang w:eastAsia="en-US"/>
        </w:rPr>
        <w:t>.</w:t>
      </w:r>
      <w:r w:rsidRPr="009F23E3">
        <w:rPr>
          <w:b/>
          <w:noProof/>
          <w:color w:val="CC9966" w:themeColor="accent2"/>
          <w:sz w:val="32"/>
          <w:lang w:eastAsia="en-US"/>
        </w:rPr>
        <w:t xml:space="preserve"> Avancimi i Teknologjisë së Informacionit</w:t>
      </w:r>
    </w:p>
    <w:p w:rsidR="009F23E3" w:rsidRPr="00902A3C" w:rsidRDefault="009F23E3" w:rsidP="007D1F0E">
      <w:pPr>
        <w:spacing w:line="276" w:lineRule="auto"/>
        <w:jc w:val="both"/>
        <w:rPr>
          <w:rFonts w:eastAsia="Tw Cen MT"/>
          <w:bCs/>
          <w:kern w:val="24"/>
        </w:rPr>
      </w:pPr>
      <w:r>
        <w:rPr>
          <w:rFonts w:eastAsia="Tw Cen MT"/>
          <w:kern w:val="24"/>
        </w:rPr>
        <w:t xml:space="preserve">Për periudhën </w:t>
      </w:r>
      <w:r w:rsidRPr="00EE2DE7">
        <w:rPr>
          <w:rFonts w:eastAsia="Tw Cen MT"/>
          <w:kern w:val="24"/>
        </w:rPr>
        <w:t xml:space="preserve"> 2018-2019</w:t>
      </w:r>
      <w:r>
        <w:rPr>
          <w:rFonts w:eastAsia="Tw Cen MT"/>
          <w:kern w:val="24"/>
        </w:rPr>
        <w:t>:</w:t>
      </w:r>
    </w:p>
    <w:p w:rsidR="009F23E3" w:rsidRPr="00EE2DE7" w:rsidRDefault="009F23E3" w:rsidP="009F23E3">
      <w:pPr>
        <w:numPr>
          <w:ilvl w:val="0"/>
          <w:numId w:val="47"/>
        </w:numPr>
        <w:spacing w:line="276" w:lineRule="auto"/>
        <w:jc w:val="both"/>
        <w:rPr>
          <w:rFonts w:eastAsia="Tw Cen MT"/>
          <w:kern w:val="24"/>
        </w:rPr>
      </w:pPr>
      <w:r w:rsidRPr="00EE2DE7">
        <w:rPr>
          <w:rFonts w:eastAsia="Tw Cen MT"/>
          <w:kern w:val="24"/>
        </w:rPr>
        <w:t xml:space="preserve">Është hedhur ideja për </w:t>
      </w:r>
      <w:r w:rsidRPr="00EE2DE7">
        <w:rPr>
          <w:rFonts w:eastAsia="Tw Cen MT"/>
          <w:b/>
          <w:kern w:val="24"/>
        </w:rPr>
        <w:t>digjitalizimin e formatit të librit</w:t>
      </w:r>
      <w:r w:rsidRPr="00EE2DE7">
        <w:rPr>
          <w:rFonts w:eastAsia="Tw Cen MT"/>
          <w:kern w:val="24"/>
        </w:rPr>
        <w:t xml:space="preserve"> (një pjesë </w:t>
      </w:r>
      <w:r>
        <w:rPr>
          <w:rFonts w:eastAsia="Tw Cen MT"/>
          <w:kern w:val="24"/>
        </w:rPr>
        <w:t>e</w:t>
      </w:r>
      <w:r w:rsidRPr="00EE2DE7">
        <w:rPr>
          <w:rFonts w:eastAsia="Tw Cen MT"/>
          <w:kern w:val="24"/>
        </w:rPr>
        <w:t xml:space="preserve"> tyre), që nënkupton se do të hidhen online ato botime që janë nën të drejtën tonë të autorit dhe që janë prodhim i Shkollës së Magjistraturës, pa cenuar të drejtën e autorit të botimeve të tjera.</w:t>
      </w:r>
    </w:p>
    <w:p w:rsidR="009F23E3" w:rsidRPr="00EE2DE7" w:rsidRDefault="009F23E3" w:rsidP="009F23E3">
      <w:pPr>
        <w:numPr>
          <w:ilvl w:val="0"/>
          <w:numId w:val="47"/>
        </w:numPr>
        <w:spacing w:line="276" w:lineRule="auto"/>
        <w:jc w:val="both"/>
        <w:rPr>
          <w:rFonts w:eastAsia="Tw Cen MT"/>
          <w:kern w:val="24"/>
        </w:rPr>
      </w:pPr>
      <w:r w:rsidRPr="00EE2DE7">
        <w:rPr>
          <w:rFonts w:eastAsia="Tw Cen MT"/>
          <w:kern w:val="24"/>
        </w:rPr>
        <w:t xml:space="preserve">Krijimi i </w:t>
      </w:r>
      <w:r w:rsidRPr="00EE2DE7">
        <w:rPr>
          <w:rFonts w:eastAsia="Tw Cen MT"/>
          <w:b/>
          <w:kern w:val="24"/>
        </w:rPr>
        <w:t>një platforme për Formimin Fillestar,</w:t>
      </w:r>
      <w:r w:rsidRPr="00EE2DE7">
        <w:rPr>
          <w:rFonts w:eastAsia="Tw Cen MT"/>
          <w:kern w:val="24"/>
        </w:rPr>
        <w:t xml:space="preserve"> ku studentët dhe pedagogët të kenë një komunikim online për sa i përket temave, detyrave të kursit, zhvillimit të forumeve me pyetje etj. Gjithashtu, kjo do të mundësojë dhe vlerësimin në mënyrë elektronike dhe të fshehtë të magjistratëve dhe njohjen me rezultatin në kohë më të shpejtë.</w:t>
      </w:r>
    </w:p>
    <w:p w:rsidR="009F23E3" w:rsidRPr="00EE2DE7" w:rsidRDefault="009F23E3" w:rsidP="009F23E3">
      <w:pPr>
        <w:numPr>
          <w:ilvl w:val="0"/>
          <w:numId w:val="47"/>
        </w:numPr>
        <w:spacing w:line="276" w:lineRule="auto"/>
        <w:jc w:val="both"/>
        <w:rPr>
          <w:rFonts w:eastAsia="Tw Cen MT"/>
          <w:kern w:val="24"/>
        </w:rPr>
      </w:pPr>
      <w:r w:rsidRPr="00EE2DE7">
        <w:rPr>
          <w:rFonts w:eastAsia="Tw Cen MT"/>
          <w:kern w:val="24"/>
        </w:rPr>
        <w:t xml:space="preserve">Bashkëveprimi me kompani të huaja për të pasur akses në </w:t>
      </w:r>
      <w:r w:rsidRPr="00EE2DE7">
        <w:rPr>
          <w:rFonts w:eastAsia="Tw Cen MT"/>
          <w:b/>
          <w:kern w:val="24"/>
        </w:rPr>
        <w:t>module që realizojnë procesin e plagjiaturës</w:t>
      </w:r>
      <w:r w:rsidRPr="00EE2DE7">
        <w:rPr>
          <w:rFonts w:eastAsia="Tw Cen MT"/>
          <w:kern w:val="24"/>
        </w:rPr>
        <w:t xml:space="preserve"> së një shkrimi akademik.</w:t>
      </w:r>
    </w:p>
    <w:p w:rsidR="009F23E3" w:rsidRPr="00EE2DE7" w:rsidRDefault="009F23E3" w:rsidP="009F23E3">
      <w:pPr>
        <w:numPr>
          <w:ilvl w:val="0"/>
          <w:numId w:val="47"/>
        </w:numPr>
        <w:spacing w:line="276" w:lineRule="auto"/>
        <w:jc w:val="both"/>
        <w:rPr>
          <w:rFonts w:eastAsia="Tw Cen MT"/>
          <w:kern w:val="24"/>
        </w:rPr>
      </w:pPr>
      <w:r w:rsidRPr="00EE2DE7">
        <w:rPr>
          <w:rFonts w:eastAsia="Tw Cen MT"/>
          <w:kern w:val="24"/>
        </w:rPr>
        <w:t>Upgrade i rrjetit të brendshëm të Shkollës së Magjistraturës në 1 Gbps. Kjo realizohet me vendosjen e një switch-i me porta 1 Gbps.</w:t>
      </w:r>
    </w:p>
    <w:p w:rsidR="009F23E3" w:rsidRPr="00EE2DE7" w:rsidRDefault="009F23E3" w:rsidP="009F23E3">
      <w:pPr>
        <w:numPr>
          <w:ilvl w:val="0"/>
          <w:numId w:val="47"/>
        </w:numPr>
        <w:spacing w:line="276" w:lineRule="auto"/>
        <w:jc w:val="both"/>
        <w:rPr>
          <w:rFonts w:eastAsia="Tw Cen MT"/>
          <w:kern w:val="24"/>
        </w:rPr>
      </w:pPr>
      <w:r w:rsidRPr="00EE2DE7">
        <w:rPr>
          <w:rFonts w:eastAsia="Tw Cen MT"/>
          <w:kern w:val="24"/>
        </w:rPr>
        <w:t>Instalimi i një centrali telefonik digjital dhe kalimi i linjave telefonike nga analog</w:t>
      </w:r>
      <w:r>
        <w:rPr>
          <w:rFonts w:eastAsia="Tw Cen MT"/>
          <w:kern w:val="24"/>
        </w:rPr>
        <w:t>e</w:t>
      </w:r>
      <w:r w:rsidRPr="00EE2DE7">
        <w:rPr>
          <w:rFonts w:eastAsia="Tw Cen MT"/>
          <w:kern w:val="24"/>
        </w:rPr>
        <w:t xml:space="preserve"> në digjital</w:t>
      </w:r>
      <w:r>
        <w:rPr>
          <w:rFonts w:eastAsia="Tw Cen MT"/>
          <w:kern w:val="24"/>
        </w:rPr>
        <w:t>e</w:t>
      </w:r>
      <w:r w:rsidRPr="00EE2DE7">
        <w:rPr>
          <w:rFonts w:eastAsia="Tw Cen MT"/>
          <w:kern w:val="24"/>
        </w:rPr>
        <w:t>.</w:t>
      </w:r>
    </w:p>
    <w:p w:rsidR="009F23E3" w:rsidRPr="00EE2DE7" w:rsidRDefault="009F23E3" w:rsidP="009F23E3">
      <w:pPr>
        <w:spacing w:after="200" w:line="276" w:lineRule="auto"/>
        <w:jc w:val="both"/>
        <w:rPr>
          <w:rFonts w:eastAsia="Tw Cen MT"/>
          <w:kern w:val="24"/>
        </w:rPr>
      </w:pPr>
    </w:p>
    <w:p w:rsidR="007D1F0E" w:rsidRDefault="007D1F0E" w:rsidP="00386F89">
      <w:pPr>
        <w:spacing w:line="276" w:lineRule="auto"/>
        <w:jc w:val="both"/>
        <w:rPr>
          <w:b/>
          <w:color w:val="CC9966" w:themeColor="accent2"/>
          <w:sz w:val="32"/>
        </w:rPr>
        <w:sectPr w:rsidR="007D1F0E" w:rsidSect="007D1F0E">
          <w:type w:val="continuous"/>
          <w:pgSz w:w="12240" w:h="15840" w:code="1"/>
          <w:pgMar w:top="990" w:right="990" w:bottom="1620" w:left="990" w:header="360" w:footer="371" w:gutter="0"/>
          <w:cols w:num="2" w:space="708"/>
          <w:docGrid w:linePitch="360"/>
        </w:sectPr>
      </w:pPr>
    </w:p>
    <w:p w:rsidR="009F23E3" w:rsidRPr="006621AA" w:rsidRDefault="009F23E3" w:rsidP="0092132A">
      <w:pPr>
        <w:spacing w:line="276" w:lineRule="auto"/>
        <w:jc w:val="both"/>
        <w:rPr>
          <w:b/>
          <w:color w:val="CC9966" w:themeColor="accent2"/>
          <w:sz w:val="32"/>
        </w:rPr>
      </w:pPr>
    </w:p>
    <w:sectPr w:rsidR="009F23E3" w:rsidRPr="006621AA" w:rsidSect="00A87BD2">
      <w:type w:val="continuous"/>
      <w:pgSz w:w="12240" w:h="15840" w:code="1"/>
      <w:pgMar w:top="990" w:right="990" w:bottom="1620" w:left="990" w:header="360" w:footer="3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AE0" w:rsidRDefault="00CF3AE0">
      <w:r>
        <w:separator/>
      </w:r>
    </w:p>
  </w:endnote>
  <w:endnote w:type="continuationSeparator" w:id="0">
    <w:p w:rsidR="00CF3AE0" w:rsidRDefault="00CF3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Batang">
    <w:altName w:val="Malgun Gothic Semilight"/>
    <w:panose1 w:val="02030600000101010101"/>
    <w:charset w:val="81"/>
    <w:family w:val="roman"/>
    <w:pitch w:val="variable"/>
    <w:sig w:usb0="00000000"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2E3" w:rsidRPr="006621AA" w:rsidRDefault="00CF3AE0" w:rsidP="00B70876">
    <w:pPr>
      <w:pStyle w:val="Footer"/>
      <w:tabs>
        <w:tab w:val="clear" w:pos="4677"/>
        <w:tab w:val="center" w:pos="2160"/>
      </w:tabs>
      <w:jc w:val="right"/>
      <w:rPr>
        <w:noProof/>
      </w:rPr>
    </w:pPr>
    <w:r>
      <w:rPr>
        <w:noProof/>
        <w:lang w:eastAsia="en-US"/>
      </w:rPr>
      <w:pict>
        <v:shapetype id="_x0000_t202" coordsize="21600,21600" o:spt="202" path="m,l,21600r21600,l21600,xe">
          <v:stroke joinstyle="miter"/>
          <v:path gradientshapeok="t" o:connecttype="rect"/>
        </v:shapetype>
        <v:shape id="_x0000_s2051" type="#_x0000_t202" style="position:absolute;left:0;text-align:left;margin-left:-33.3pt;margin-top:-.25pt;width:168pt;height:49.6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" filled="f" stroked="f">
          <v:textbox>
            <w:txbxContent>
              <w:p w:rsidR="005372E3" w:rsidRPr="00097121" w:rsidRDefault="005372E3" w:rsidP="00132A79">
                <w:pPr>
                  <w:rPr>
                    <w:color w:val="999966" w:themeColor="accent3"/>
                    <w:sz w:val="28"/>
                    <w:szCs w:val="68"/>
                  </w:rPr>
                </w:pPr>
                <w:r>
                  <w:rPr>
                    <w:color w:val="999966" w:themeColor="accent3"/>
                    <w:sz w:val="28"/>
                    <w:szCs w:val="68"/>
                  </w:rPr>
                  <w:t xml:space="preserve">   Shkolla e </w:t>
                </w:r>
                <w:r w:rsidRPr="00097121">
                  <w:rPr>
                    <w:color w:val="999966" w:themeColor="accent3"/>
                    <w:sz w:val="28"/>
                    <w:szCs w:val="68"/>
                  </w:rPr>
                  <w:t>Magjistratur</w:t>
                </w:r>
                <w:r w:rsidRPr="00A32124">
                  <w:rPr>
                    <w:color w:val="999966" w:themeColor="accent3"/>
                    <w:sz w:val="28"/>
                    <w:szCs w:val="68"/>
                  </w:rPr>
                  <w:t>ë</w:t>
                </w:r>
                <w:r w:rsidRPr="00097121">
                  <w:rPr>
                    <w:color w:val="999966" w:themeColor="accent3"/>
                    <w:sz w:val="28"/>
                    <w:szCs w:val="68"/>
                  </w:rPr>
                  <w:t>s</w:t>
                </w:r>
              </w:p>
              <w:p w:rsidR="005372E3" w:rsidRPr="006621AA" w:rsidRDefault="005372E3" w:rsidP="00097121">
                <w:pPr>
                  <w:rPr>
                    <w:color w:val="999966" w:themeColor="accent3"/>
                    <w:sz w:val="18"/>
                    <w:szCs w:val="38"/>
                  </w:rPr>
                </w:pPr>
              </w:p>
            </w:txbxContent>
          </v:textbox>
        </v:shape>
      </w:pict>
    </w:r>
    <w:r>
      <w:rPr>
        <w:noProof/>
        <w:lang w:eastAsia="en-US"/>
      </w:rPr>
      <w:pict>
        <v:shape id="_x0000_s2050" type="#_x0000_t202" style="position:absolute;left:0;text-align:left;margin-left:258.3pt;margin-top:-.25pt;width:244.05pt;height:45.8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4V/ug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" filled="f" stroked="f">
          <v:textbox>
            <w:txbxContent>
              <w:p w:rsidR="005372E3" w:rsidRPr="006621AA" w:rsidRDefault="005372E3" w:rsidP="001E0398">
                <w:pPr>
                  <w:pStyle w:val="Footer"/>
                  <w:tabs>
                    <w:tab w:val="clear" w:pos="4677"/>
                    <w:tab w:val="center" w:pos="2160"/>
                  </w:tabs>
                  <w:ind w:right="540"/>
                </w:pPr>
                <w:r>
                  <w:rPr>
                    <w:color w:val="000000"/>
                  </w:rPr>
                  <w:t xml:space="preserve">                   Raporti Akademik 2017-2018</w:t>
                </w:r>
              </w:p>
              <w:p w:rsidR="005372E3" w:rsidRPr="006621AA" w:rsidRDefault="005372E3" w:rsidP="001E0398">
                <w:pPr>
                  <w:rPr>
                    <w:color w:val="999966" w:themeColor="accent3"/>
                    <w:sz w:val="18"/>
                    <w:szCs w:val="38"/>
                  </w:rPr>
                </w:pPr>
              </w:p>
            </w:txbxContent>
          </v:textbox>
        </v:shape>
      </w:pict>
    </w:r>
    <w:r>
      <w:rPr>
        <w:noProof/>
        <w:lang w:eastAsia="en-US"/>
      </w:rPr>
      <w:pict>
        <v:rect id="Rectangle 12" o:spid="_x0000_s2049" style="position:absolute;left:0;text-align:left;margin-left:-21.3pt;margin-top:-18.8pt;width:556.1pt;height:3.55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" fillcolor="#4f81bd" stroked="f" strokeweight="2pt"/>
      </w:pict>
    </w:r>
    <w:r w:rsidR="005372E3" w:rsidRPr="006621AA">
      <w:rPr>
        <w:noProof/>
      </w:rPr>
      <w:fldChar w:fldCharType="begin"/>
    </w:r>
    <w:r w:rsidR="005372E3" w:rsidRPr="006621AA">
      <w:rPr>
        <w:noProof/>
      </w:rPr>
      <w:instrText xml:space="preserve"> PAGE </w:instrText>
    </w:r>
    <w:r w:rsidR="005372E3" w:rsidRPr="006621AA">
      <w:rPr>
        <w:noProof/>
      </w:rPr>
      <w:fldChar w:fldCharType="separate"/>
    </w:r>
    <w:r w:rsidR="007D5A1A">
      <w:rPr>
        <w:noProof/>
      </w:rPr>
      <w:t>1</w:t>
    </w:r>
    <w:r w:rsidR="005372E3" w:rsidRPr="006621AA">
      <w:rPr>
        <w:noProof/>
      </w:rPr>
      <w:fldChar w:fldCharType="end"/>
    </w:r>
  </w:p>
  <w:p w:rsidR="005372E3" w:rsidRPr="006621AA" w:rsidRDefault="005372E3" w:rsidP="002D2E2F">
    <w:pPr>
      <w:pStyle w:val="Footer"/>
      <w:tabs>
        <w:tab w:val="clear" w:pos="4677"/>
        <w:tab w:val="center" w:pos="2160"/>
      </w:tabs>
      <w:ind w:left="540" w:right="540"/>
    </w:pPr>
  </w:p>
  <w:p w:rsidR="005372E3" w:rsidRPr="006621AA" w:rsidRDefault="005372E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AE0" w:rsidRDefault="00CF3AE0">
      <w:r>
        <w:separator/>
      </w:r>
    </w:p>
  </w:footnote>
  <w:footnote w:type="continuationSeparator" w:id="0">
    <w:p w:rsidR="00CF3AE0" w:rsidRDefault="00CF3AE0">
      <w:r>
        <w:continuationSeparator/>
      </w:r>
    </w:p>
  </w:footnote>
  <w:footnote w:id="1">
    <w:p w:rsidR="005372E3" w:rsidRPr="009A01C5" w:rsidRDefault="005372E3" w:rsidP="00B02831">
      <w:pPr>
        <w:pStyle w:val="FootnoteText"/>
        <w:jc w:val="both"/>
        <w:rPr>
          <w:rFonts w:ascii="Times New Roman" w:hAnsi="Times New Roman"/>
          <w:sz w:val="20"/>
        </w:rPr>
      </w:pPr>
      <w:r w:rsidRPr="009A01C5">
        <w:rPr>
          <w:rStyle w:val="FootnoteReference"/>
          <w:rFonts w:ascii="Times New Roman" w:hAnsi="Times New Roman"/>
          <w:sz w:val="20"/>
        </w:rPr>
        <w:footnoteRef/>
      </w:r>
      <w:r w:rsidRPr="009A01C5">
        <w:rPr>
          <w:rFonts w:ascii="Times New Roman" w:hAnsi="Times New Roman"/>
          <w:sz w:val="20"/>
        </w:rPr>
        <w:t xml:space="preserve"> Skema e vlerësimit e miratuar nga Këshilli Pedagogjik  me procesverbalin nr. 153 prot., datë 11.3.2014, si dhe nga Këshilli Drejtues me vendimin nr. 7, datë 7.5.2014.</w:t>
      </w:r>
    </w:p>
  </w:footnote>
  <w:footnote w:id="2">
    <w:p w:rsidR="005372E3" w:rsidRPr="009A01C5" w:rsidRDefault="005372E3" w:rsidP="00EF53DA">
      <w:pPr>
        <w:jc w:val="both"/>
        <w:rPr>
          <w:sz w:val="20"/>
          <w:szCs w:val="20"/>
        </w:rPr>
      </w:pPr>
      <w:r w:rsidRPr="009A01C5">
        <w:rPr>
          <w:rStyle w:val="FootnoteReference"/>
          <w:sz w:val="20"/>
          <w:szCs w:val="20"/>
        </w:rPr>
        <w:footnoteRef/>
      </w:r>
      <w:r w:rsidRPr="009A01C5">
        <w:rPr>
          <w:sz w:val="20"/>
          <w:szCs w:val="20"/>
        </w:rPr>
        <w:t xml:space="preserve"> Sipas Aneksit 10 të Rregullores së Brendshme të Shkollës së Magjistraturës, vlerësimi është miratuar me vendimin       nr. 15, datë 29.6.2017 të Këshillit Drejtues.</w:t>
      </w:r>
    </w:p>
    <w:p w:rsidR="005372E3" w:rsidRPr="009A01C5" w:rsidRDefault="005372E3" w:rsidP="00EF53DA">
      <w:pPr>
        <w:pStyle w:val="FootnoteText"/>
        <w:rPr>
          <w:rFonts w:ascii="Times New Roman" w:hAnsi="Times New Roman"/>
          <w:sz w:val="20"/>
        </w:rPr>
      </w:pPr>
    </w:p>
  </w:footnote>
  <w:footnote w:id="3">
    <w:p w:rsidR="005372E3" w:rsidRPr="009A01C5" w:rsidRDefault="005372E3" w:rsidP="009D4032">
      <w:pPr>
        <w:pStyle w:val="FootnoteText"/>
        <w:jc w:val="both"/>
        <w:rPr>
          <w:rFonts w:ascii="Times New Roman" w:hAnsi="Times New Roman"/>
          <w:sz w:val="20"/>
        </w:rPr>
      </w:pPr>
      <w:r w:rsidRPr="009A01C5">
        <w:rPr>
          <w:rStyle w:val="FootnoteReference"/>
          <w:rFonts w:ascii="Times New Roman" w:hAnsi="Times New Roman"/>
          <w:sz w:val="20"/>
        </w:rPr>
        <w:footnoteRef/>
      </w:r>
      <w:r w:rsidRPr="009A01C5">
        <w:rPr>
          <w:rFonts w:ascii="Times New Roman" w:hAnsi="Times New Roman"/>
          <w:sz w:val="20"/>
        </w:rPr>
        <w:t xml:space="preserve"> Të gjitha aktivitetet e zhvilluara me partnerët ndërkombëtarë janë të përfshira në Aneksin 3 të këtij raporti.</w:t>
      </w:r>
    </w:p>
  </w:footnote>
  <w:footnote w:id="4">
    <w:p w:rsidR="005372E3" w:rsidRPr="009A01C5" w:rsidRDefault="005372E3" w:rsidP="009D4032">
      <w:pPr>
        <w:pStyle w:val="FootnoteText"/>
        <w:jc w:val="both"/>
        <w:rPr>
          <w:rFonts w:ascii="Times New Roman" w:hAnsi="Times New Roman"/>
          <w:sz w:val="20"/>
        </w:rPr>
      </w:pPr>
      <w:r w:rsidRPr="009A01C5">
        <w:rPr>
          <w:rStyle w:val="FootnoteReference"/>
          <w:rFonts w:ascii="Times New Roman" w:hAnsi="Times New Roman"/>
          <w:sz w:val="20"/>
        </w:rPr>
        <w:footnoteRef/>
      </w:r>
      <w:r w:rsidRPr="009A01C5">
        <w:rPr>
          <w:rFonts w:ascii="Times New Roman" w:hAnsi="Times New Roman"/>
          <w:sz w:val="20"/>
        </w:rPr>
        <w:t xml:space="preserve"> N</w:t>
      </w:r>
      <w:r w:rsidRPr="009A01C5">
        <w:rPr>
          <w:rFonts w:ascii="Times New Roman" w:eastAsia="Times New Roman" w:hAnsi="Times New Roman"/>
          <w:sz w:val="20"/>
        </w:rPr>
        <w:t>jë kopje të CV-së së tyre ose të kolegut të sugjeruar duke specifikuar eksperiencën si gjyqtar/prokuror dhe trajnimet e marra, shkrimet akademike në fushë; titullin e temës, çështjes apo nënçështjes që mendojnë të trajtojnë; metodologjinë e trajnimit që do të përdorin (p.sh. duke përdorur raste problemore e hipotetike, diskutime në grupe të vogla, demonstrime, simulime, pyetësorë paraprakë për të testuar njohuritë e auditorit, mjetet audiovizive etj.); një përshkrim (të shkurtër) problemor të çështjeve të kursit trajnues apo çështjes që kanë zgjedhur (mini modul).</w:t>
      </w:r>
    </w:p>
  </w:footnote>
  <w:footnote w:id="5">
    <w:p w:rsidR="005372E3" w:rsidRPr="009A01C5" w:rsidRDefault="005372E3" w:rsidP="008B30BD">
      <w:pPr>
        <w:pStyle w:val="FootnoteText"/>
        <w:rPr>
          <w:rFonts w:ascii="Times New Roman" w:hAnsi="Times New Roman"/>
          <w:sz w:val="20"/>
        </w:rPr>
      </w:pPr>
      <w:r w:rsidRPr="009A01C5">
        <w:rPr>
          <w:rStyle w:val="FootnoteReference"/>
          <w:rFonts w:ascii="Times New Roman" w:hAnsi="Times New Roman"/>
          <w:sz w:val="20"/>
        </w:rPr>
        <w:footnoteRef/>
      </w:r>
      <w:r w:rsidRPr="009A01C5">
        <w:rPr>
          <w:rFonts w:ascii="Times New Roman" w:hAnsi="Times New Roman"/>
          <w:sz w:val="20"/>
        </w:rPr>
        <w:t xml:space="preserve"> Shih marrëveshjen me lehtësuesit dhe ekspertët për sa më sipër.</w:t>
      </w:r>
    </w:p>
  </w:footnote>
  <w:footnote w:id="6">
    <w:p w:rsidR="005372E3" w:rsidRPr="009A01C5" w:rsidRDefault="005372E3" w:rsidP="008D2205">
      <w:pPr>
        <w:pStyle w:val="FootnoteText"/>
        <w:jc w:val="both"/>
        <w:rPr>
          <w:rFonts w:ascii="Times New Roman" w:hAnsi="Times New Roman"/>
          <w:sz w:val="20"/>
        </w:rPr>
      </w:pPr>
      <w:r w:rsidRPr="009A01C5">
        <w:rPr>
          <w:rStyle w:val="FootnoteReference"/>
          <w:rFonts w:ascii="Times New Roman" w:hAnsi="Times New Roman"/>
          <w:b/>
          <w:sz w:val="20"/>
        </w:rPr>
        <w:footnoteRef/>
      </w:r>
      <w:r w:rsidRPr="009A01C5">
        <w:rPr>
          <w:rFonts w:ascii="Times New Roman" w:hAnsi="Times New Roman"/>
          <w:sz w:val="20"/>
        </w:rPr>
        <w:t xml:space="preserve"> Sa i përket datave të trajnimit, me shpalljen e tyre, ndryshimi lidhet vetëm në raste përjashtimore dhe shumë të justifikuara që lidhen me ekspertët ose probleme të pjesëmarrjes. Në të dyja rastet, ndryshimi mbështetet në arsye objektive dhe të pa parashikuara që mund të lindin gjatë zbatimit të këtij kalendari.</w:t>
      </w:r>
    </w:p>
  </w:footnote>
  <w:footnote w:id="7">
    <w:p w:rsidR="005372E3" w:rsidRPr="009A01C5" w:rsidRDefault="005372E3" w:rsidP="008D2205">
      <w:pPr>
        <w:pStyle w:val="FootnoteText"/>
        <w:jc w:val="both"/>
        <w:rPr>
          <w:rFonts w:ascii="Times New Roman" w:hAnsi="Times New Roman"/>
          <w:sz w:val="20"/>
        </w:rPr>
      </w:pPr>
      <w:r w:rsidRPr="009A01C5">
        <w:rPr>
          <w:rStyle w:val="FootnoteReference"/>
          <w:rFonts w:ascii="Times New Roman" w:hAnsi="Times New Roman"/>
          <w:sz w:val="20"/>
        </w:rPr>
        <w:footnoteRef/>
      </w:r>
      <w:r w:rsidRPr="009A01C5">
        <w:rPr>
          <w:rFonts w:ascii="Times New Roman" w:hAnsi="Times New Roman"/>
          <w:sz w:val="20"/>
        </w:rPr>
        <w:t xml:space="preserve"> Në çdo temë, ekspertët dhe lehtësuesit, do të bëjnë kujdes të sjellin problematikën aktuale si nga këndvështrimi i doktrinës, jurisprudencës shqiptare, ndryshimeve ligjore ashtu edhe të standardeve ndërkombëtare dhe jurisprudencës së GJEDNJ-së e GJED-së sipas rastit.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11F88"/>
    <w:multiLevelType w:val="hybridMultilevel"/>
    <w:tmpl w:val="6E0098B2"/>
    <w:lvl w:ilvl="0" w:tplc="62920A56">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172128C"/>
    <w:multiLevelType w:val="hybridMultilevel"/>
    <w:tmpl w:val="44D042D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B464FE"/>
    <w:multiLevelType w:val="hybridMultilevel"/>
    <w:tmpl w:val="A3D0E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183186"/>
    <w:multiLevelType w:val="hybridMultilevel"/>
    <w:tmpl w:val="CBC6DF20"/>
    <w:lvl w:ilvl="0" w:tplc="729A0E98">
      <w:start w:val="1"/>
      <w:numFmt w:val="decimal"/>
      <w:lvlText w:val="%1."/>
      <w:lvlJc w:val="left"/>
      <w:pPr>
        <w:ind w:left="720" w:hanging="360"/>
      </w:pPr>
      <w:rPr>
        <w:rFonts w:ascii="Times New Roman" w:eastAsia="Calibri" w:hAnsi="Times New Roman"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B67874"/>
    <w:multiLevelType w:val="hybridMultilevel"/>
    <w:tmpl w:val="485EB380"/>
    <w:lvl w:ilvl="0" w:tplc="5ED8211A">
      <w:start w:val="1"/>
      <w:numFmt w:val="lowerLetter"/>
      <w:lvlText w:val="%1)"/>
      <w:lvlJc w:val="left"/>
      <w:pPr>
        <w:ind w:left="1080" w:hanging="360"/>
      </w:pPr>
      <w:rPr>
        <w:rFonts w:eastAsia="Arial Unicode M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2806AC"/>
    <w:multiLevelType w:val="hybridMultilevel"/>
    <w:tmpl w:val="C7D2578A"/>
    <w:lvl w:ilvl="0" w:tplc="8CBA50E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1F9D0686"/>
    <w:multiLevelType w:val="hybridMultilevel"/>
    <w:tmpl w:val="75D01458"/>
    <w:lvl w:ilvl="0" w:tplc="D916BCD0">
      <w:start w:val="1"/>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720"/>
        </w:tabs>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16C740F"/>
    <w:multiLevelType w:val="hybridMultilevel"/>
    <w:tmpl w:val="BD2000B4"/>
    <w:lvl w:ilvl="0" w:tplc="6BCE14BE">
      <w:start w:val="1"/>
      <w:numFmt w:val="bullet"/>
      <w:lvlText w:val=""/>
      <w:lvlJc w:val="left"/>
      <w:pPr>
        <w:tabs>
          <w:tab w:val="num" w:pos="720"/>
        </w:tabs>
        <w:ind w:left="720" w:hanging="360"/>
      </w:pPr>
      <w:rPr>
        <w:rFonts w:ascii="Symbol" w:hAnsi="Symbol" w:hint="default"/>
        <w:strike w:val="0"/>
      </w:rPr>
    </w:lvl>
    <w:lvl w:ilvl="1" w:tplc="F5C40FC8">
      <w:start w:val="1"/>
      <w:numFmt w:val="bullet"/>
      <w:lvlText w:val=""/>
      <w:lvlJc w:val="left"/>
      <w:pPr>
        <w:tabs>
          <w:tab w:val="num" w:pos="1260"/>
        </w:tabs>
        <w:ind w:left="1260" w:hanging="360"/>
      </w:pPr>
      <w:rPr>
        <w:rFonts w:ascii="Wingdings" w:hAnsi="Wingdings" w:hint="default"/>
        <w:strike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9F00A0"/>
    <w:multiLevelType w:val="hybridMultilevel"/>
    <w:tmpl w:val="75443C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C82C05"/>
    <w:multiLevelType w:val="hybridMultilevel"/>
    <w:tmpl w:val="0590A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CF476E"/>
    <w:multiLevelType w:val="hybridMultilevel"/>
    <w:tmpl w:val="35182E44"/>
    <w:lvl w:ilvl="0" w:tplc="04090001">
      <w:start w:val="1"/>
      <w:numFmt w:val="bullet"/>
      <w:lvlText w:val=""/>
      <w:lvlJc w:val="left"/>
      <w:pPr>
        <w:ind w:left="360" w:hanging="360"/>
      </w:pPr>
      <w:rPr>
        <w:rFonts w:ascii="Symbol" w:hAnsi="Symbol" w:hint="default"/>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11" w15:restartNumberingAfterBreak="0">
    <w:nsid w:val="22670BFB"/>
    <w:multiLevelType w:val="hybridMultilevel"/>
    <w:tmpl w:val="727222CC"/>
    <w:lvl w:ilvl="0" w:tplc="041C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3510478"/>
    <w:multiLevelType w:val="hybridMultilevel"/>
    <w:tmpl w:val="8F0AE3E0"/>
    <w:lvl w:ilvl="0" w:tplc="041C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8430B5"/>
    <w:multiLevelType w:val="hybridMultilevel"/>
    <w:tmpl w:val="AEB85EB8"/>
    <w:lvl w:ilvl="0" w:tplc="041C000D">
      <w:start w:val="1"/>
      <w:numFmt w:val="bullet"/>
      <w:lvlText w:val=""/>
      <w:lvlJc w:val="left"/>
      <w:pPr>
        <w:ind w:left="1440" w:hanging="360"/>
      </w:pPr>
      <w:rPr>
        <w:rFonts w:ascii="Wingdings" w:hAnsi="Wingdings"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4" w15:restartNumberingAfterBreak="0">
    <w:nsid w:val="26720C31"/>
    <w:multiLevelType w:val="hybridMultilevel"/>
    <w:tmpl w:val="DEFCF898"/>
    <w:lvl w:ilvl="0" w:tplc="8AB6EC22">
      <w:start w:val="1"/>
      <w:numFmt w:val="decimal"/>
      <w:lvlText w:val="%1."/>
      <w:lvlJc w:val="left"/>
      <w:pPr>
        <w:ind w:left="720" w:hanging="360"/>
      </w:pPr>
      <w:rPr>
        <w:rFonts w:ascii="Times New Roman" w:eastAsia="Arial Unicode MS" w:hAnsi="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72206B"/>
    <w:multiLevelType w:val="hybridMultilevel"/>
    <w:tmpl w:val="BAE43EBE"/>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15:restartNumberingAfterBreak="0">
    <w:nsid w:val="2B6B58EA"/>
    <w:multiLevelType w:val="hybridMultilevel"/>
    <w:tmpl w:val="B80C5742"/>
    <w:lvl w:ilvl="0" w:tplc="041C0001">
      <w:start w:val="1"/>
      <w:numFmt w:val="bullet"/>
      <w:lvlText w:val=""/>
      <w:lvlJc w:val="left"/>
      <w:pPr>
        <w:ind w:left="915" w:hanging="360"/>
      </w:pPr>
      <w:rPr>
        <w:rFonts w:ascii="Symbol" w:hAnsi="Symbol" w:hint="default"/>
      </w:rPr>
    </w:lvl>
    <w:lvl w:ilvl="1" w:tplc="08090003" w:tentative="1">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cs="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cs="Courier New" w:hint="default"/>
      </w:rPr>
    </w:lvl>
    <w:lvl w:ilvl="8" w:tplc="08090005" w:tentative="1">
      <w:start w:val="1"/>
      <w:numFmt w:val="bullet"/>
      <w:lvlText w:val=""/>
      <w:lvlJc w:val="left"/>
      <w:pPr>
        <w:ind w:left="6675" w:hanging="360"/>
      </w:pPr>
      <w:rPr>
        <w:rFonts w:ascii="Wingdings" w:hAnsi="Wingdings" w:hint="default"/>
      </w:rPr>
    </w:lvl>
  </w:abstractNum>
  <w:abstractNum w:abstractNumId="17" w15:restartNumberingAfterBreak="0">
    <w:nsid w:val="31430A7F"/>
    <w:multiLevelType w:val="hybridMultilevel"/>
    <w:tmpl w:val="B9B633A0"/>
    <w:lvl w:ilvl="0" w:tplc="041C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18" w15:restartNumberingAfterBreak="0">
    <w:nsid w:val="33C25F56"/>
    <w:multiLevelType w:val="hybridMultilevel"/>
    <w:tmpl w:val="73922932"/>
    <w:lvl w:ilvl="0" w:tplc="22324C0E">
      <w:start w:val="6"/>
      <w:numFmt w:val="bullet"/>
      <w:lvlText w:val="-"/>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B05D32"/>
    <w:multiLevelType w:val="hybridMultilevel"/>
    <w:tmpl w:val="627E1648"/>
    <w:lvl w:ilvl="0" w:tplc="041C0001">
      <w:start w:val="1"/>
      <w:numFmt w:val="bullet"/>
      <w:lvlText w:val=""/>
      <w:lvlJc w:val="left"/>
      <w:pPr>
        <w:ind w:left="720" w:hanging="360"/>
      </w:pPr>
      <w:rPr>
        <w:rFonts w:ascii="Symbol" w:hAnsi="Symbol" w:hint="default"/>
      </w:rPr>
    </w:lvl>
    <w:lvl w:ilvl="1" w:tplc="041C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261563"/>
    <w:multiLevelType w:val="hybridMultilevel"/>
    <w:tmpl w:val="35AED2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F34C49"/>
    <w:multiLevelType w:val="hybridMultilevel"/>
    <w:tmpl w:val="660A05CE"/>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4C299F"/>
    <w:multiLevelType w:val="hybridMultilevel"/>
    <w:tmpl w:val="C810AB90"/>
    <w:lvl w:ilvl="0" w:tplc="041C0001">
      <w:start w:val="1"/>
      <w:numFmt w:val="bullet"/>
      <w:lvlText w:val=""/>
      <w:lvlJc w:val="left"/>
      <w:pPr>
        <w:ind w:left="720" w:hanging="360"/>
      </w:pPr>
      <w:rPr>
        <w:rFonts w:ascii="Symbol" w:hAnsi="Symbol" w:hint="default"/>
        <w:b/>
      </w:rPr>
    </w:lvl>
    <w:lvl w:ilvl="1" w:tplc="04090019">
      <w:start w:val="1"/>
      <w:numFmt w:val="lowerLetter"/>
      <w:lvlText w:val="%2."/>
      <w:lvlJc w:val="left"/>
      <w:pPr>
        <w:tabs>
          <w:tab w:val="num" w:pos="-3160"/>
        </w:tabs>
        <w:ind w:left="-3160" w:hanging="360"/>
      </w:pPr>
    </w:lvl>
    <w:lvl w:ilvl="2" w:tplc="0409001B" w:tentative="1">
      <w:start w:val="1"/>
      <w:numFmt w:val="lowerRoman"/>
      <w:lvlText w:val="%3."/>
      <w:lvlJc w:val="right"/>
      <w:pPr>
        <w:tabs>
          <w:tab w:val="num" w:pos="-2440"/>
        </w:tabs>
        <w:ind w:left="-2440" w:hanging="180"/>
      </w:pPr>
    </w:lvl>
    <w:lvl w:ilvl="3" w:tplc="0409000F" w:tentative="1">
      <w:start w:val="1"/>
      <w:numFmt w:val="decimal"/>
      <w:lvlText w:val="%4."/>
      <w:lvlJc w:val="left"/>
      <w:pPr>
        <w:tabs>
          <w:tab w:val="num" w:pos="-1720"/>
        </w:tabs>
        <w:ind w:left="-1720" w:hanging="360"/>
      </w:pPr>
    </w:lvl>
    <w:lvl w:ilvl="4" w:tplc="04090019" w:tentative="1">
      <w:start w:val="1"/>
      <w:numFmt w:val="lowerLetter"/>
      <w:lvlText w:val="%5."/>
      <w:lvlJc w:val="left"/>
      <w:pPr>
        <w:tabs>
          <w:tab w:val="num" w:pos="-1000"/>
        </w:tabs>
        <w:ind w:left="-1000" w:hanging="360"/>
      </w:pPr>
    </w:lvl>
    <w:lvl w:ilvl="5" w:tplc="0409001B" w:tentative="1">
      <w:start w:val="1"/>
      <w:numFmt w:val="lowerRoman"/>
      <w:lvlText w:val="%6."/>
      <w:lvlJc w:val="right"/>
      <w:pPr>
        <w:tabs>
          <w:tab w:val="num" w:pos="-280"/>
        </w:tabs>
        <w:ind w:left="-280" w:hanging="180"/>
      </w:pPr>
    </w:lvl>
    <w:lvl w:ilvl="6" w:tplc="0409000F" w:tentative="1">
      <w:start w:val="1"/>
      <w:numFmt w:val="decimal"/>
      <w:lvlText w:val="%7."/>
      <w:lvlJc w:val="left"/>
      <w:pPr>
        <w:tabs>
          <w:tab w:val="num" w:pos="440"/>
        </w:tabs>
        <w:ind w:left="440" w:hanging="360"/>
      </w:pPr>
    </w:lvl>
    <w:lvl w:ilvl="7" w:tplc="04090019" w:tentative="1">
      <w:start w:val="1"/>
      <w:numFmt w:val="lowerLetter"/>
      <w:lvlText w:val="%8."/>
      <w:lvlJc w:val="left"/>
      <w:pPr>
        <w:tabs>
          <w:tab w:val="num" w:pos="1160"/>
        </w:tabs>
        <w:ind w:left="1160" w:hanging="360"/>
      </w:pPr>
    </w:lvl>
    <w:lvl w:ilvl="8" w:tplc="0409001B" w:tentative="1">
      <w:start w:val="1"/>
      <w:numFmt w:val="lowerRoman"/>
      <w:lvlText w:val="%9."/>
      <w:lvlJc w:val="right"/>
      <w:pPr>
        <w:tabs>
          <w:tab w:val="num" w:pos="1880"/>
        </w:tabs>
        <w:ind w:left="1880" w:hanging="180"/>
      </w:pPr>
    </w:lvl>
  </w:abstractNum>
  <w:abstractNum w:abstractNumId="23" w15:restartNumberingAfterBreak="0">
    <w:nsid w:val="40111DDA"/>
    <w:multiLevelType w:val="hybridMultilevel"/>
    <w:tmpl w:val="B8B68DF4"/>
    <w:lvl w:ilvl="0" w:tplc="0809000B">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11D38E0"/>
    <w:multiLevelType w:val="hybridMultilevel"/>
    <w:tmpl w:val="5D3C375A"/>
    <w:lvl w:ilvl="0" w:tplc="041C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D10E90"/>
    <w:multiLevelType w:val="hybridMultilevel"/>
    <w:tmpl w:val="220C84E2"/>
    <w:lvl w:ilvl="0" w:tplc="EE3027A4">
      <w:start w:val="1"/>
      <w:numFmt w:val="bullet"/>
      <w:lvlText w:val="-"/>
      <w:lvlJc w:val="left"/>
      <w:pPr>
        <w:ind w:left="502" w:hanging="360"/>
      </w:pPr>
      <w:rPr>
        <w:rFonts w:ascii="Bookman Old Style" w:eastAsia="Times New Roman" w:hAnsi="Bookman Old Style" w:cs="Times New Roman"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6" w15:restartNumberingAfterBreak="0">
    <w:nsid w:val="48D97DF0"/>
    <w:multiLevelType w:val="hybridMultilevel"/>
    <w:tmpl w:val="92428068"/>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3B1DDF"/>
    <w:multiLevelType w:val="hybridMultilevel"/>
    <w:tmpl w:val="119C0B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8716D1"/>
    <w:multiLevelType w:val="hybridMultilevel"/>
    <w:tmpl w:val="0E7CED9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56D7E78"/>
    <w:multiLevelType w:val="hybridMultilevel"/>
    <w:tmpl w:val="1DCA10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81F7451"/>
    <w:multiLevelType w:val="hybridMultilevel"/>
    <w:tmpl w:val="0CD47C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F06F97"/>
    <w:multiLevelType w:val="hybridMultilevel"/>
    <w:tmpl w:val="AB428F7A"/>
    <w:lvl w:ilvl="0" w:tplc="041C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32" w15:restartNumberingAfterBreak="0">
    <w:nsid w:val="5B174F5F"/>
    <w:multiLevelType w:val="hybridMultilevel"/>
    <w:tmpl w:val="5CA48AF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3955A3"/>
    <w:multiLevelType w:val="hybridMultilevel"/>
    <w:tmpl w:val="28303164"/>
    <w:lvl w:ilvl="0" w:tplc="94E0DC2E">
      <w:start w:val="1"/>
      <w:numFmt w:val="lowerLetter"/>
      <w:lvlText w:val="%1)"/>
      <w:lvlJc w:val="center"/>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2C5833"/>
    <w:multiLevelType w:val="hybridMultilevel"/>
    <w:tmpl w:val="3314087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106F4D"/>
    <w:multiLevelType w:val="hybridMultilevel"/>
    <w:tmpl w:val="E3E20864"/>
    <w:lvl w:ilvl="0" w:tplc="8384E028">
      <w:start w:val="4"/>
      <w:numFmt w:val="bullet"/>
      <w:lvlText w:val="-"/>
      <w:lvlJc w:val="left"/>
      <w:pPr>
        <w:ind w:left="1080" w:hanging="360"/>
      </w:pPr>
      <w:rPr>
        <w:rFonts w:ascii="Times New Roman" w:eastAsia="MS Mincho"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5DB35D9F"/>
    <w:multiLevelType w:val="hybridMultilevel"/>
    <w:tmpl w:val="C8969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F9E78D3"/>
    <w:multiLevelType w:val="multilevel"/>
    <w:tmpl w:val="77F20050"/>
    <w:lvl w:ilvl="0">
      <w:start w:val="1"/>
      <w:numFmt w:val="decimal"/>
      <w:lvlText w:val="%1."/>
      <w:lvlJc w:val="left"/>
      <w:pPr>
        <w:ind w:left="720" w:hanging="360"/>
      </w:pPr>
      <w:rPr>
        <w:b w:val="0"/>
      </w:rPr>
    </w:lvl>
    <w:lvl w:ilvl="1">
      <w:start w:val="1"/>
      <w:numFmt w:val="decimal"/>
      <w:isLgl/>
      <w:lvlText w:val="%1.%2."/>
      <w:lvlJc w:val="left"/>
      <w:pPr>
        <w:ind w:left="1140" w:hanging="780"/>
      </w:pPr>
      <w:rPr>
        <w:rFonts w:hint="default"/>
      </w:rPr>
    </w:lvl>
    <w:lvl w:ilvl="2">
      <w:start w:val="1"/>
      <w:numFmt w:val="decimal"/>
      <w:isLgl/>
      <w:lvlText w:val="%1.%2.%3."/>
      <w:lvlJc w:val="left"/>
      <w:pPr>
        <w:ind w:left="1140" w:hanging="7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61B226D9"/>
    <w:multiLevelType w:val="hybridMultilevel"/>
    <w:tmpl w:val="2AB81E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1F011B3"/>
    <w:multiLevelType w:val="hybridMultilevel"/>
    <w:tmpl w:val="5BAAE0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444596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88C1657"/>
    <w:multiLevelType w:val="hybridMultilevel"/>
    <w:tmpl w:val="4DF2C838"/>
    <w:lvl w:ilvl="0" w:tplc="FFFFFFFF">
      <w:start w:val="1"/>
      <w:numFmt w:val="bullet"/>
      <w:lvlText w:val=""/>
      <w:lvlJc w:val="left"/>
      <w:pPr>
        <w:tabs>
          <w:tab w:val="num" w:pos="720"/>
        </w:tabs>
        <w:ind w:left="720" w:hanging="360"/>
      </w:pPr>
      <w:rPr>
        <w:rFonts w:ascii="Symbol" w:hAnsi="Symbol" w:hint="default"/>
      </w:rPr>
    </w:lvl>
    <w:lvl w:ilvl="1" w:tplc="96A82EB2">
      <w:start w:val="1"/>
      <w:numFmt w:val="decimal"/>
      <w:lvlText w:val="%2."/>
      <w:lvlJc w:val="left"/>
      <w:pPr>
        <w:tabs>
          <w:tab w:val="num" w:pos="1495"/>
        </w:tabs>
        <w:ind w:left="1495" w:hanging="360"/>
      </w:pPr>
      <w:rPr>
        <w:b/>
      </w:rPr>
    </w:lvl>
    <w:lvl w:ilvl="2" w:tplc="9B0E144C">
      <w:start w:val="1"/>
      <w:numFmt w:val="decimal"/>
      <w:lvlText w:val="%3."/>
      <w:lvlJc w:val="left"/>
      <w:pPr>
        <w:tabs>
          <w:tab w:val="num" w:pos="360"/>
        </w:tabs>
        <w:ind w:left="360" w:hanging="360"/>
      </w:pPr>
      <w:rPr>
        <w:b/>
      </w:r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2" w15:restartNumberingAfterBreak="0">
    <w:nsid w:val="69C32482"/>
    <w:multiLevelType w:val="hybridMultilevel"/>
    <w:tmpl w:val="06D0974E"/>
    <w:lvl w:ilvl="0" w:tplc="041C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43" w15:restartNumberingAfterBreak="0">
    <w:nsid w:val="6DD1282E"/>
    <w:multiLevelType w:val="hybridMultilevel"/>
    <w:tmpl w:val="C610D2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13672DD"/>
    <w:multiLevelType w:val="hybridMultilevel"/>
    <w:tmpl w:val="9D4AD1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4A942AD"/>
    <w:multiLevelType w:val="hybridMultilevel"/>
    <w:tmpl w:val="92343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6253BC3"/>
    <w:multiLevelType w:val="hybridMultilevel"/>
    <w:tmpl w:val="691E266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0"/>
  </w:num>
  <w:num w:numId="2">
    <w:abstractNumId w:val="25"/>
  </w:num>
  <w:num w:numId="3">
    <w:abstractNumId w:val="39"/>
  </w:num>
  <w:num w:numId="4">
    <w:abstractNumId w:val="18"/>
  </w:num>
  <w:num w:numId="5">
    <w:abstractNumId w:val="15"/>
  </w:num>
  <w:num w:numId="6">
    <w:abstractNumId w:val="46"/>
  </w:num>
  <w:num w:numId="7">
    <w:abstractNumId w:val="34"/>
  </w:num>
  <w:num w:numId="8">
    <w:abstractNumId w:val="1"/>
  </w:num>
  <w:num w:numId="9">
    <w:abstractNumId w:val="37"/>
  </w:num>
  <w:num w:numId="10">
    <w:abstractNumId w:val="35"/>
  </w:num>
  <w:num w:numId="11">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33"/>
  </w:num>
  <w:num w:numId="14">
    <w:abstractNumId w:val="38"/>
  </w:num>
  <w:num w:numId="15">
    <w:abstractNumId w:val="20"/>
  </w:num>
  <w:num w:numId="16">
    <w:abstractNumId w:val="30"/>
  </w:num>
  <w:num w:numId="17">
    <w:abstractNumId w:val="5"/>
  </w:num>
  <w:num w:numId="18">
    <w:abstractNumId w:val="27"/>
  </w:num>
  <w:num w:numId="19">
    <w:abstractNumId w:val="14"/>
  </w:num>
  <w:num w:numId="20">
    <w:abstractNumId w:val="4"/>
  </w:num>
  <w:num w:numId="21">
    <w:abstractNumId w:val="32"/>
  </w:num>
  <w:num w:numId="22">
    <w:abstractNumId w:val="43"/>
  </w:num>
  <w:num w:numId="23">
    <w:abstractNumId w:val="12"/>
  </w:num>
  <w:num w:numId="24">
    <w:abstractNumId w:val="26"/>
  </w:num>
  <w:num w:numId="25">
    <w:abstractNumId w:val="24"/>
  </w:num>
  <w:num w:numId="26">
    <w:abstractNumId w:val="19"/>
  </w:num>
  <w:num w:numId="27">
    <w:abstractNumId w:val="21"/>
  </w:num>
  <w:num w:numId="28">
    <w:abstractNumId w:val="28"/>
  </w:num>
  <w:num w:numId="29">
    <w:abstractNumId w:val="13"/>
  </w:num>
  <w:num w:numId="30">
    <w:abstractNumId w:val="7"/>
  </w:num>
  <w:num w:numId="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num>
  <w:num w:numId="33">
    <w:abstractNumId w:val="22"/>
  </w:num>
  <w:num w:numId="34">
    <w:abstractNumId w:val="44"/>
  </w:num>
  <w:num w:numId="35">
    <w:abstractNumId w:val="9"/>
  </w:num>
  <w:num w:numId="36">
    <w:abstractNumId w:val="2"/>
  </w:num>
  <w:num w:numId="37">
    <w:abstractNumId w:val="45"/>
  </w:num>
  <w:num w:numId="38">
    <w:abstractNumId w:val="8"/>
  </w:num>
  <w:num w:numId="39">
    <w:abstractNumId w:val="29"/>
  </w:num>
  <w:num w:numId="40">
    <w:abstractNumId w:val="36"/>
  </w:num>
  <w:num w:numId="41">
    <w:abstractNumId w:val="3"/>
  </w:num>
  <w:num w:numId="42">
    <w:abstractNumId w:val="0"/>
  </w:num>
  <w:num w:numId="43">
    <w:abstractNumId w:val="31"/>
  </w:num>
  <w:num w:numId="44">
    <w:abstractNumId w:val="17"/>
  </w:num>
  <w:num w:numId="45">
    <w:abstractNumId w:val="16"/>
  </w:num>
  <w:num w:numId="46">
    <w:abstractNumId w:val="42"/>
  </w:num>
  <w:num w:numId="4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2">
      <o:colormru v:ext="edit" colors="#eaeaea,#f8f9fd,#f5c30b,#efa82c,#cd9b17,#f7e8c7,#ff8001,#fad431"/>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3A7A03"/>
    <w:rsid w:val="00000E96"/>
    <w:rsid w:val="000058F1"/>
    <w:rsid w:val="0001543C"/>
    <w:rsid w:val="00022A5D"/>
    <w:rsid w:val="00025F25"/>
    <w:rsid w:val="0003548A"/>
    <w:rsid w:val="00036DBB"/>
    <w:rsid w:val="0005275C"/>
    <w:rsid w:val="000556EF"/>
    <w:rsid w:val="000559B5"/>
    <w:rsid w:val="000571FA"/>
    <w:rsid w:val="000700BE"/>
    <w:rsid w:val="00086D56"/>
    <w:rsid w:val="00092409"/>
    <w:rsid w:val="000963EE"/>
    <w:rsid w:val="00096BDA"/>
    <w:rsid w:val="00097121"/>
    <w:rsid w:val="00097CA5"/>
    <w:rsid w:val="000A0B9C"/>
    <w:rsid w:val="000B2E51"/>
    <w:rsid w:val="000C6CA1"/>
    <w:rsid w:val="000C7B39"/>
    <w:rsid w:val="0010514A"/>
    <w:rsid w:val="00112B87"/>
    <w:rsid w:val="00113A6F"/>
    <w:rsid w:val="00114EA5"/>
    <w:rsid w:val="00132A79"/>
    <w:rsid w:val="001351ED"/>
    <w:rsid w:val="00170756"/>
    <w:rsid w:val="00183A64"/>
    <w:rsid w:val="001955E9"/>
    <w:rsid w:val="001972A7"/>
    <w:rsid w:val="001A17BC"/>
    <w:rsid w:val="001B6E5A"/>
    <w:rsid w:val="001C2B99"/>
    <w:rsid w:val="001C3E2F"/>
    <w:rsid w:val="001D4728"/>
    <w:rsid w:val="001E0398"/>
    <w:rsid w:val="001E2F23"/>
    <w:rsid w:val="001F230C"/>
    <w:rsid w:val="001F452F"/>
    <w:rsid w:val="002208D0"/>
    <w:rsid w:val="00220A22"/>
    <w:rsid w:val="002238EA"/>
    <w:rsid w:val="002478E2"/>
    <w:rsid w:val="00251B35"/>
    <w:rsid w:val="00251FCD"/>
    <w:rsid w:val="00253233"/>
    <w:rsid w:val="00261796"/>
    <w:rsid w:val="002737A9"/>
    <w:rsid w:val="00277ADB"/>
    <w:rsid w:val="002824AE"/>
    <w:rsid w:val="00284CD0"/>
    <w:rsid w:val="00290938"/>
    <w:rsid w:val="00294F47"/>
    <w:rsid w:val="002B4007"/>
    <w:rsid w:val="002C0C61"/>
    <w:rsid w:val="002C7FAA"/>
    <w:rsid w:val="002D2E2F"/>
    <w:rsid w:val="00321111"/>
    <w:rsid w:val="00334CDE"/>
    <w:rsid w:val="00353FCE"/>
    <w:rsid w:val="003754E1"/>
    <w:rsid w:val="0038057F"/>
    <w:rsid w:val="00386F89"/>
    <w:rsid w:val="00392D9B"/>
    <w:rsid w:val="00395555"/>
    <w:rsid w:val="003A78C1"/>
    <w:rsid w:val="003A7A03"/>
    <w:rsid w:val="003B06ED"/>
    <w:rsid w:val="003E46D9"/>
    <w:rsid w:val="003E7455"/>
    <w:rsid w:val="003F320B"/>
    <w:rsid w:val="004060E8"/>
    <w:rsid w:val="004130C9"/>
    <w:rsid w:val="00416318"/>
    <w:rsid w:val="00417ED0"/>
    <w:rsid w:val="004413B9"/>
    <w:rsid w:val="004478A2"/>
    <w:rsid w:val="004556E3"/>
    <w:rsid w:val="004569BD"/>
    <w:rsid w:val="00456B8A"/>
    <w:rsid w:val="00486629"/>
    <w:rsid w:val="00490C12"/>
    <w:rsid w:val="00497BED"/>
    <w:rsid w:val="004A61C2"/>
    <w:rsid w:val="004A73BF"/>
    <w:rsid w:val="004B5F1D"/>
    <w:rsid w:val="004B6956"/>
    <w:rsid w:val="004D6D17"/>
    <w:rsid w:val="004E18FD"/>
    <w:rsid w:val="004E1FD3"/>
    <w:rsid w:val="004E231A"/>
    <w:rsid w:val="004F1EB9"/>
    <w:rsid w:val="004F35D5"/>
    <w:rsid w:val="004F6FD5"/>
    <w:rsid w:val="005245F8"/>
    <w:rsid w:val="005372E3"/>
    <w:rsid w:val="005372FC"/>
    <w:rsid w:val="005521D8"/>
    <w:rsid w:val="00554C33"/>
    <w:rsid w:val="0056063E"/>
    <w:rsid w:val="005659D2"/>
    <w:rsid w:val="00580A29"/>
    <w:rsid w:val="00592170"/>
    <w:rsid w:val="005B397D"/>
    <w:rsid w:val="005C2687"/>
    <w:rsid w:val="005D4644"/>
    <w:rsid w:val="005D5995"/>
    <w:rsid w:val="005E3BF5"/>
    <w:rsid w:val="005F5AE4"/>
    <w:rsid w:val="006001D2"/>
    <w:rsid w:val="006055F7"/>
    <w:rsid w:val="00612F56"/>
    <w:rsid w:val="00613870"/>
    <w:rsid w:val="00613D04"/>
    <w:rsid w:val="00620AD1"/>
    <w:rsid w:val="006226CE"/>
    <w:rsid w:val="00622FDF"/>
    <w:rsid w:val="006526C7"/>
    <w:rsid w:val="00652C74"/>
    <w:rsid w:val="0065314E"/>
    <w:rsid w:val="006621AA"/>
    <w:rsid w:val="00664743"/>
    <w:rsid w:val="0066658E"/>
    <w:rsid w:val="006877B6"/>
    <w:rsid w:val="006945CF"/>
    <w:rsid w:val="00696F52"/>
    <w:rsid w:val="006B053E"/>
    <w:rsid w:val="006B66AB"/>
    <w:rsid w:val="006C7324"/>
    <w:rsid w:val="006D1AD3"/>
    <w:rsid w:val="006D3317"/>
    <w:rsid w:val="006D7D65"/>
    <w:rsid w:val="006F39AB"/>
    <w:rsid w:val="0071799F"/>
    <w:rsid w:val="00734513"/>
    <w:rsid w:val="00751400"/>
    <w:rsid w:val="00755BAF"/>
    <w:rsid w:val="00771302"/>
    <w:rsid w:val="007856B5"/>
    <w:rsid w:val="00785EF6"/>
    <w:rsid w:val="00786C53"/>
    <w:rsid w:val="007A1ED6"/>
    <w:rsid w:val="007B53B8"/>
    <w:rsid w:val="007B7D0C"/>
    <w:rsid w:val="007C25A6"/>
    <w:rsid w:val="007C61A8"/>
    <w:rsid w:val="007D1F0E"/>
    <w:rsid w:val="007D5A1A"/>
    <w:rsid w:val="007D5AC1"/>
    <w:rsid w:val="007D69E5"/>
    <w:rsid w:val="008128BC"/>
    <w:rsid w:val="00813171"/>
    <w:rsid w:val="00815DCC"/>
    <w:rsid w:val="00827355"/>
    <w:rsid w:val="00832378"/>
    <w:rsid w:val="00850708"/>
    <w:rsid w:val="00861F16"/>
    <w:rsid w:val="008946D5"/>
    <w:rsid w:val="008A29F7"/>
    <w:rsid w:val="008B30BD"/>
    <w:rsid w:val="008D2205"/>
    <w:rsid w:val="008D5AE9"/>
    <w:rsid w:val="008F3B12"/>
    <w:rsid w:val="009065E7"/>
    <w:rsid w:val="00911927"/>
    <w:rsid w:val="00916CC1"/>
    <w:rsid w:val="0092132A"/>
    <w:rsid w:val="00937FBE"/>
    <w:rsid w:val="00951419"/>
    <w:rsid w:val="00957114"/>
    <w:rsid w:val="00971410"/>
    <w:rsid w:val="00971CA2"/>
    <w:rsid w:val="0097289A"/>
    <w:rsid w:val="00983AE3"/>
    <w:rsid w:val="009A0EA9"/>
    <w:rsid w:val="009C609F"/>
    <w:rsid w:val="009D3274"/>
    <w:rsid w:val="009D4032"/>
    <w:rsid w:val="009E7CB9"/>
    <w:rsid w:val="009F1CD1"/>
    <w:rsid w:val="009F23E3"/>
    <w:rsid w:val="009F2DC1"/>
    <w:rsid w:val="00A057F1"/>
    <w:rsid w:val="00A123C9"/>
    <w:rsid w:val="00A31738"/>
    <w:rsid w:val="00A32124"/>
    <w:rsid w:val="00A34172"/>
    <w:rsid w:val="00A37E8F"/>
    <w:rsid w:val="00A41A6D"/>
    <w:rsid w:val="00A61293"/>
    <w:rsid w:val="00A62BF0"/>
    <w:rsid w:val="00A700D4"/>
    <w:rsid w:val="00A80198"/>
    <w:rsid w:val="00A826FE"/>
    <w:rsid w:val="00A879B9"/>
    <w:rsid w:val="00A87BD2"/>
    <w:rsid w:val="00A87CEC"/>
    <w:rsid w:val="00A92C90"/>
    <w:rsid w:val="00A93039"/>
    <w:rsid w:val="00AF3BBF"/>
    <w:rsid w:val="00B02831"/>
    <w:rsid w:val="00B11C41"/>
    <w:rsid w:val="00B17236"/>
    <w:rsid w:val="00B20B3E"/>
    <w:rsid w:val="00B24CA3"/>
    <w:rsid w:val="00B267F5"/>
    <w:rsid w:val="00B27682"/>
    <w:rsid w:val="00B3059B"/>
    <w:rsid w:val="00B30707"/>
    <w:rsid w:val="00B30918"/>
    <w:rsid w:val="00B348F7"/>
    <w:rsid w:val="00B3782C"/>
    <w:rsid w:val="00B4127A"/>
    <w:rsid w:val="00B55A6F"/>
    <w:rsid w:val="00B62F80"/>
    <w:rsid w:val="00B70876"/>
    <w:rsid w:val="00B73862"/>
    <w:rsid w:val="00B923B3"/>
    <w:rsid w:val="00B9764F"/>
    <w:rsid w:val="00BA018F"/>
    <w:rsid w:val="00BB7100"/>
    <w:rsid w:val="00BD6627"/>
    <w:rsid w:val="00BE34C5"/>
    <w:rsid w:val="00C057AA"/>
    <w:rsid w:val="00C25407"/>
    <w:rsid w:val="00C3734D"/>
    <w:rsid w:val="00C5291B"/>
    <w:rsid w:val="00C751CB"/>
    <w:rsid w:val="00C75652"/>
    <w:rsid w:val="00C86726"/>
    <w:rsid w:val="00C875D7"/>
    <w:rsid w:val="00C91E9E"/>
    <w:rsid w:val="00CA7B07"/>
    <w:rsid w:val="00CB0577"/>
    <w:rsid w:val="00CB5F47"/>
    <w:rsid w:val="00CD15E6"/>
    <w:rsid w:val="00CF32F1"/>
    <w:rsid w:val="00CF3AE0"/>
    <w:rsid w:val="00CF6B3F"/>
    <w:rsid w:val="00D0460F"/>
    <w:rsid w:val="00D278F8"/>
    <w:rsid w:val="00D3445C"/>
    <w:rsid w:val="00D348B0"/>
    <w:rsid w:val="00D51A5C"/>
    <w:rsid w:val="00D72677"/>
    <w:rsid w:val="00D743D1"/>
    <w:rsid w:val="00D77236"/>
    <w:rsid w:val="00D83470"/>
    <w:rsid w:val="00DA082D"/>
    <w:rsid w:val="00DB4667"/>
    <w:rsid w:val="00DC216E"/>
    <w:rsid w:val="00DD04C0"/>
    <w:rsid w:val="00DD6337"/>
    <w:rsid w:val="00DE1645"/>
    <w:rsid w:val="00DE6575"/>
    <w:rsid w:val="00E053FE"/>
    <w:rsid w:val="00E05802"/>
    <w:rsid w:val="00E06F59"/>
    <w:rsid w:val="00E228D6"/>
    <w:rsid w:val="00E22BEF"/>
    <w:rsid w:val="00E414E3"/>
    <w:rsid w:val="00E41C09"/>
    <w:rsid w:val="00E502A9"/>
    <w:rsid w:val="00E50A29"/>
    <w:rsid w:val="00E55666"/>
    <w:rsid w:val="00E57AC8"/>
    <w:rsid w:val="00E751F9"/>
    <w:rsid w:val="00E86793"/>
    <w:rsid w:val="00E9456D"/>
    <w:rsid w:val="00EA64E4"/>
    <w:rsid w:val="00EB51BE"/>
    <w:rsid w:val="00ED3AF2"/>
    <w:rsid w:val="00EE6C78"/>
    <w:rsid w:val="00EF3D3E"/>
    <w:rsid w:val="00EF53DA"/>
    <w:rsid w:val="00F0441F"/>
    <w:rsid w:val="00F33635"/>
    <w:rsid w:val="00F360ED"/>
    <w:rsid w:val="00F406CE"/>
    <w:rsid w:val="00F56394"/>
    <w:rsid w:val="00F611A4"/>
    <w:rsid w:val="00F635DA"/>
    <w:rsid w:val="00F74D7F"/>
    <w:rsid w:val="00F80448"/>
    <w:rsid w:val="00F9296A"/>
    <w:rsid w:val="00FA42E4"/>
    <w:rsid w:val="00FB40E4"/>
    <w:rsid w:val="00FB435D"/>
    <w:rsid w:val="00FC6C37"/>
    <w:rsid w:val="00FD5515"/>
    <w:rsid w:val="00FD7487"/>
    <w:rsid w:val="00FE45F6"/>
    <w:rsid w:val="00FE506B"/>
    <w:rsid w:val="00FF27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colormru v:ext="edit" colors="#eaeaea,#f8f9fd,#f5c30b,#efa82c,#cd9b17,#f7e8c7,#ff8001,#fad431"/>
    </o:shapedefaults>
    <o:shapelayout v:ext="edit">
      <o:idmap v:ext="edit" data="1"/>
      <o:rules v:ext="edit">
        <o:r id="V:Rule1" type="connector" idref="#Straight Arrow Connector 10"/>
        <o:r id="V:Rule2" type="connector" idref="#Straight Arrow Connector 29"/>
        <o:r id="V:Rule3" type="connector" idref="#Straight Arrow Connector 27"/>
        <o:r id="V:Rule4" type="connector" idref="#Straight Arrow Connector 28"/>
        <o:r id="V:Rule5" type="connector" idref="#Straight Arrow Connector 13"/>
        <o:r id="V:Rule6" type="connector" idref="#Straight Arrow Connector 11"/>
        <o:r id="V:Rule7" type="connector" idref="#Straight Arrow Connector 12"/>
        <o:r id="V:Rule8" type="connector" idref="#Straight Arrow Connector 7"/>
      </o:rules>
    </o:shapelayout>
  </w:shapeDefaults>
  <w:decimalSymbol w:val="."/>
  <w:listSeparator w:val=","/>
  <w14:docId w14:val="1E8644B4"/>
  <w15:docId w15:val="{DA3ED9EB-576A-4049-BFD0-FEA8ABFB1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7FBE"/>
    <w:rPr>
      <w:sz w:val="24"/>
      <w:szCs w:val="24"/>
      <w:lang w:eastAsia="ko-KR"/>
    </w:rPr>
  </w:style>
  <w:style w:type="paragraph" w:styleId="Heading1">
    <w:name w:val="heading 1"/>
    <w:basedOn w:val="Normal"/>
    <w:next w:val="Normal"/>
    <w:qFormat/>
    <w:rsid w:val="00277ADB"/>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ь1"/>
    <w:basedOn w:val="Normal"/>
    <w:rsid w:val="00D278F8"/>
  </w:style>
  <w:style w:type="paragraph" w:styleId="Header">
    <w:name w:val="header"/>
    <w:basedOn w:val="Normal"/>
    <w:link w:val="HeaderChar"/>
    <w:uiPriority w:val="99"/>
    <w:rsid w:val="007D5AC1"/>
    <w:pPr>
      <w:tabs>
        <w:tab w:val="center" w:pos="4677"/>
        <w:tab w:val="right" w:pos="9355"/>
      </w:tabs>
    </w:pPr>
  </w:style>
  <w:style w:type="paragraph" w:styleId="Footer">
    <w:name w:val="footer"/>
    <w:basedOn w:val="Normal"/>
    <w:rsid w:val="007D5AC1"/>
    <w:pPr>
      <w:tabs>
        <w:tab w:val="center" w:pos="4677"/>
        <w:tab w:val="right" w:pos="9355"/>
      </w:tabs>
    </w:pPr>
  </w:style>
  <w:style w:type="character" w:customStyle="1" w:styleId="sowc">
    <w:name w:val="sowc"/>
    <w:basedOn w:val="DefaultParagraphFont"/>
    <w:rsid w:val="001A17BC"/>
  </w:style>
  <w:style w:type="character" w:customStyle="1" w:styleId="howc">
    <w:name w:val="howc"/>
    <w:basedOn w:val="DefaultParagraphFont"/>
    <w:rsid w:val="001A17BC"/>
  </w:style>
  <w:style w:type="paragraph" w:customStyle="1" w:styleId="My">
    <w:name w:val="My"/>
    <w:rsid w:val="00277ADB"/>
    <w:rPr>
      <w:rFonts w:ascii="Verdana" w:hAnsi="Verdana" w:cs="Arial"/>
      <w:sz w:val="24"/>
      <w:szCs w:val="24"/>
      <w:lang w:val="uk-UA" w:eastAsia="ko-KR"/>
    </w:rPr>
  </w:style>
  <w:style w:type="character" w:styleId="Hyperlink">
    <w:name w:val="Hyperlink"/>
    <w:basedOn w:val="DefaultParagraphFont"/>
    <w:rsid w:val="00170756"/>
    <w:rPr>
      <w:color w:val="0000FF"/>
      <w:u w:val="single"/>
    </w:rPr>
  </w:style>
  <w:style w:type="paragraph" w:customStyle="1" w:styleId="MyHeadtitle">
    <w:name w:val="My Head title"/>
    <w:basedOn w:val="Heading1"/>
    <w:rsid w:val="004F6FD5"/>
    <w:rPr>
      <w:rFonts w:ascii="Verdana" w:hAnsi="Verdana"/>
      <w:sz w:val="36"/>
    </w:rPr>
  </w:style>
  <w:style w:type="paragraph" w:customStyle="1" w:styleId="Mysubhead">
    <w:name w:val="My subhead"/>
    <w:basedOn w:val="MyHeadtitle"/>
    <w:rsid w:val="004F6FD5"/>
    <w:pPr>
      <w:jc w:val="right"/>
    </w:pPr>
    <w:rPr>
      <w:sz w:val="32"/>
    </w:rPr>
  </w:style>
  <w:style w:type="character" w:styleId="PageNumber">
    <w:name w:val="page number"/>
    <w:basedOn w:val="DefaultParagraphFont"/>
    <w:rsid w:val="00F0441F"/>
  </w:style>
  <w:style w:type="paragraph" w:customStyle="1" w:styleId="Level1">
    <w:name w:val="Level 1"/>
    <w:basedOn w:val="TOC1"/>
    <w:qFormat/>
    <w:rsid w:val="00B70876"/>
    <w:pPr>
      <w:tabs>
        <w:tab w:val="right" w:pos="8630"/>
      </w:tabs>
      <w:spacing w:before="360" w:after="360"/>
    </w:pPr>
    <w:rPr>
      <w:rFonts w:asciiTheme="majorHAnsi" w:eastAsia="Times New Roman" w:hAnsiTheme="majorHAnsi"/>
      <w:b/>
      <w:bCs/>
      <w:caps/>
      <w:sz w:val="22"/>
      <w:szCs w:val="22"/>
      <w:u w:val="single"/>
      <w:lang w:eastAsia="en-US"/>
    </w:rPr>
  </w:style>
  <w:style w:type="paragraph" w:customStyle="1" w:styleId="Level2">
    <w:name w:val="Level 2"/>
    <w:basedOn w:val="TOC2"/>
    <w:qFormat/>
    <w:rsid w:val="00B70876"/>
    <w:pPr>
      <w:tabs>
        <w:tab w:val="right" w:pos="8630"/>
      </w:tabs>
      <w:spacing w:after="0"/>
      <w:ind w:left="0"/>
    </w:pPr>
    <w:rPr>
      <w:rFonts w:asciiTheme="majorHAnsi" w:eastAsia="Times New Roman" w:hAnsiTheme="majorHAnsi"/>
      <w:b/>
      <w:bCs/>
      <w:smallCaps/>
      <w:sz w:val="22"/>
      <w:szCs w:val="22"/>
      <w:lang w:eastAsia="en-US"/>
    </w:rPr>
  </w:style>
  <w:style w:type="paragraph" w:customStyle="1" w:styleId="Level3">
    <w:name w:val="Level 3"/>
    <w:basedOn w:val="TOC3"/>
    <w:qFormat/>
    <w:rsid w:val="00B70876"/>
    <w:pPr>
      <w:tabs>
        <w:tab w:val="right" w:pos="8630"/>
      </w:tabs>
      <w:spacing w:after="0"/>
      <w:ind w:left="0"/>
    </w:pPr>
    <w:rPr>
      <w:rFonts w:asciiTheme="majorHAnsi" w:eastAsia="Times New Roman" w:hAnsiTheme="majorHAnsi"/>
      <w:smallCaps/>
      <w:sz w:val="22"/>
      <w:szCs w:val="22"/>
      <w:lang w:eastAsia="en-US"/>
    </w:rPr>
  </w:style>
  <w:style w:type="paragraph" w:styleId="TOC1">
    <w:name w:val="toc 1"/>
    <w:basedOn w:val="Normal"/>
    <w:next w:val="Normal"/>
    <w:autoRedefine/>
    <w:rsid w:val="00B70876"/>
    <w:pPr>
      <w:spacing w:after="100"/>
    </w:pPr>
  </w:style>
  <w:style w:type="paragraph" w:styleId="TOC2">
    <w:name w:val="toc 2"/>
    <w:basedOn w:val="Normal"/>
    <w:next w:val="Normal"/>
    <w:autoRedefine/>
    <w:rsid w:val="00B70876"/>
    <w:pPr>
      <w:spacing w:after="100"/>
      <w:ind w:left="240"/>
    </w:pPr>
  </w:style>
  <w:style w:type="paragraph" w:styleId="TOC3">
    <w:name w:val="toc 3"/>
    <w:basedOn w:val="Normal"/>
    <w:next w:val="Normal"/>
    <w:autoRedefine/>
    <w:rsid w:val="00B70876"/>
    <w:pPr>
      <w:spacing w:after="100"/>
      <w:ind w:left="480"/>
    </w:pPr>
  </w:style>
  <w:style w:type="paragraph" w:styleId="BalloonText">
    <w:name w:val="Balloon Text"/>
    <w:basedOn w:val="Normal"/>
    <w:link w:val="BalloonTextChar"/>
    <w:rsid w:val="00B70876"/>
    <w:rPr>
      <w:rFonts w:ascii="Tahoma" w:hAnsi="Tahoma" w:cs="Tahoma"/>
      <w:sz w:val="16"/>
      <w:szCs w:val="16"/>
    </w:rPr>
  </w:style>
  <w:style w:type="character" w:customStyle="1" w:styleId="BalloonTextChar">
    <w:name w:val="Balloon Text Char"/>
    <w:basedOn w:val="DefaultParagraphFont"/>
    <w:link w:val="BalloonText"/>
    <w:rsid w:val="00B70876"/>
    <w:rPr>
      <w:rFonts w:ascii="Tahoma" w:hAnsi="Tahoma" w:cs="Tahoma"/>
      <w:sz w:val="16"/>
      <w:szCs w:val="16"/>
      <w:lang w:val="uk-UA" w:eastAsia="ko-KR"/>
    </w:rPr>
  </w:style>
  <w:style w:type="paragraph" w:styleId="ListParagraph">
    <w:name w:val="List Paragraph"/>
    <w:basedOn w:val="Normal"/>
    <w:uiPriority w:val="34"/>
    <w:qFormat/>
    <w:rsid w:val="00A826FE"/>
    <w:pPr>
      <w:ind w:left="720"/>
      <w:contextualSpacing/>
    </w:pPr>
  </w:style>
  <w:style w:type="character" w:customStyle="1" w:styleId="HeaderChar">
    <w:name w:val="Header Char"/>
    <w:basedOn w:val="DefaultParagraphFont"/>
    <w:link w:val="Header"/>
    <w:uiPriority w:val="99"/>
    <w:rsid w:val="000C6CA1"/>
    <w:rPr>
      <w:sz w:val="24"/>
      <w:szCs w:val="24"/>
      <w:lang w:val="uk-UA" w:eastAsia="ko-KR"/>
    </w:rPr>
  </w:style>
  <w:style w:type="table" w:styleId="TableGrid">
    <w:name w:val="Table Grid"/>
    <w:basedOn w:val="TableNormal"/>
    <w:rsid w:val="00386F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386F89"/>
    <w:rPr>
      <w:color w:val="5F3B27" w:themeColor="accent1" w:themeShade="BF"/>
    </w:rPr>
    <w:tblPr>
      <w:tblStyleRowBandSize w:val="1"/>
      <w:tblStyleColBandSize w:val="1"/>
      <w:tblBorders>
        <w:top w:val="single" w:sz="8" w:space="0" w:color="7F5034" w:themeColor="accent1"/>
        <w:bottom w:val="single" w:sz="8" w:space="0" w:color="7F5034" w:themeColor="accent1"/>
      </w:tblBorders>
    </w:tblPr>
    <w:tblStylePr w:type="firstRow">
      <w:pPr>
        <w:spacing w:before="0" w:after="0" w:line="240" w:lineRule="auto"/>
      </w:pPr>
      <w:rPr>
        <w:b/>
        <w:bCs/>
      </w:rPr>
      <w:tblPr/>
      <w:tcPr>
        <w:tcBorders>
          <w:top w:val="single" w:sz="8" w:space="0" w:color="7F5034" w:themeColor="accent1"/>
          <w:left w:val="nil"/>
          <w:bottom w:val="single" w:sz="8" w:space="0" w:color="7F5034" w:themeColor="accent1"/>
          <w:right w:val="nil"/>
          <w:insideH w:val="nil"/>
          <w:insideV w:val="nil"/>
        </w:tcBorders>
      </w:tcPr>
    </w:tblStylePr>
    <w:tblStylePr w:type="lastRow">
      <w:pPr>
        <w:spacing w:before="0" w:after="0" w:line="240" w:lineRule="auto"/>
      </w:pPr>
      <w:rPr>
        <w:b/>
        <w:bCs/>
      </w:rPr>
      <w:tblPr/>
      <w:tcPr>
        <w:tcBorders>
          <w:top w:val="single" w:sz="8" w:space="0" w:color="7F5034" w:themeColor="accent1"/>
          <w:left w:val="nil"/>
          <w:bottom w:val="single" w:sz="8" w:space="0" w:color="7F503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D1C4" w:themeFill="accent1" w:themeFillTint="3F"/>
      </w:tcPr>
    </w:tblStylePr>
    <w:tblStylePr w:type="band1Horz">
      <w:tblPr/>
      <w:tcPr>
        <w:tcBorders>
          <w:left w:val="nil"/>
          <w:right w:val="nil"/>
          <w:insideH w:val="nil"/>
          <w:insideV w:val="nil"/>
        </w:tcBorders>
        <w:shd w:val="clear" w:color="auto" w:fill="E7D1C4" w:themeFill="accent1" w:themeFillTint="3F"/>
      </w:tcPr>
    </w:tblStylePr>
  </w:style>
  <w:style w:type="table" w:customStyle="1" w:styleId="LightList-Accent11">
    <w:name w:val="Light List - Accent 11"/>
    <w:basedOn w:val="TableNormal"/>
    <w:uiPriority w:val="61"/>
    <w:rsid w:val="00DD04C0"/>
    <w:tblPr>
      <w:tblStyleRowBandSize w:val="1"/>
      <w:tblStyleColBandSize w:val="1"/>
      <w:tblBorders>
        <w:top w:val="single" w:sz="8" w:space="0" w:color="7F5034" w:themeColor="accent1"/>
        <w:left w:val="single" w:sz="8" w:space="0" w:color="7F5034" w:themeColor="accent1"/>
        <w:bottom w:val="single" w:sz="8" w:space="0" w:color="7F5034" w:themeColor="accent1"/>
        <w:right w:val="single" w:sz="8" w:space="0" w:color="7F5034" w:themeColor="accent1"/>
      </w:tblBorders>
    </w:tblPr>
    <w:tblStylePr w:type="firstRow">
      <w:pPr>
        <w:spacing w:before="0" w:after="0" w:line="240" w:lineRule="auto"/>
      </w:pPr>
      <w:rPr>
        <w:b/>
        <w:bCs/>
        <w:color w:val="FFFFFF" w:themeColor="background1"/>
      </w:rPr>
      <w:tblPr/>
      <w:tcPr>
        <w:shd w:val="clear" w:color="auto" w:fill="7F5034" w:themeFill="accent1"/>
      </w:tcPr>
    </w:tblStylePr>
    <w:tblStylePr w:type="lastRow">
      <w:pPr>
        <w:spacing w:before="0" w:after="0" w:line="240" w:lineRule="auto"/>
      </w:pPr>
      <w:rPr>
        <w:b/>
        <w:bCs/>
      </w:rPr>
      <w:tblPr/>
      <w:tcPr>
        <w:tcBorders>
          <w:top w:val="double" w:sz="6" w:space="0" w:color="7F5034" w:themeColor="accent1"/>
          <w:left w:val="single" w:sz="8" w:space="0" w:color="7F5034" w:themeColor="accent1"/>
          <w:bottom w:val="single" w:sz="8" w:space="0" w:color="7F5034" w:themeColor="accent1"/>
          <w:right w:val="single" w:sz="8" w:space="0" w:color="7F5034" w:themeColor="accent1"/>
        </w:tcBorders>
      </w:tcPr>
    </w:tblStylePr>
    <w:tblStylePr w:type="firstCol">
      <w:rPr>
        <w:b/>
        <w:bCs/>
      </w:rPr>
    </w:tblStylePr>
    <w:tblStylePr w:type="lastCol">
      <w:rPr>
        <w:b/>
        <w:bCs/>
      </w:rPr>
    </w:tblStylePr>
    <w:tblStylePr w:type="band1Vert">
      <w:tblPr/>
      <w:tcPr>
        <w:tcBorders>
          <w:top w:val="single" w:sz="8" w:space="0" w:color="7F5034" w:themeColor="accent1"/>
          <w:left w:val="single" w:sz="8" w:space="0" w:color="7F5034" w:themeColor="accent1"/>
          <w:bottom w:val="single" w:sz="8" w:space="0" w:color="7F5034" w:themeColor="accent1"/>
          <w:right w:val="single" w:sz="8" w:space="0" w:color="7F5034" w:themeColor="accent1"/>
        </w:tcBorders>
      </w:tcPr>
    </w:tblStylePr>
    <w:tblStylePr w:type="band1Horz">
      <w:tblPr/>
      <w:tcPr>
        <w:tcBorders>
          <w:top w:val="single" w:sz="8" w:space="0" w:color="7F5034" w:themeColor="accent1"/>
          <w:left w:val="single" w:sz="8" w:space="0" w:color="7F5034" w:themeColor="accent1"/>
          <w:bottom w:val="single" w:sz="8" w:space="0" w:color="7F5034" w:themeColor="accent1"/>
          <w:right w:val="single" w:sz="8" w:space="0" w:color="7F5034" w:themeColor="accent1"/>
        </w:tcBorders>
      </w:tcPr>
    </w:tblStylePr>
  </w:style>
  <w:style w:type="table" w:styleId="MediumList2-Accent1">
    <w:name w:val="Medium List 2 Accent 1"/>
    <w:basedOn w:val="TableNormal"/>
    <w:uiPriority w:val="66"/>
    <w:rsid w:val="00DD04C0"/>
    <w:rPr>
      <w:rFonts w:asciiTheme="majorHAnsi" w:eastAsiaTheme="majorEastAsia" w:hAnsiTheme="majorHAnsi" w:cstheme="majorBidi"/>
      <w:color w:val="000000" w:themeColor="text1"/>
    </w:rPr>
    <w:tblPr>
      <w:tblStyleRowBandSize w:val="1"/>
      <w:tblStyleColBandSize w:val="1"/>
      <w:tblBorders>
        <w:top w:val="single" w:sz="8" w:space="0" w:color="7F5034" w:themeColor="accent1"/>
        <w:left w:val="single" w:sz="8" w:space="0" w:color="7F5034" w:themeColor="accent1"/>
        <w:bottom w:val="single" w:sz="8" w:space="0" w:color="7F5034" w:themeColor="accent1"/>
        <w:right w:val="single" w:sz="8" w:space="0" w:color="7F5034" w:themeColor="accent1"/>
      </w:tblBorders>
    </w:tblPr>
    <w:tblStylePr w:type="firstRow">
      <w:rPr>
        <w:sz w:val="24"/>
        <w:szCs w:val="24"/>
      </w:rPr>
      <w:tblPr/>
      <w:tcPr>
        <w:tcBorders>
          <w:top w:val="nil"/>
          <w:left w:val="nil"/>
          <w:bottom w:val="single" w:sz="24" w:space="0" w:color="7F5034" w:themeColor="accent1"/>
          <w:right w:val="nil"/>
          <w:insideH w:val="nil"/>
          <w:insideV w:val="nil"/>
        </w:tcBorders>
        <w:shd w:val="clear" w:color="auto" w:fill="FFFFFF" w:themeFill="background1"/>
      </w:tcPr>
    </w:tblStylePr>
    <w:tblStylePr w:type="lastRow">
      <w:tblPr/>
      <w:tcPr>
        <w:tcBorders>
          <w:top w:val="single" w:sz="8" w:space="0" w:color="7F503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5034" w:themeColor="accent1"/>
          <w:insideH w:val="nil"/>
          <w:insideV w:val="nil"/>
        </w:tcBorders>
        <w:shd w:val="clear" w:color="auto" w:fill="FFFFFF" w:themeFill="background1"/>
      </w:tcPr>
    </w:tblStylePr>
    <w:tblStylePr w:type="lastCol">
      <w:tblPr/>
      <w:tcPr>
        <w:tcBorders>
          <w:top w:val="nil"/>
          <w:left w:val="single" w:sz="8" w:space="0" w:color="7F503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D1C4" w:themeFill="accent1" w:themeFillTint="3F"/>
      </w:tcPr>
    </w:tblStylePr>
    <w:tblStylePr w:type="band1Horz">
      <w:tblPr/>
      <w:tcPr>
        <w:tcBorders>
          <w:top w:val="nil"/>
          <w:bottom w:val="nil"/>
          <w:insideH w:val="nil"/>
          <w:insideV w:val="nil"/>
        </w:tcBorders>
        <w:shd w:val="clear" w:color="auto" w:fill="E7D1C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Accent1">
    <w:name w:val="Medium Grid 2 Accent 1"/>
    <w:basedOn w:val="TableNormal"/>
    <w:uiPriority w:val="68"/>
    <w:rsid w:val="00DD04C0"/>
    <w:rPr>
      <w:rFonts w:asciiTheme="majorHAnsi" w:eastAsiaTheme="majorEastAsia" w:hAnsiTheme="majorHAnsi" w:cstheme="majorBidi"/>
      <w:color w:val="000000" w:themeColor="text1"/>
    </w:rPr>
    <w:tblPr>
      <w:tblStyleRowBandSize w:val="1"/>
      <w:tblStyleColBandSize w:val="1"/>
      <w:tblBorders>
        <w:top w:val="single" w:sz="8" w:space="0" w:color="7F5034" w:themeColor="accent1"/>
        <w:left w:val="single" w:sz="8" w:space="0" w:color="7F5034" w:themeColor="accent1"/>
        <w:bottom w:val="single" w:sz="8" w:space="0" w:color="7F5034" w:themeColor="accent1"/>
        <w:right w:val="single" w:sz="8" w:space="0" w:color="7F5034" w:themeColor="accent1"/>
        <w:insideH w:val="single" w:sz="8" w:space="0" w:color="7F5034" w:themeColor="accent1"/>
        <w:insideV w:val="single" w:sz="8" w:space="0" w:color="7F5034" w:themeColor="accent1"/>
      </w:tblBorders>
    </w:tblPr>
    <w:tcPr>
      <w:shd w:val="clear" w:color="auto" w:fill="E7D1C4" w:themeFill="accent1" w:themeFillTint="3F"/>
    </w:tcPr>
    <w:tblStylePr w:type="firstRow">
      <w:rPr>
        <w:b/>
        <w:bCs/>
        <w:color w:val="000000" w:themeColor="text1"/>
      </w:rPr>
      <w:tblPr/>
      <w:tcPr>
        <w:shd w:val="clear" w:color="auto" w:fill="F5ECE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DACF" w:themeFill="accent1" w:themeFillTint="33"/>
      </w:tcPr>
    </w:tblStylePr>
    <w:tblStylePr w:type="band1Vert">
      <w:tblPr/>
      <w:tcPr>
        <w:shd w:val="clear" w:color="auto" w:fill="CFA389" w:themeFill="accent1" w:themeFillTint="7F"/>
      </w:tcPr>
    </w:tblStylePr>
    <w:tblStylePr w:type="band1Horz">
      <w:tblPr/>
      <w:tcPr>
        <w:tcBorders>
          <w:insideH w:val="single" w:sz="6" w:space="0" w:color="7F5034" w:themeColor="accent1"/>
          <w:insideV w:val="single" w:sz="6" w:space="0" w:color="7F5034" w:themeColor="accent1"/>
        </w:tcBorders>
        <w:shd w:val="clear" w:color="auto" w:fill="CFA389" w:themeFill="accent1" w:themeFillTint="7F"/>
      </w:tcPr>
    </w:tblStylePr>
    <w:tblStylePr w:type="nwCell">
      <w:tblPr/>
      <w:tcPr>
        <w:shd w:val="clear" w:color="auto" w:fill="FFFFFF" w:themeFill="background1"/>
      </w:tcPr>
    </w:tblStylePr>
  </w:style>
  <w:style w:type="table" w:customStyle="1" w:styleId="LightGrid-Accent11">
    <w:name w:val="Light Grid - Accent 11"/>
    <w:basedOn w:val="TableNormal"/>
    <w:uiPriority w:val="62"/>
    <w:rsid w:val="00DD04C0"/>
    <w:tblPr>
      <w:tblStyleRowBandSize w:val="1"/>
      <w:tblStyleColBandSize w:val="1"/>
      <w:tblBorders>
        <w:top w:val="single" w:sz="8" w:space="0" w:color="7F5034" w:themeColor="accent1"/>
        <w:left w:val="single" w:sz="8" w:space="0" w:color="7F5034" w:themeColor="accent1"/>
        <w:bottom w:val="single" w:sz="8" w:space="0" w:color="7F5034" w:themeColor="accent1"/>
        <w:right w:val="single" w:sz="8" w:space="0" w:color="7F5034" w:themeColor="accent1"/>
        <w:insideH w:val="single" w:sz="8" w:space="0" w:color="7F5034" w:themeColor="accent1"/>
        <w:insideV w:val="single" w:sz="8" w:space="0" w:color="7F503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F5034" w:themeColor="accent1"/>
          <w:left w:val="single" w:sz="8" w:space="0" w:color="7F5034" w:themeColor="accent1"/>
          <w:bottom w:val="single" w:sz="18" w:space="0" w:color="7F5034" w:themeColor="accent1"/>
          <w:right w:val="single" w:sz="8" w:space="0" w:color="7F5034" w:themeColor="accent1"/>
          <w:insideH w:val="nil"/>
          <w:insideV w:val="single" w:sz="8" w:space="0" w:color="7F503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5034" w:themeColor="accent1"/>
          <w:left w:val="single" w:sz="8" w:space="0" w:color="7F5034" w:themeColor="accent1"/>
          <w:bottom w:val="single" w:sz="8" w:space="0" w:color="7F5034" w:themeColor="accent1"/>
          <w:right w:val="single" w:sz="8" w:space="0" w:color="7F5034" w:themeColor="accent1"/>
          <w:insideH w:val="nil"/>
          <w:insideV w:val="single" w:sz="8" w:space="0" w:color="7F503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5034" w:themeColor="accent1"/>
          <w:left w:val="single" w:sz="8" w:space="0" w:color="7F5034" w:themeColor="accent1"/>
          <w:bottom w:val="single" w:sz="8" w:space="0" w:color="7F5034" w:themeColor="accent1"/>
          <w:right w:val="single" w:sz="8" w:space="0" w:color="7F5034" w:themeColor="accent1"/>
        </w:tcBorders>
      </w:tcPr>
    </w:tblStylePr>
    <w:tblStylePr w:type="band1Vert">
      <w:tblPr/>
      <w:tcPr>
        <w:tcBorders>
          <w:top w:val="single" w:sz="8" w:space="0" w:color="7F5034" w:themeColor="accent1"/>
          <w:left w:val="single" w:sz="8" w:space="0" w:color="7F5034" w:themeColor="accent1"/>
          <w:bottom w:val="single" w:sz="8" w:space="0" w:color="7F5034" w:themeColor="accent1"/>
          <w:right w:val="single" w:sz="8" w:space="0" w:color="7F5034" w:themeColor="accent1"/>
        </w:tcBorders>
        <w:shd w:val="clear" w:color="auto" w:fill="E7D1C4" w:themeFill="accent1" w:themeFillTint="3F"/>
      </w:tcPr>
    </w:tblStylePr>
    <w:tblStylePr w:type="band1Horz">
      <w:tblPr/>
      <w:tcPr>
        <w:tcBorders>
          <w:top w:val="single" w:sz="8" w:space="0" w:color="7F5034" w:themeColor="accent1"/>
          <w:left w:val="single" w:sz="8" w:space="0" w:color="7F5034" w:themeColor="accent1"/>
          <w:bottom w:val="single" w:sz="8" w:space="0" w:color="7F5034" w:themeColor="accent1"/>
          <w:right w:val="single" w:sz="8" w:space="0" w:color="7F5034" w:themeColor="accent1"/>
          <w:insideV w:val="single" w:sz="8" w:space="0" w:color="7F5034" w:themeColor="accent1"/>
        </w:tcBorders>
        <w:shd w:val="clear" w:color="auto" w:fill="E7D1C4" w:themeFill="accent1" w:themeFillTint="3F"/>
      </w:tcPr>
    </w:tblStylePr>
    <w:tblStylePr w:type="band2Horz">
      <w:tblPr/>
      <w:tcPr>
        <w:tcBorders>
          <w:top w:val="single" w:sz="8" w:space="0" w:color="7F5034" w:themeColor="accent1"/>
          <w:left w:val="single" w:sz="8" w:space="0" w:color="7F5034" w:themeColor="accent1"/>
          <w:bottom w:val="single" w:sz="8" w:space="0" w:color="7F5034" w:themeColor="accent1"/>
          <w:right w:val="single" w:sz="8" w:space="0" w:color="7F5034" w:themeColor="accent1"/>
          <w:insideV w:val="single" w:sz="8" w:space="0" w:color="7F5034" w:themeColor="accent1"/>
        </w:tcBorders>
      </w:tcPr>
    </w:tblStylePr>
  </w:style>
  <w:style w:type="paragraph" w:styleId="BodyText2">
    <w:name w:val="Body Text 2"/>
    <w:basedOn w:val="Normal"/>
    <w:link w:val="BodyText2Char"/>
    <w:unhideWhenUsed/>
    <w:rsid w:val="00FF271F"/>
    <w:pPr>
      <w:spacing w:after="120" w:line="480" w:lineRule="auto"/>
    </w:pPr>
    <w:rPr>
      <w:rFonts w:ascii="Calibri" w:eastAsia="Calibri" w:hAnsi="Calibri"/>
      <w:kern w:val="24"/>
      <w:sz w:val="23"/>
      <w:szCs w:val="23"/>
      <w:lang w:val="sq-AL" w:eastAsia="en-US"/>
    </w:rPr>
  </w:style>
  <w:style w:type="character" w:customStyle="1" w:styleId="BodyText2Char">
    <w:name w:val="Body Text 2 Char"/>
    <w:basedOn w:val="DefaultParagraphFont"/>
    <w:link w:val="BodyText2"/>
    <w:rsid w:val="00FF271F"/>
    <w:rPr>
      <w:rFonts w:ascii="Calibri" w:eastAsia="Calibri" w:hAnsi="Calibri"/>
      <w:kern w:val="24"/>
      <w:sz w:val="23"/>
      <w:szCs w:val="23"/>
      <w:lang w:val="sq-AL"/>
    </w:rPr>
  </w:style>
  <w:style w:type="character" w:styleId="FootnoteReference">
    <w:name w:val="footnote reference"/>
    <w:uiPriority w:val="99"/>
    <w:unhideWhenUsed/>
    <w:rsid w:val="00B02831"/>
    <w:rPr>
      <w:vertAlign w:val="superscript"/>
    </w:rPr>
  </w:style>
  <w:style w:type="paragraph" w:styleId="FootnoteText">
    <w:name w:val="footnote text"/>
    <w:basedOn w:val="Normal"/>
    <w:link w:val="FootnoteTextChar"/>
    <w:uiPriority w:val="99"/>
    <w:unhideWhenUsed/>
    <w:rsid w:val="00B02831"/>
    <w:rPr>
      <w:rFonts w:ascii="Calibri" w:eastAsia="Calibri" w:hAnsi="Calibri"/>
      <w:kern w:val="24"/>
      <w:sz w:val="22"/>
      <w:szCs w:val="20"/>
      <w:lang w:val="sq-AL" w:eastAsia="en-US"/>
    </w:rPr>
  </w:style>
  <w:style w:type="character" w:customStyle="1" w:styleId="FootnoteTextChar">
    <w:name w:val="Footnote Text Char"/>
    <w:basedOn w:val="DefaultParagraphFont"/>
    <w:link w:val="FootnoteText"/>
    <w:uiPriority w:val="99"/>
    <w:rsid w:val="00B02831"/>
    <w:rPr>
      <w:rFonts w:ascii="Calibri" w:eastAsia="Calibri" w:hAnsi="Calibri"/>
      <w:kern w:val="24"/>
      <w:sz w:val="22"/>
      <w:lang w:val="sq-AL"/>
    </w:rPr>
  </w:style>
  <w:style w:type="table" w:customStyle="1" w:styleId="TableGrid2">
    <w:name w:val="Table Grid2"/>
    <w:basedOn w:val="TableNormal"/>
    <w:next w:val="TableGrid"/>
    <w:uiPriority w:val="59"/>
    <w:rsid w:val="00B348F7"/>
    <w:rPr>
      <w:rFonts w:asciiTheme="minorHAnsi" w:eastAsiaTheme="minorHAnsi" w:hAnsiTheme="minorHAnsi" w:cs="Calibri"/>
      <w:kern w:val="24"/>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2">
    <w:name w:val="Light Shading Accent 2"/>
    <w:basedOn w:val="TableNormal"/>
    <w:uiPriority w:val="60"/>
    <w:rsid w:val="00B348F7"/>
    <w:rPr>
      <w:color w:val="AB7239" w:themeColor="accent2" w:themeShade="BF"/>
    </w:rPr>
    <w:tblPr>
      <w:tblStyleRowBandSize w:val="1"/>
      <w:tblStyleColBandSize w:val="1"/>
      <w:tblBorders>
        <w:top w:val="single" w:sz="8" w:space="0" w:color="CC9966" w:themeColor="accent2"/>
        <w:bottom w:val="single" w:sz="8" w:space="0" w:color="CC9966" w:themeColor="accent2"/>
      </w:tblBorders>
    </w:tblPr>
    <w:tblStylePr w:type="firstRow">
      <w:pPr>
        <w:spacing w:before="0" w:after="0" w:line="240" w:lineRule="auto"/>
      </w:pPr>
      <w:rPr>
        <w:b/>
        <w:bCs/>
      </w:rPr>
      <w:tblPr/>
      <w:tcPr>
        <w:tcBorders>
          <w:top w:val="single" w:sz="8" w:space="0" w:color="CC9966" w:themeColor="accent2"/>
          <w:left w:val="nil"/>
          <w:bottom w:val="single" w:sz="8" w:space="0" w:color="CC9966" w:themeColor="accent2"/>
          <w:right w:val="nil"/>
          <w:insideH w:val="nil"/>
          <w:insideV w:val="nil"/>
        </w:tcBorders>
      </w:tcPr>
    </w:tblStylePr>
    <w:tblStylePr w:type="lastRow">
      <w:pPr>
        <w:spacing w:before="0" w:after="0" w:line="240" w:lineRule="auto"/>
      </w:pPr>
      <w:rPr>
        <w:b/>
        <w:bCs/>
      </w:rPr>
      <w:tblPr/>
      <w:tcPr>
        <w:tcBorders>
          <w:top w:val="single" w:sz="8" w:space="0" w:color="CC9966" w:themeColor="accent2"/>
          <w:left w:val="nil"/>
          <w:bottom w:val="single" w:sz="8" w:space="0" w:color="CC996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E5D9" w:themeFill="accent2" w:themeFillTint="3F"/>
      </w:tcPr>
    </w:tblStylePr>
    <w:tblStylePr w:type="band1Horz">
      <w:tblPr/>
      <w:tcPr>
        <w:tcBorders>
          <w:left w:val="nil"/>
          <w:right w:val="nil"/>
          <w:insideH w:val="nil"/>
          <w:insideV w:val="nil"/>
        </w:tcBorders>
        <w:shd w:val="clear" w:color="auto" w:fill="F2E5D9" w:themeFill="accent2" w:themeFillTint="3F"/>
      </w:tcPr>
    </w:tblStylePr>
  </w:style>
  <w:style w:type="table" w:styleId="LightGrid-Accent2">
    <w:name w:val="Light Grid Accent 2"/>
    <w:basedOn w:val="TableNormal"/>
    <w:uiPriority w:val="62"/>
    <w:rsid w:val="00B348F7"/>
    <w:tblPr>
      <w:tblStyleRowBandSize w:val="1"/>
      <w:tblStyleColBandSize w:val="1"/>
      <w:tblBorders>
        <w:top w:val="single" w:sz="8" w:space="0" w:color="CC9966" w:themeColor="accent2"/>
        <w:left w:val="single" w:sz="8" w:space="0" w:color="CC9966" w:themeColor="accent2"/>
        <w:bottom w:val="single" w:sz="8" w:space="0" w:color="CC9966" w:themeColor="accent2"/>
        <w:right w:val="single" w:sz="8" w:space="0" w:color="CC9966" w:themeColor="accent2"/>
        <w:insideH w:val="single" w:sz="8" w:space="0" w:color="CC9966" w:themeColor="accent2"/>
        <w:insideV w:val="single" w:sz="8" w:space="0" w:color="CC996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C9966" w:themeColor="accent2"/>
          <w:left w:val="single" w:sz="8" w:space="0" w:color="CC9966" w:themeColor="accent2"/>
          <w:bottom w:val="single" w:sz="18" w:space="0" w:color="CC9966" w:themeColor="accent2"/>
          <w:right w:val="single" w:sz="8" w:space="0" w:color="CC9966" w:themeColor="accent2"/>
          <w:insideH w:val="nil"/>
          <w:insideV w:val="single" w:sz="8" w:space="0" w:color="CC996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C9966" w:themeColor="accent2"/>
          <w:left w:val="single" w:sz="8" w:space="0" w:color="CC9966" w:themeColor="accent2"/>
          <w:bottom w:val="single" w:sz="8" w:space="0" w:color="CC9966" w:themeColor="accent2"/>
          <w:right w:val="single" w:sz="8" w:space="0" w:color="CC9966" w:themeColor="accent2"/>
          <w:insideH w:val="nil"/>
          <w:insideV w:val="single" w:sz="8" w:space="0" w:color="CC996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C9966" w:themeColor="accent2"/>
          <w:left w:val="single" w:sz="8" w:space="0" w:color="CC9966" w:themeColor="accent2"/>
          <w:bottom w:val="single" w:sz="8" w:space="0" w:color="CC9966" w:themeColor="accent2"/>
          <w:right w:val="single" w:sz="8" w:space="0" w:color="CC9966" w:themeColor="accent2"/>
        </w:tcBorders>
      </w:tcPr>
    </w:tblStylePr>
    <w:tblStylePr w:type="band1Vert">
      <w:tblPr/>
      <w:tcPr>
        <w:tcBorders>
          <w:top w:val="single" w:sz="8" w:space="0" w:color="CC9966" w:themeColor="accent2"/>
          <w:left w:val="single" w:sz="8" w:space="0" w:color="CC9966" w:themeColor="accent2"/>
          <w:bottom w:val="single" w:sz="8" w:space="0" w:color="CC9966" w:themeColor="accent2"/>
          <w:right w:val="single" w:sz="8" w:space="0" w:color="CC9966" w:themeColor="accent2"/>
        </w:tcBorders>
        <w:shd w:val="clear" w:color="auto" w:fill="F2E5D9" w:themeFill="accent2" w:themeFillTint="3F"/>
      </w:tcPr>
    </w:tblStylePr>
    <w:tblStylePr w:type="band1Horz">
      <w:tblPr/>
      <w:tcPr>
        <w:tcBorders>
          <w:top w:val="single" w:sz="8" w:space="0" w:color="CC9966" w:themeColor="accent2"/>
          <w:left w:val="single" w:sz="8" w:space="0" w:color="CC9966" w:themeColor="accent2"/>
          <w:bottom w:val="single" w:sz="8" w:space="0" w:color="CC9966" w:themeColor="accent2"/>
          <w:right w:val="single" w:sz="8" w:space="0" w:color="CC9966" w:themeColor="accent2"/>
          <w:insideV w:val="single" w:sz="8" w:space="0" w:color="CC9966" w:themeColor="accent2"/>
        </w:tcBorders>
        <w:shd w:val="clear" w:color="auto" w:fill="F2E5D9" w:themeFill="accent2" w:themeFillTint="3F"/>
      </w:tcPr>
    </w:tblStylePr>
    <w:tblStylePr w:type="band2Horz">
      <w:tblPr/>
      <w:tcPr>
        <w:tcBorders>
          <w:top w:val="single" w:sz="8" w:space="0" w:color="CC9966" w:themeColor="accent2"/>
          <w:left w:val="single" w:sz="8" w:space="0" w:color="CC9966" w:themeColor="accent2"/>
          <w:bottom w:val="single" w:sz="8" w:space="0" w:color="CC9966" w:themeColor="accent2"/>
          <w:right w:val="single" w:sz="8" w:space="0" w:color="CC9966" w:themeColor="accent2"/>
          <w:insideV w:val="single" w:sz="8" w:space="0" w:color="CC9966" w:themeColor="accent2"/>
        </w:tcBorders>
      </w:tcPr>
    </w:tblStylePr>
  </w:style>
  <w:style w:type="table" w:styleId="MediumList2-Accent2">
    <w:name w:val="Medium List 2 Accent 2"/>
    <w:basedOn w:val="TableNormal"/>
    <w:uiPriority w:val="66"/>
    <w:rsid w:val="003E7455"/>
    <w:rPr>
      <w:rFonts w:asciiTheme="majorHAnsi" w:eastAsiaTheme="majorEastAsia" w:hAnsiTheme="majorHAnsi" w:cstheme="majorBidi"/>
      <w:color w:val="000000" w:themeColor="text1"/>
    </w:rPr>
    <w:tblPr>
      <w:tblStyleRowBandSize w:val="1"/>
      <w:tblStyleColBandSize w:val="1"/>
      <w:tblBorders>
        <w:top w:val="single" w:sz="8" w:space="0" w:color="CC9966" w:themeColor="accent2"/>
        <w:left w:val="single" w:sz="8" w:space="0" w:color="CC9966" w:themeColor="accent2"/>
        <w:bottom w:val="single" w:sz="8" w:space="0" w:color="CC9966" w:themeColor="accent2"/>
        <w:right w:val="single" w:sz="8" w:space="0" w:color="CC9966" w:themeColor="accent2"/>
      </w:tblBorders>
    </w:tblPr>
    <w:tblStylePr w:type="firstRow">
      <w:rPr>
        <w:sz w:val="24"/>
        <w:szCs w:val="24"/>
      </w:rPr>
      <w:tblPr/>
      <w:tcPr>
        <w:tcBorders>
          <w:top w:val="nil"/>
          <w:left w:val="nil"/>
          <w:bottom w:val="single" w:sz="24" w:space="0" w:color="CC9966" w:themeColor="accent2"/>
          <w:right w:val="nil"/>
          <w:insideH w:val="nil"/>
          <w:insideV w:val="nil"/>
        </w:tcBorders>
        <w:shd w:val="clear" w:color="auto" w:fill="FFFFFF" w:themeFill="background1"/>
      </w:tcPr>
    </w:tblStylePr>
    <w:tblStylePr w:type="lastRow">
      <w:tblPr/>
      <w:tcPr>
        <w:tcBorders>
          <w:top w:val="single" w:sz="8" w:space="0" w:color="CC996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C9966" w:themeColor="accent2"/>
          <w:insideH w:val="nil"/>
          <w:insideV w:val="nil"/>
        </w:tcBorders>
        <w:shd w:val="clear" w:color="auto" w:fill="FFFFFF" w:themeFill="background1"/>
      </w:tcPr>
    </w:tblStylePr>
    <w:tblStylePr w:type="lastCol">
      <w:tblPr/>
      <w:tcPr>
        <w:tcBorders>
          <w:top w:val="nil"/>
          <w:left w:val="single" w:sz="8" w:space="0" w:color="CC996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E5D9" w:themeFill="accent2" w:themeFillTint="3F"/>
      </w:tcPr>
    </w:tblStylePr>
    <w:tblStylePr w:type="band1Horz">
      <w:tblPr/>
      <w:tcPr>
        <w:tcBorders>
          <w:top w:val="nil"/>
          <w:bottom w:val="nil"/>
          <w:insideH w:val="nil"/>
          <w:insideV w:val="nil"/>
        </w:tcBorders>
        <w:shd w:val="clear" w:color="auto" w:fill="F2E5D9" w:themeFill="accent2" w:themeFillTint="3F"/>
      </w:tcPr>
    </w:tblStylePr>
    <w:tblStylePr w:type="nwCell">
      <w:tblPr/>
      <w:tcPr>
        <w:shd w:val="clear" w:color="auto" w:fill="FFFFFF" w:themeFill="background1"/>
      </w:tcPr>
    </w:tblStylePr>
    <w:tblStylePr w:type="swCell">
      <w:tblPr/>
      <w:tcPr>
        <w:tcBorders>
          <w:top w:val="nil"/>
        </w:tcBorders>
      </w:tcPr>
    </w:tblStylePr>
  </w:style>
  <w:style w:type="paragraph" w:styleId="NoSpacing">
    <w:name w:val="No Spacing"/>
    <w:link w:val="NoSpacingChar"/>
    <w:uiPriority w:val="1"/>
    <w:unhideWhenUsed/>
    <w:qFormat/>
    <w:rsid w:val="00D77236"/>
    <w:rPr>
      <w:rFonts w:ascii="Calibri" w:eastAsia="Calibri" w:hAnsi="Calibri"/>
      <w:kern w:val="24"/>
      <w:sz w:val="23"/>
      <w:szCs w:val="23"/>
    </w:rPr>
  </w:style>
  <w:style w:type="character" w:customStyle="1" w:styleId="NoSpacingChar">
    <w:name w:val="No Spacing Char"/>
    <w:link w:val="NoSpacing"/>
    <w:uiPriority w:val="1"/>
    <w:locked/>
    <w:rsid w:val="00D77236"/>
    <w:rPr>
      <w:rFonts w:ascii="Calibri" w:eastAsia="Calibri" w:hAnsi="Calibri"/>
      <w:kern w:val="24"/>
      <w:sz w:val="23"/>
      <w:szCs w:val="23"/>
    </w:rPr>
  </w:style>
  <w:style w:type="character" w:customStyle="1" w:styleId="textexposedshow">
    <w:name w:val="text_exposed_show"/>
    <w:basedOn w:val="DefaultParagraphFont"/>
    <w:rsid w:val="00B3782C"/>
  </w:style>
  <w:style w:type="table" w:customStyle="1" w:styleId="TableGrid3">
    <w:name w:val="Table Grid3"/>
    <w:basedOn w:val="TableNormal"/>
    <w:next w:val="TableGrid"/>
    <w:uiPriority w:val="59"/>
    <w:rsid w:val="000B2E51"/>
    <w:rPr>
      <w:rFonts w:asciiTheme="minorHAnsi" w:eastAsiaTheme="minorHAnsi" w:hAnsiTheme="minorHAnsi" w:cs="Tw Cen MT"/>
      <w:kern w:val="24"/>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2">
    <w:name w:val="Medium Grid 2 Accent 2"/>
    <w:basedOn w:val="TableNormal"/>
    <w:uiPriority w:val="68"/>
    <w:rsid w:val="000B2E51"/>
    <w:rPr>
      <w:rFonts w:asciiTheme="majorHAnsi" w:eastAsiaTheme="majorEastAsia" w:hAnsiTheme="majorHAnsi" w:cstheme="majorBidi"/>
      <w:color w:val="000000" w:themeColor="text1"/>
    </w:rPr>
    <w:tblPr>
      <w:tblStyleRowBandSize w:val="1"/>
      <w:tblStyleColBandSize w:val="1"/>
      <w:tblBorders>
        <w:top w:val="single" w:sz="8" w:space="0" w:color="CC9966" w:themeColor="accent2"/>
        <w:left w:val="single" w:sz="8" w:space="0" w:color="CC9966" w:themeColor="accent2"/>
        <w:bottom w:val="single" w:sz="8" w:space="0" w:color="CC9966" w:themeColor="accent2"/>
        <w:right w:val="single" w:sz="8" w:space="0" w:color="CC9966" w:themeColor="accent2"/>
        <w:insideH w:val="single" w:sz="8" w:space="0" w:color="CC9966" w:themeColor="accent2"/>
        <w:insideV w:val="single" w:sz="8" w:space="0" w:color="CC9966" w:themeColor="accent2"/>
      </w:tblBorders>
    </w:tblPr>
    <w:tcPr>
      <w:shd w:val="clear" w:color="auto" w:fill="F2E5D9" w:themeFill="accent2" w:themeFillTint="3F"/>
    </w:tcPr>
    <w:tblStylePr w:type="firstRow">
      <w:rPr>
        <w:b/>
        <w:bCs/>
        <w:color w:val="000000" w:themeColor="text1"/>
      </w:rPr>
      <w:tblPr/>
      <w:tcPr>
        <w:shd w:val="clear" w:color="auto" w:fill="FAF4F0"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EAE0" w:themeFill="accent2" w:themeFillTint="33"/>
      </w:tcPr>
    </w:tblStylePr>
    <w:tblStylePr w:type="band1Vert">
      <w:tblPr/>
      <w:tcPr>
        <w:shd w:val="clear" w:color="auto" w:fill="E5CCB2" w:themeFill="accent2" w:themeFillTint="7F"/>
      </w:tcPr>
    </w:tblStylePr>
    <w:tblStylePr w:type="band1Horz">
      <w:tblPr/>
      <w:tcPr>
        <w:tcBorders>
          <w:insideH w:val="single" w:sz="6" w:space="0" w:color="CC9966" w:themeColor="accent2"/>
          <w:insideV w:val="single" w:sz="6" w:space="0" w:color="CC9966" w:themeColor="accent2"/>
        </w:tcBorders>
        <w:shd w:val="clear" w:color="auto" w:fill="E5CCB2" w:themeFill="accent2" w:themeFillTint="7F"/>
      </w:tcPr>
    </w:tblStylePr>
    <w:tblStylePr w:type="nwCell">
      <w:tblPr/>
      <w:tcPr>
        <w:shd w:val="clear" w:color="auto" w:fill="FFFFFF" w:themeFill="background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www.magjistratura.edu.al" TargetMode="External"/><Relationship Id="rId26" Type="http://schemas.openxmlformats.org/officeDocument/2006/relationships/chart" Target="charts/chart8.xml"/><Relationship Id="rId39" Type="http://schemas.openxmlformats.org/officeDocument/2006/relationships/image" Target="media/image20.jpeg"/><Relationship Id="rId21" Type="http://schemas.openxmlformats.org/officeDocument/2006/relationships/chart" Target="charts/chart3.xml"/><Relationship Id="rId34" Type="http://schemas.openxmlformats.org/officeDocument/2006/relationships/image" Target="media/image15.jpeg"/><Relationship Id="rId42" Type="http://schemas.openxmlformats.org/officeDocument/2006/relationships/image" Target="media/image23.emf"/><Relationship Id="rId47" Type="http://schemas.openxmlformats.org/officeDocument/2006/relationships/image" Target="media/image25.jpeg"/><Relationship Id="rId50" Type="http://schemas.openxmlformats.org/officeDocument/2006/relationships/image" Target="media/image28.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0.jpeg"/><Relationship Id="rId11" Type="http://schemas.openxmlformats.org/officeDocument/2006/relationships/image" Target="media/image3.jpeg"/><Relationship Id="rId24" Type="http://schemas.openxmlformats.org/officeDocument/2006/relationships/chart" Target="charts/chart6.xml"/><Relationship Id="rId32" Type="http://schemas.openxmlformats.org/officeDocument/2006/relationships/image" Target="media/image13.jpeg"/><Relationship Id="rId37" Type="http://schemas.openxmlformats.org/officeDocument/2006/relationships/image" Target="media/image18.jpeg"/><Relationship Id="rId40" Type="http://schemas.openxmlformats.org/officeDocument/2006/relationships/image" Target="media/image21.emf"/><Relationship Id="rId45" Type="http://schemas.openxmlformats.org/officeDocument/2006/relationships/hyperlink" Target="https://webmail.magjistratura.edu.al"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chart" Target="charts/chart1.xml"/><Relationship Id="rId31" Type="http://schemas.openxmlformats.org/officeDocument/2006/relationships/image" Target="media/image12.jpeg"/><Relationship Id="rId44" Type="http://schemas.openxmlformats.org/officeDocument/2006/relationships/hyperlink" Target="http://www.magjistratura.edu.al"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6.png"/><Relationship Id="rId22" Type="http://schemas.openxmlformats.org/officeDocument/2006/relationships/chart" Target="charts/chart4.xml"/><Relationship Id="rId27" Type="http://schemas.openxmlformats.org/officeDocument/2006/relationships/chart" Target="charts/chart9.xml"/><Relationship Id="rId30" Type="http://schemas.openxmlformats.org/officeDocument/2006/relationships/image" Target="media/image11.jpeg"/><Relationship Id="rId35" Type="http://schemas.openxmlformats.org/officeDocument/2006/relationships/image" Target="media/image16.jpeg"/><Relationship Id="rId43" Type="http://schemas.openxmlformats.org/officeDocument/2006/relationships/image" Target="media/image24.emf"/><Relationship Id="rId48" Type="http://schemas.openxmlformats.org/officeDocument/2006/relationships/image" Target="media/image26.jpeg"/><Relationship Id="rId8" Type="http://schemas.openxmlformats.org/officeDocument/2006/relationships/image" Target="media/image1.jpeg"/><Relationship Id="rId51" Type="http://schemas.openxmlformats.org/officeDocument/2006/relationships/image" Target="media/image29.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chart" Target="charts/chart7.xml"/><Relationship Id="rId33" Type="http://schemas.openxmlformats.org/officeDocument/2006/relationships/image" Target="media/image14.jpeg"/><Relationship Id="rId38" Type="http://schemas.openxmlformats.org/officeDocument/2006/relationships/image" Target="media/image19.jpeg"/><Relationship Id="rId46" Type="http://schemas.openxmlformats.org/officeDocument/2006/relationships/hyperlink" Target="http://moodle.magjistratura.edu.al/course/view.php?id=2" TargetMode="External"/><Relationship Id="rId20" Type="http://schemas.openxmlformats.org/officeDocument/2006/relationships/chart" Target="charts/chart2.xml"/><Relationship Id="rId41" Type="http://schemas.openxmlformats.org/officeDocument/2006/relationships/image" Target="media/image22.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chart" Target="charts/chart5.xml"/><Relationship Id="rId28" Type="http://schemas.openxmlformats.org/officeDocument/2006/relationships/chart" Target="charts/chart10.xml"/><Relationship Id="rId36" Type="http://schemas.openxmlformats.org/officeDocument/2006/relationships/image" Target="media/image17.jpeg"/><Relationship Id="rId49" Type="http://schemas.openxmlformats.org/officeDocument/2006/relationships/image" Target="media/image2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BrochureRobot\BrochureGenie\BrochureGenie\BrochureGenie\bin\Release\data\New%20folder\00914\word\template-word.dot"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1.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solidFill>
                  <a:schemeClr val="tx2">
                    <a:lumMod val="75000"/>
                  </a:schemeClr>
                </a:solidFill>
              </a:rPr>
              <a:t>Financimi i aktiviteteve trajnuese për vitin akademik 2017-2018</a:t>
            </a:r>
          </a:p>
        </c:rich>
      </c:tx>
      <c:overlay val="0"/>
    </c:title>
    <c:autoTitleDeleted val="0"/>
    <c:plotArea>
      <c:layout/>
      <c:pieChart>
        <c:varyColors val="1"/>
        <c:ser>
          <c:idx val="0"/>
          <c:order val="0"/>
          <c:tx>
            <c:strRef>
              <c:f>Sheet1!$B$1</c:f>
              <c:strCache>
                <c:ptCount val="1"/>
                <c:pt idx="0">
                  <c:v>Financimi i aktiviteve trajnuese për vitin akademik 2016-2017</c:v>
                </c:pt>
              </c:strCache>
            </c:strRef>
          </c:tx>
          <c:dLbls>
            <c:dLbl>
              <c:idx val="2"/>
              <c:delete val="1"/>
              <c:extLst>
                <c:ext xmlns:c15="http://schemas.microsoft.com/office/drawing/2012/chart" uri="{CE6537A1-D6FC-4f65-9D91-7224C49458BB}"/>
                <c:ext xmlns:c16="http://schemas.microsoft.com/office/drawing/2014/chart" uri="{C3380CC4-5D6E-409C-BE32-E72D297353CC}">
                  <c16:uniqueId val="{00000000-FBE4-4BF0-9252-CC530AD00F55}"/>
                </c:ext>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Sheet1!$A$2:$A$4</c:f>
              <c:strCache>
                <c:ptCount val="2"/>
                <c:pt idx="0">
                  <c:v>Trajnime nga donatorë</c:v>
                </c:pt>
                <c:pt idx="1">
                  <c:v>Trajnime nga SHM</c:v>
                </c:pt>
              </c:strCache>
            </c:strRef>
          </c:cat>
          <c:val>
            <c:numRef>
              <c:f>Sheet1!$B$2:$B$4</c:f>
              <c:numCache>
                <c:formatCode>General</c:formatCode>
                <c:ptCount val="3"/>
                <c:pt idx="0">
                  <c:v>90</c:v>
                </c:pt>
                <c:pt idx="1">
                  <c:v>123</c:v>
                </c:pt>
              </c:numCache>
            </c:numRef>
          </c:val>
          <c:extLst>
            <c:ext xmlns:c16="http://schemas.microsoft.com/office/drawing/2014/chart" uri="{C3380CC4-5D6E-409C-BE32-E72D297353CC}">
              <c16:uniqueId val="{00000001-FBE4-4BF0-9252-CC530AD00F55}"/>
            </c:ext>
          </c:extLst>
        </c:ser>
        <c:dLbls>
          <c:showLegendKey val="0"/>
          <c:showVal val="0"/>
          <c:showCatName val="1"/>
          <c:showSerName val="0"/>
          <c:showPercent val="1"/>
          <c:showBubbleSize val="0"/>
          <c:showLeaderLines val="1"/>
        </c:dLbls>
        <c:firstSliceAng val="0"/>
      </c:pieChart>
    </c:plotArea>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sz="1400">
                <a:solidFill>
                  <a:schemeClr val="tx2">
                    <a:lumMod val="60000"/>
                    <a:lumOff val="40000"/>
                  </a:schemeClr>
                </a:solidFill>
              </a:rPr>
              <a:t>Numri i trajnimeve sipas muajve për vitin akademik 2017-2018</a:t>
            </a:r>
          </a:p>
        </c:rich>
      </c:tx>
      <c:layout>
        <c:manualLayout>
          <c:xMode val="edge"/>
          <c:yMode val="edge"/>
          <c:x val="0.13612146307798481"/>
          <c:y val="2.0140986908358503E-2"/>
        </c:manualLayout>
      </c:layout>
      <c:overlay val="0"/>
    </c:title>
    <c:autoTitleDeleted val="0"/>
    <c:plotArea>
      <c:layout>
        <c:manualLayout>
          <c:layoutTarget val="inner"/>
          <c:xMode val="edge"/>
          <c:yMode val="edge"/>
          <c:x val="6.8283209390492858E-2"/>
          <c:y val="0.24024590676165491"/>
          <c:w val="0.90625382764654461"/>
          <c:h val="0.62734001999750222"/>
        </c:manualLayout>
      </c:layout>
      <c:barChart>
        <c:barDir val="col"/>
        <c:grouping val="clustered"/>
        <c:varyColors val="0"/>
        <c:ser>
          <c:idx val="0"/>
          <c:order val="0"/>
          <c:tx>
            <c:strRef>
              <c:f>Sheet1!$B$1</c:f>
              <c:strCache>
                <c:ptCount val="1"/>
                <c:pt idx="0">
                  <c:v>Nr i trajnimeve  213</c:v>
                </c:pt>
              </c:strCache>
            </c:strRef>
          </c:tx>
          <c:invertIfNegative val="0"/>
          <c:dLbls>
            <c:dLbl>
              <c:idx val="1"/>
              <c:tx>
                <c:rich>
                  <a:bodyPr/>
                  <a:lstStyle/>
                  <a:p>
                    <a:r>
                      <a:rPr lang="en-US"/>
                      <a:t>10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884-4390-8332-DE0C1F9D85F6}"/>
                </c:ext>
              </c:extLst>
            </c:dLbl>
            <c:dLbl>
              <c:idx val="2"/>
              <c:tx>
                <c:rich>
                  <a:bodyPr/>
                  <a:lstStyle/>
                  <a:p>
                    <a:r>
                      <a:rPr lang="en-US"/>
                      <a:t>18</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884-4390-8332-DE0C1F9D85F6}"/>
                </c:ext>
              </c:extLst>
            </c:dLbl>
            <c:dLbl>
              <c:idx val="3"/>
              <c:tx>
                <c:rich>
                  <a:bodyPr/>
                  <a:lstStyle/>
                  <a:p>
                    <a:r>
                      <a:rPr lang="en-US"/>
                      <a:t>24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884-4390-8332-DE0C1F9D85F6}"/>
                </c:ext>
              </c:extLst>
            </c:dLbl>
            <c:dLbl>
              <c:idx val="8"/>
              <c:tx>
                <c:rich>
                  <a:bodyPr/>
                  <a:lstStyle/>
                  <a:p>
                    <a:r>
                      <a:rPr lang="en-US"/>
                      <a:t>23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884-4390-8332-DE0C1F9D85F6}"/>
                </c:ext>
              </c:extLst>
            </c:dLbl>
            <c:spPr>
              <a:noFill/>
              <a:ln>
                <a:noFill/>
              </a:ln>
              <a:effectLst/>
            </c:spPr>
            <c:txPr>
              <a:bodyPr rot="0" vert="horz"/>
              <a:lstStyle/>
              <a:p>
                <a:pPr>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Sheet1!$A$2:$A$12</c:f>
              <c:strCache>
                <c:ptCount val="11"/>
                <c:pt idx="0">
                  <c:v>Shtator</c:v>
                </c:pt>
                <c:pt idx="1">
                  <c:v>Tetor</c:v>
                </c:pt>
                <c:pt idx="2">
                  <c:v>Nëntor</c:v>
                </c:pt>
                <c:pt idx="3">
                  <c:v>Dhjetor</c:v>
                </c:pt>
                <c:pt idx="4">
                  <c:v>Janar</c:v>
                </c:pt>
                <c:pt idx="5">
                  <c:v>Shkurt</c:v>
                </c:pt>
                <c:pt idx="6">
                  <c:v>Mars</c:v>
                </c:pt>
                <c:pt idx="7">
                  <c:v>Prill</c:v>
                </c:pt>
                <c:pt idx="8">
                  <c:v>Maj</c:v>
                </c:pt>
                <c:pt idx="9">
                  <c:v>Qershor</c:v>
                </c:pt>
                <c:pt idx="10">
                  <c:v>Korrik</c:v>
                </c:pt>
              </c:strCache>
            </c:strRef>
          </c:cat>
          <c:val>
            <c:numRef>
              <c:f>Sheet1!$B$2:$B$12</c:f>
              <c:numCache>
                <c:formatCode>General</c:formatCode>
                <c:ptCount val="11"/>
                <c:pt idx="0">
                  <c:v>3</c:v>
                </c:pt>
                <c:pt idx="1">
                  <c:v>10</c:v>
                </c:pt>
                <c:pt idx="2">
                  <c:v>15</c:v>
                </c:pt>
                <c:pt idx="3">
                  <c:v>24</c:v>
                </c:pt>
                <c:pt idx="4">
                  <c:v>25</c:v>
                </c:pt>
                <c:pt idx="5">
                  <c:v>27</c:v>
                </c:pt>
                <c:pt idx="6">
                  <c:v>28</c:v>
                </c:pt>
                <c:pt idx="7">
                  <c:v>17</c:v>
                </c:pt>
                <c:pt idx="8">
                  <c:v>24</c:v>
                </c:pt>
                <c:pt idx="9">
                  <c:v>33</c:v>
                </c:pt>
                <c:pt idx="10">
                  <c:v>8</c:v>
                </c:pt>
              </c:numCache>
            </c:numRef>
          </c:val>
          <c:extLst>
            <c:ext xmlns:c16="http://schemas.microsoft.com/office/drawing/2014/chart" uri="{C3380CC4-5D6E-409C-BE32-E72D297353CC}">
              <c16:uniqueId val="{00000004-5884-4390-8332-DE0C1F9D85F6}"/>
            </c:ext>
          </c:extLst>
        </c:ser>
        <c:dLbls>
          <c:showLegendKey val="0"/>
          <c:showVal val="1"/>
          <c:showCatName val="0"/>
          <c:showSerName val="0"/>
          <c:showPercent val="0"/>
          <c:showBubbleSize val="0"/>
        </c:dLbls>
        <c:gapWidth val="164"/>
        <c:overlap val="-22"/>
        <c:axId val="111926272"/>
        <c:axId val="111932544"/>
      </c:barChart>
      <c:catAx>
        <c:axId val="111926272"/>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111932544"/>
        <c:crosses val="autoZero"/>
        <c:auto val="1"/>
        <c:lblAlgn val="ctr"/>
        <c:lblOffset val="100"/>
        <c:noMultiLvlLbl val="0"/>
      </c:catAx>
      <c:valAx>
        <c:axId val="111932544"/>
        <c:scaling>
          <c:orientation val="minMax"/>
        </c:scaling>
        <c:delete val="0"/>
        <c:axPos val="l"/>
        <c:numFmt formatCode="General" sourceLinked="1"/>
        <c:majorTickMark val="none"/>
        <c:minorTickMark val="none"/>
        <c:tickLblPos val="nextTo"/>
        <c:txPr>
          <a:bodyPr rot="-60000000" vert="horz"/>
          <a:lstStyle/>
          <a:p>
            <a:pPr>
              <a:defRPr/>
            </a:pPr>
            <a:endParaRPr lang="en-US"/>
          </a:p>
        </c:txPr>
        <c:crossAx val="111926272"/>
        <c:crosses val="autoZero"/>
        <c:crossBetween val="between"/>
      </c:valAx>
    </c:plotArea>
    <c:legend>
      <c:legendPos val="t"/>
      <c:layout>
        <c:manualLayout>
          <c:xMode val="edge"/>
          <c:yMode val="edge"/>
          <c:x val="0.33935475456872238"/>
          <c:y val="0.2049468325522758"/>
          <c:w val="0.28796296296296553"/>
          <c:h val="7.0245906761654528E-2"/>
        </c:manualLayout>
      </c:layout>
      <c:overlay val="0"/>
      <c:txPr>
        <a:bodyPr rot="0" vert="horz"/>
        <a:lstStyle/>
        <a:p>
          <a:pPr>
            <a:defRPr/>
          </a:pPr>
          <a:endParaRPr lang="en-US"/>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rot="0" vert="horz"/>
          <a:lstStyle/>
          <a:p>
            <a:pPr>
              <a:defRPr/>
            </a:pPr>
            <a:r>
              <a:rPr lang="en-US" sz="1600">
                <a:solidFill>
                  <a:schemeClr val="tx2">
                    <a:lumMod val="75000"/>
                  </a:schemeClr>
                </a:solidFill>
              </a:rPr>
              <a:t>Ekspertët sipas kategorive për vitin akademik 2017-2018</a:t>
            </a:r>
          </a:p>
        </c:rich>
      </c:tx>
      <c:overlay val="0"/>
    </c:title>
    <c:autoTitleDeleted val="0"/>
    <c:view3D>
      <c:rotX val="30"/>
      <c:rotY val="0"/>
      <c:depthPercent val="100"/>
      <c:rAngAx val="0"/>
    </c:view3D>
    <c:floor>
      <c:thickness val="0"/>
    </c:floor>
    <c:sideWall>
      <c:thickness val="0"/>
    </c:sideWall>
    <c:backWall>
      <c:thickness val="0"/>
    </c:backWall>
    <c:plotArea>
      <c:layout/>
      <c:pie3DChart>
        <c:varyColors val="1"/>
        <c:ser>
          <c:idx val="0"/>
          <c:order val="0"/>
          <c:tx>
            <c:strRef>
              <c:f>Sheet1!$B$1</c:f>
              <c:strCache>
                <c:ptCount val="1"/>
                <c:pt idx="0">
                  <c:v>Ekspertët sipas kategorive për vitin akademik 2016-2017</c:v>
                </c:pt>
              </c:strCache>
            </c:strRef>
          </c:tx>
          <c:dLbls>
            <c:dLbl>
              <c:idx val="4"/>
              <c:layout>
                <c:manualLayout>
                  <c:x val="3.9437820041227541E-2"/>
                  <c:y val="1.98832711700511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50B-4D79-9C21-405A85D17ED8}"/>
                </c:ext>
              </c:extLst>
            </c:dLbl>
            <c:spPr>
              <a:noFill/>
              <a:ln>
                <a:noFill/>
              </a:ln>
              <a:effectLst/>
            </c:spPr>
            <c:txPr>
              <a:bodyPr rot="0" vert="horz"/>
              <a:lstStyle/>
              <a:p>
                <a:pPr>
                  <a:defRPr/>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Sheet1!$A$2:$A$7</c:f>
              <c:strCache>
                <c:ptCount val="6"/>
                <c:pt idx="0">
                  <c:v>Ekspertë të huaj</c:v>
                </c:pt>
                <c:pt idx="1">
                  <c:v>Pedagogë të brendshëm</c:v>
                </c:pt>
                <c:pt idx="2">
                  <c:v>Gjyqtarë</c:v>
                </c:pt>
                <c:pt idx="3">
                  <c:v>Prokurorë</c:v>
                </c:pt>
                <c:pt idx="4">
                  <c:v>Avokatë</c:v>
                </c:pt>
                <c:pt idx="5">
                  <c:v>Të tjerë</c:v>
                </c:pt>
              </c:strCache>
            </c:strRef>
          </c:cat>
          <c:val>
            <c:numRef>
              <c:f>Sheet1!$B$2:$B$7</c:f>
              <c:numCache>
                <c:formatCode>General</c:formatCode>
                <c:ptCount val="6"/>
                <c:pt idx="0">
                  <c:v>17</c:v>
                </c:pt>
                <c:pt idx="1">
                  <c:v>7</c:v>
                </c:pt>
                <c:pt idx="2">
                  <c:v>23</c:v>
                </c:pt>
                <c:pt idx="3">
                  <c:v>19</c:v>
                </c:pt>
                <c:pt idx="4">
                  <c:v>5</c:v>
                </c:pt>
                <c:pt idx="5">
                  <c:v>15</c:v>
                </c:pt>
              </c:numCache>
            </c:numRef>
          </c:val>
          <c:extLst>
            <c:ext xmlns:c16="http://schemas.microsoft.com/office/drawing/2014/chart" uri="{C3380CC4-5D6E-409C-BE32-E72D297353CC}">
              <c16:uniqueId val="{0000000C-450B-4D79-9C21-405A85D17ED8}"/>
            </c:ext>
          </c:extLst>
        </c:ser>
        <c:dLbls>
          <c:showLegendKey val="0"/>
          <c:showVal val="0"/>
          <c:showCatName val="0"/>
          <c:showSerName val="0"/>
          <c:showPercent val="0"/>
          <c:showBubbleSize val="0"/>
          <c:showLeaderLines val="1"/>
        </c:dLbls>
      </c:pie3DChart>
    </c:plotArea>
    <c:legend>
      <c:legendPos val="b"/>
      <c:overlay val="0"/>
      <c:txPr>
        <a:bodyPr rot="0" vert="horz"/>
        <a:lstStyle/>
        <a:p>
          <a:pPr>
            <a:defRPr/>
          </a:pPr>
          <a:endParaRPr lang="en-US"/>
        </a:p>
      </c:txPr>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0" i="0" u="none" strike="noStrike" kern="1200" cap="none" spc="50" baseline="0">
                <a:solidFill>
                  <a:schemeClr val="tx1">
                    <a:lumMod val="65000"/>
                    <a:lumOff val="35000"/>
                  </a:schemeClr>
                </a:solidFill>
                <a:latin typeface="+mn-lt"/>
                <a:ea typeface="+mn-ea"/>
                <a:cs typeface="+mn-cs"/>
              </a:defRPr>
            </a:pPr>
            <a:r>
              <a:rPr lang="en-US" sz="1400"/>
              <a:t>Pjesëmarrja/certifikimi</a:t>
            </a:r>
            <a:r>
              <a:rPr lang="en-US" sz="1400" baseline="0"/>
              <a:t> për vitin akademik 2017-2018</a:t>
            </a:r>
            <a:endParaRPr lang="sq-AL" sz="1400"/>
          </a:p>
        </c:rich>
      </c:tx>
      <c:overlay val="0"/>
      <c:spPr>
        <a:noFill/>
        <a:ln>
          <a:noFill/>
        </a:ln>
        <a:effectLst/>
      </c:spPr>
    </c:title>
    <c:autoTitleDeleted val="0"/>
    <c:plotArea>
      <c:layout>
        <c:manualLayout>
          <c:layoutTarget val="inner"/>
          <c:xMode val="edge"/>
          <c:yMode val="edge"/>
          <c:x val="9.0028069407990727E-2"/>
          <c:y val="0.22208380202474687"/>
          <c:w val="0.89828885972586758"/>
          <c:h val="0.66210942382202265"/>
        </c:manualLayout>
      </c:layout>
      <c:barChart>
        <c:barDir val="col"/>
        <c:grouping val="clustered"/>
        <c:varyColors val="0"/>
        <c:ser>
          <c:idx val="0"/>
          <c:order val="0"/>
          <c:tx>
            <c:strRef>
              <c:f>Sheet1!$B$1</c:f>
              <c:strCache>
                <c:ptCount val="1"/>
                <c:pt idx="0">
                  <c:v>Të çertifikuar</c:v>
                </c:pt>
              </c:strCache>
            </c:strRef>
          </c:tx>
          <c:spPr>
            <a:noFill/>
            <a:ln w="25400" cap="flat" cmpd="sng" algn="ctr">
              <a:solidFill>
                <a:schemeClr val="accent6"/>
              </a:solidFill>
              <a:miter lim="800000"/>
            </a:ln>
            <a:effectLst/>
          </c:spPr>
          <c:invertIfNegative val="0"/>
          <c:dLbls>
            <c:dLbl>
              <c:idx val="2"/>
              <c:layout>
                <c:manualLayout>
                  <c:x val="0"/>
                  <c:y val="1.52905198776758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9A6-4957-B36A-350ECC23403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9"/>
                <c:pt idx="0">
                  <c:v>Gjyqtarë</c:v>
                </c:pt>
                <c:pt idx="1">
                  <c:v>Prokurorë</c:v>
                </c:pt>
                <c:pt idx="2">
                  <c:v>Kand. Magj</c:v>
                </c:pt>
                <c:pt idx="3">
                  <c:v>OPGJ</c:v>
                </c:pt>
                <c:pt idx="4">
                  <c:v>KLD</c:v>
                </c:pt>
                <c:pt idx="5">
                  <c:v>Avokatë</c:v>
                </c:pt>
                <c:pt idx="6">
                  <c:v>Nd/ligjorë</c:v>
                </c:pt>
                <c:pt idx="7">
                  <c:v>Kancel.</c:v>
                </c:pt>
                <c:pt idx="8">
                  <c:v>Sek. Gjyqesor</c:v>
                </c:pt>
              </c:strCache>
            </c:strRef>
          </c:cat>
          <c:val>
            <c:numRef>
              <c:f>Sheet1!$B$2:$B$11</c:f>
              <c:numCache>
                <c:formatCode>General</c:formatCode>
                <c:ptCount val="10"/>
                <c:pt idx="0">
                  <c:v>1509</c:v>
                </c:pt>
                <c:pt idx="1">
                  <c:v>1124</c:v>
                </c:pt>
                <c:pt idx="2">
                  <c:v>166</c:v>
                </c:pt>
                <c:pt idx="3">
                  <c:v>4</c:v>
                </c:pt>
                <c:pt idx="4">
                  <c:v>21</c:v>
                </c:pt>
                <c:pt idx="5">
                  <c:v>57</c:v>
                </c:pt>
                <c:pt idx="6">
                  <c:v>16</c:v>
                </c:pt>
                <c:pt idx="7">
                  <c:v>34</c:v>
                </c:pt>
                <c:pt idx="8">
                  <c:v>92</c:v>
                </c:pt>
              </c:numCache>
            </c:numRef>
          </c:val>
          <c:extLst>
            <c:ext xmlns:c16="http://schemas.microsoft.com/office/drawing/2014/chart" uri="{C3380CC4-5D6E-409C-BE32-E72D297353CC}">
              <c16:uniqueId val="{00000000-3FA5-488F-AE0B-081D8C0AE8B0}"/>
            </c:ext>
          </c:extLst>
        </c:ser>
        <c:ser>
          <c:idx val="1"/>
          <c:order val="1"/>
          <c:tx>
            <c:strRef>
              <c:f>Sheet1!$C$1</c:f>
              <c:strCache>
                <c:ptCount val="1"/>
                <c:pt idx="0">
                  <c:v>Të ardhur</c:v>
                </c:pt>
              </c:strCache>
            </c:strRef>
          </c:tx>
          <c:spPr>
            <a:noFill/>
            <a:ln w="25400" cap="flat" cmpd="sng" algn="ctr">
              <a:solidFill>
                <a:schemeClr val="accent5"/>
              </a:solidFill>
              <a:miter lim="800000"/>
            </a:ln>
            <a:effectLst/>
          </c:spPr>
          <c:invertIfNegative val="0"/>
          <c:dLbls>
            <c:dLbl>
              <c:idx val="2"/>
              <c:layout>
                <c:manualLayout>
                  <c:x val="4.6296296296296337E-3"/>
                  <c:y val="-2.038735983690112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9A6-4957-B36A-350ECC23403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9"/>
                <c:pt idx="0">
                  <c:v>Gjyqtarë</c:v>
                </c:pt>
                <c:pt idx="1">
                  <c:v>Prokurorë</c:v>
                </c:pt>
                <c:pt idx="2">
                  <c:v>Kand. Magj</c:v>
                </c:pt>
                <c:pt idx="3">
                  <c:v>OPGJ</c:v>
                </c:pt>
                <c:pt idx="4">
                  <c:v>KLD</c:v>
                </c:pt>
                <c:pt idx="5">
                  <c:v>Avokatë</c:v>
                </c:pt>
                <c:pt idx="6">
                  <c:v>Nd/ligjorë</c:v>
                </c:pt>
                <c:pt idx="7">
                  <c:v>Kancel.</c:v>
                </c:pt>
                <c:pt idx="8">
                  <c:v>Sek. Gjyqesor</c:v>
                </c:pt>
              </c:strCache>
            </c:strRef>
          </c:cat>
          <c:val>
            <c:numRef>
              <c:f>Sheet1!$C$2:$C$11</c:f>
              <c:numCache>
                <c:formatCode>General</c:formatCode>
                <c:ptCount val="10"/>
                <c:pt idx="0">
                  <c:v>1992</c:v>
                </c:pt>
                <c:pt idx="1">
                  <c:v>1501</c:v>
                </c:pt>
                <c:pt idx="2">
                  <c:v>142</c:v>
                </c:pt>
                <c:pt idx="3">
                  <c:v>4</c:v>
                </c:pt>
                <c:pt idx="4">
                  <c:v>24</c:v>
                </c:pt>
                <c:pt idx="5">
                  <c:v>40</c:v>
                </c:pt>
                <c:pt idx="6">
                  <c:v>15</c:v>
                </c:pt>
                <c:pt idx="7">
                  <c:v>45</c:v>
                </c:pt>
                <c:pt idx="8">
                  <c:v>97</c:v>
                </c:pt>
              </c:numCache>
            </c:numRef>
          </c:val>
          <c:extLst>
            <c:ext xmlns:c16="http://schemas.microsoft.com/office/drawing/2014/chart" uri="{C3380CC4-5D6E-409C-BE32-E72D297353CC}">
              <c16:uniqueId val="{00000001-3FA5-488F-AE0B-081D8C0AE8B0}"/>
            </c:ext>
          </c:extLst>
        </c:ser>
        <c:ser>
          <c:idx val="2"/>
          <c:order val="2"/>
          <c:tx>
            <c:strRef>
              <c:f>Sheet1!$D$1</c:f>
              <c:strCache>
                <c:ptCount val="1"/>
                <c:pt idx="0">
                  <c:v>Të ftuar</c:v>
                </c:pt>
              </c:strCache>
            </c:strRef>
          </c:tx>
          <c:spPr>
            <a:noFill/>
            <a:ln w="25400" cap="flat" cmpd="sng" algn="ctr">
              <a:solidFill>
                <a:schemeClr val="accent4"/>
              </a:solidFill>
              <a:miter lim="800000"/>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2-3FA5-488F-AE0B-081D8C0AE8B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9"/>
                <c:pt idx="0">
                  <c:v>Gjyqtarë</c:v>
                </c:pt>
                <c:pt idx="1">
                  <c:v>Prokurorë</c:v>
                </c:pt>
                <c:pt idx="2">
                  <c:v>Kand. Magj</c:v>
                </c:pt>
                <c:pt idx="3">
                  <c:v>OPGJ</c:v>
                </c:pt>
                <c:pt idx="4">
                  <c:v>KLD</c:v>
                </c:pt>
                <c:pt idx="5">
                  <c:v>Avokatë</c:v>
                </c:pt>
                <c:pt idx="6">
                  <c:v>Nd/ligjorë</c:v>
                </c:pt>
                <c:pt idx="7">
                  <c:v>Kancel.</c:v>
                </c:pt>
                <c:pt idx="8">
                  <c:v>Sek. Gjyqesor</c:v>
                </c:pt>
              </c:strCache>
            </c:strRef>
          </c:cat>
          <c:val>
            <c:numRef>
              <c:f>Sheet1!$D$2:$D$11</c:f>
              <c:numCache>
                <c:formatCode>General</c:formatCode>
                <c:ptCount val="10"/>
              </c:numCache>
            </c:numRef>
          </c:val>
          <c:extLst>
            <c:ext xmlns:c16="http://schemas.microsoft.com/office/drawing/2014/chart" uri="{C3380CC4-5D6E-409C-BE32-E72D297353CC}">
              <c16:uniqueId val="{00000003-3FA5-488F-AE0B-081D8C0AE8B0}"/>
            </c:ext>
          </c:extLst>
        </c:ser>
        <c:dLbls>
          <c:showLegendKey val="0"/>
          <c:showVal val="0"/>
          <c:showCatName val="0"/>
          <c:showSerName val="0"/>
          <c:showPercent val="0"/>
          <c:showBubbleSize val="0"/>
        </c:dLbls>
        <c:gapWidth val="164"/>
        <c:overlap val="-35"/>
        <c:axId val="118416512"/>
        <c:axId val="120289536"/>
      </c:barChart>
      <c:catAx>
        <c:axId val="11841651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120289536"/>
        <c:crosses val="autoZero"/>
        <c:auto val="1"/>
        <c:lblAlgn val="ctr"/>
        <c:lblOffset val="100"/>
        <c:noMultiLvlLbl val="0"/>
      </c:catAx>
      <c:valAx>
        <c:axId val="120289536"/>
        <c:scaling>
          <c:orientation val="minMax"/>
          <c:max val="2600"/>
          <c:min val="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118416512"/>
        <c:crosses val="autoZero"/>
        <c:crossBetween val="between"/>
        <c:majorUnit val="200"/>
      </c:valAx>
      <c:spPr>
        <a:noFill/>
        <a:ln>
          <a:noFill/>
        </a:ln>
        <a:effectLst/>
      </c:spPr>
    </c:plotArea>
    <c:legend>
      <c:legendPos val="t"/>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vert="horz"/>
          <a:lstStyle/>
          <a:p>
            <a:pPr>
              <a:defRPr/>
            </a:pPr>
            <a:r>
              <a:rPr lang="en-US" sz="1400">
                <a:solidFill>
                  <a:schemeClr val="tx2">
                    <a:lumMod val="40000"/>
                    <a:lumOff val="60000"/>
                  </a:schemeClr>
                </a:solidFill>
              </a:rPr>
              <a:t>Frekuentimi Gjyqtarë</a:t>
            </a:r>
          </a:p>
        </c:rich>
      </c:tx>
      <c:overlay val="0"/>
    </c:title>
    <c:autoTitleDeleted val="0"/>
    <c:view3D>
      <c:rotX val="50"/>
      <c:rotY val="0"/>
      <c:depthPercent val="100"/>
      <c:rAngAx val="0"/>
    </c:view3D>
    <c:floor>
      <c:thickness val="0"/>
    </c:floor>
    <c:sideWall>
      <c:thickness val="0"/>
    </c:sideWall>
    <c:backWall>
      <c:thickness val="0"/>
    </c:backWall>
    <c:plotArea>
      <c:layout/>
      <c:pie3DChart>
        <c:varyColors val="1"/>
        <c:ser>
          <c:idx val="0"/>
          <c:order val="0"/>
          <c:tx>
            <c:strRef>
              <c:f>Sheet1!$B$1</c:f>
              <c:strCache>
                <c:ptCount val="1"/>
                <c:pt idx="0">
                  <c:v>Frekuentimi Gjyqtarë</c:v>
                </c:pt>
              </c:strCache>
            </c:strRef>
          </c:tx>
          <c:dLbls>
            <c:dLbl>
              <c:idx val="0"/>
              <c:tx>
                <c:rich>
                  <a:bodyPr rot="0" vert="horz"/>
                  <a:lstStyle/>
                  <a:p>
                    <a:pPr>
                      <a:defRPr/>
                    </a:pPr>
                    <a:r>
                      <a:rPr lang="en-US"/>
                      <a:t>Të ardhur 1992</a:t>
                    </a:r>
                  </a:p>
                </c:rich>
              </c:tx>
              <c:spPr/>
              <c:dLblPos val="in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FFD-4FF2-98C4-90C58144486A}"/>
                </c:ext>
              </c:extLst>
            </c:dLbl>
            <c:dLbl>
              <c:idx val="1"/>
              <c:tx>
                <c:rich>
                  <a:bodyPr rot="0" vert="horz"/>
                  <a:lstStyle/>
                  <a:p>
                    <a:pPr>
                      <a:defRPr/>
                    </a:pPr>
                    <a:r>
                      <a:rPr lang="en-US"/>
                      <a:t>Të certifikuar 1509</a:t>
                    </a:r>
                  </a:p>
                </c:rich>
              </c:tx>
              <c:spPr/>
              <c:dLblPos val="in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FFD-4FF2-98C4-90C58144486A}"/>
                </c:ext>
              </c:extLst>
            </c:dLbl>
            <c:dLbl>
              <c:idx val="2"/>
              <c:tx>
                <c:rich>
                  <a:bodyPr rot="0" vert="horz"/>
                  <a:lstStyle/>
                  <a:p>
                    <a:pPr>
                      <a:defRPr/>
                    </a:pPr>
                    <a:r>
                      <a:rPr lang="en-US"/>
                      <a:t>Të ftuar  </a:t>
                    </a:r>
                  </a:p>
                </c:rich>
              </c:tx>
              <c:spPr/>
              <c:dLblPos val="in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FFD-4FF2-98C4-90C58144486A}"/>
                </c:ext>
              </c:extLst>
            </c:dLbl>
            <c:spPr>
              <a:noFill/>
              <a:ln>
                <a:noFill/>
              </a:ln>
              <a:effectLst/>
            </c:spPr>
            <c:dLblPos val="inEnd"/>
            <c:showLegendKey val="0"/>
            <c:showVal val="1"/>
            <c:showCatName val="1"/>
            <c:showSerName val="0"/>
            <c:showPercent val="0"/>
            <c:showBubbleSize val="0"/>
            <c:showLeaderLines val="1"/>
            <c:extLst>
              <c:ext xmlns:c15="http://schemas.microsoft.com/office/drawing/2012/chart" uri="{CE6537A1-D6FC-4f65-9D91-7224C49458BB}"/>
            </c:extLst>
          </c:dLbls>
          <c:cat>
            <c:strRef>
              <c:f>Sheet1!$A$2:$A$4</c:f>
              <c:strCache>
                <c:ptCount val="3"/>
                <c:pt idx="0">
                  <c:v>Te ardhur</c:v>
                </c:pt>
                <c:pt idx="1">
                  <c:v>Te certifikuar</c:v>
                </c:pt>
                <c:pt idx="2">
                  <c:v>Të ftuar </c:v>
                </c:pt>
              </c:strCache>
            </c:strRef>
          </c:cat>
          <c:val>
            <c:numRef>
              <c:f>Sheet1!$B$2:$B$4</c:f>
              <c:numCache>
                <c:formatCode>General</c:formatCode>
                <c:ptCount val="3"/>
                <c:pt idx="0">
                  <c:v>1660</c:v>
                </c:pt>
                <c:pt idx="1">
                  <c:v>1342</c:v>
                </c:pt>
                <c:pt idx="2">
                  <c:v>2575</c:v>
                </c:pt>
              </c:numCache>
            </c:numRef>
          </c:val>
          <c:extLst>
            <c:ext xmlns:c16="http://schemas.microsoft.com/office/drawing/2014/chart" uri="{C3380CC4-5D6E-409C-BE32-E72D297353CC}">
              <c16:uniqueId val="{00000006-AFFD-4FF2-98C4-90C58144486A}"/>
            </c:ext>
          </c:extLst>
        </c:ser>
        <c:dLbls>
          <c:showLegendKey val="0"/>
          <c:showVal val="0"/>
          <c:showCatName val="0"/>
          <c:showSerName val="0"/>
          <c:showPercent val="1"/>
          <c:showBubbleSize val="0"/>
          <c:showLeaderLines val="1"/>
        </c:dLbls>
      </c:pie3DChart>
    </c:plotArea>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vert="horz"/>
          <a:lstStyle/>
          <a:p>
            <a:pPr>
              <a:defRPr/>
            </a:pPr>
            <a:r>
              <a:rPr lang="en-US" sz="1400">
                <a:solidFill>
                  <a:schemeClr val="tx2">
                    <a:lumMod val="60000"/>
                    <a:lumOff val="40000"/>
                  </a:schemeClr>
                </a:solidFill>
              </a:rPr>
              <a:t>Frekuentimi Prokurorë</a:t>
            </a:r>
          </a:p>
        </c:rich>
      </c:tx>
      <c:overlay val="0"/>
    </c:title>
    <c:autoTitleDeleted val="0"/>
    <c:view3D>
      <c:rotX val="50"/>
      <c:rotY val="0"/>
      <c:depthPercent val="100"/>
      <c:rAngAx val="0"/>
    </c:view3D>
    <c:floor>
      <c:thickness val="0"/>
    </c:floor>
    <c:sideWall>
      <c:thickness val="0"/>
    </c:sideWall>
    <c:backWall>
      <c:thickness val="0"/>
    </c:backWall>
    <c:plotArea>
      <c:layout>
        <c:manualLayout>
          <c:layoutTarget val="inner"/>
          <c:xMode val="edge"/>
          <c:yMode val="edge"/>
          <c:x val="7.0784303409735322E-2"/>
          <c:y val="0.15566046500824571"/>
          <c:w val="0.85848809544686644"/>
          <c:h val="0.73686096207000673"/>
        </c:manualLayout>
      </c:layout>
      <c:pie3DChart>
        <c:varyColors val="1"/>
        <c:ser>
          <c:idx val="0"/>
          <c:order val="0"/>
          <c:tx>
            <c:strRef>
              <c:f>Sheet1!$B$1</c:f>
              <c:strCache>
                <c:ptCount val="1"/>
                <c:pt idx="0">
                  <c:v>Frekuentimi Prokurorë</c:v>
                </c:pt>
              </c:strCache>
            </c:strRef>
          </c:tx>
          <c:dLbls>
            <c:dLbl>
              <c:idx val="0"/>
              <c:tx>
                <c:rich>
                  <a:bodyPr rot="0" vert="horz"/>
                  <a:lstStyle/>
                  <a:p>
                    <a:pPr>
                      <a:defRPr/>
                    </a:pPr>
                    <a:r>
                      <a:rPr lang="en-US"/>
                      <a:t>Të ardhur 1501</a:t>
                    </a:r>
                  </a:p>
                </c:rich>
              </c:tx>
              <c:spPr/>
              <c:dLblPos val="in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96D-46A1-8F9D-6C4FD81299C2}"/>
                </c:ext>
              </c:extLst>
            </c:dLbl>
            <c:dLbl>
              <c:idx val="1"/>
              <c:tx>
                <c:rich>
                  <a:bodyPr rot="0" vert="horz"/>
                  <a:lstStyle/>
                  <a:p>
                    <a:pPr>
                      <a:defRPr/>
                    </a:pPr>
                    <a:r>
                      <a:rPr lang="en-US"/>
                      <a:t>Të certifikuar 1124</a:t>
                    </a:r>
                  </a:p>
                </c:rich>
              </c:tx>
              <c:spPr/>
              <c:dLblPos val="in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96D-46A1-8F9D-6C4FD81299C2}"/>
                </c:ext>
              </c:extLst>
            </c:dLbl>
            <c:dLbl>
              <c:idx val="2"/>
              <c:tx>
                <c:rich>
                  <a:bodyPr rot="0" vert="horz"/>
                  <a:lstStyle/>
                  <a:p>
                    <a:pPr>
                      <a:defRPr/>
                    </a:pPr>
                    <a:r>
                      <a:rPr lang="en-US"/>
                      <a:t>Të ftuar</a:t>
                    </a:r>
                  </a:p>
                </c:rich>
              </c:tx>
              <c:spPr/>
              <c:dLblPos val="in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96D-46A1-8F9D-6C4FD81299C2}"/>
                </c:ext>
              </c:extLst>
            </c:dLbl>
            <c:spPr>
              <a:noFill/>
              <a:ln>
                <a:noFill/>
              </a:ln>
              <a:effectLst/>
            </c:spPr>
            <c:dLblPos val="inEnd"/>
            <c:showLegendKey val="0"/>
            <c:showVal val="1"/>
            <c:showCatName val="1"/>
            <c:showSerName val="0"/>
            <c:showPercent val="0"/>
            <c:showBubbleSize val="0"/>
            <c:showLeaderLines val="1"/>
            <c:extLst>
              <c:ext xmlns:c15="http://schemas.microsoft.com/office/drawing/2012/chart" uri="{CE6537A1-D6FC-4f65-9D91-7224C49458BB}"/>
            </c:extLst>
          </c:dLbls>
          <c:cat>
            <c:strRef>
              <c:f>Sheet1!$A$2:$A$4</c:f>
              <c:strCache>
                <c:ptCount val="3"/>
                <c:pt idx="0">
                  <c:v>Të ardhur</c:v>
                </c:pt>
                <c:pt idx="1">
                  <c:v>Të certifikuar</c:v>
                </c:pt>
                <c:pt idx="2">
                  <c:v>Të ftuar</c:v>
                </c:pt>
              </c:strCache>
            </c:strRef>
          </c:cat>
          <c:val>
            <c:numRef>
              <c:f>Sheet1!$B$2:$B$4</c:f>
              <c:numCache>
                <c:formatCode>General</c:formatCode>
                <c:ptCount val="3"/>
                <c:pt idx="0">
                  <c:v>890</c:v>
                </c:pt>
                <c:pt idx="1">
                  <c:v>650</c:v>
                </c:pt>
                <c:pt idx="2">
                  <c:v>1800</c:v>
                </c:pt>
              </c:numCache>
            </c:numRef>
          </c:val>
          <c:extLst>
            <c:ext xmlns:c16="http://schemas.microsoft.com/office/drawing/2014/chart" uri="{C3380CC4-5D6E-409C-BE32-E72D297353CC}">
              <c16:uniqueId val="{00000006-296D-46A1-8F9D-6C4FD81299C2}"/>
            </c:ext>
          </c:extLst>
        </c:ser>
        <c:dLbls>
          <c:showLegendKey val="0"/>
          <c:showVal val="0"/>
          <c:showCatName val="1"/>
          <c:showSerName val="0"/>
          <c:showPercent val="0"/>
          <c:showBubbleSize val="0"/>
          <c:showLeaderLines val="1"/>
        </c:dLbls>
      </c:pie3DChart>
    </c:plotArea>
    <c:plotVisOnly val="1"/>
    <c:dispBlanksAs val="zero"/>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vert="horz"/>
          <a:lstStyle/>
          <a:p>
            <a:pPr>
              <a:defRPr/>
            </a:pPr>
            <a:r>
              <a:rPr lang="en-US" sz="1400">
                <a:solidFill>
                  <a:schemeClr val="tx2">
                    <a:lumMod val="75000"/>
                  </a:schemeClr>
                </a:solidFill>
              </a:rPr>
              <a:t>Frekuentimi i gjyqtarëve/prokurorëve për vitin akademik 2017-2018</a:t>
            </a:r>
          </a:p>
        </c:rich>
      </c:tx>
      <c:overlay val="0"/>
    </c:title>
    <c:autoTitleDeleted val="0"/>
    <c:view3D>
      <c:rotX val="30"/>
      <c:rotY val="0"/>
      <c:depthPercent val="100"/>
      <c:rAngAx val="0"/>
    </c:view3D>
    <c:floor>
      <c:thickness val="0"/>
    </c:floor>
    <c:sideWall>
      <c:thickness val="0"/>
    </c:sideWall>
    <c:backWall>
      <c:thickness val="0"/>
    </c:backWall>
    <c:plotArea>
      <c:layout/>
      <c:pie3DChart>
        <c:varyColors val="1"/>
        <c:ser>
          <c:idx val="0"/>
          <c:order val="0"/>
          <c:tx>
            <c:strRef>
              <c:f>Sheet1!$B$1</c:f>
              <c:strCache>
                <c:ptCount val="1"/>
                <c:pt idx="0">
                  <c:v>Frekuentimi i gjyqtarë/prokurorë për vitin akademik 2016-2017</c:v>
                </c:pt>
              </c:strCache>
            </c:strRef>
          </c:tx>
          <c:dLbls>
            <c:dLbl>
              <c:idx val="0"/>
              <c:tx>
                <c:rich>
                  <a:bodyPr/>
                  <a:lstStyle/>
                  <a:p>
                    <a:r>
                      <a:rPr lang="en-US"/>
                      <a:t>Gjyqtarë</a:t>
                    </a:r>
                    <a:r>
                      <a:rPr lang="en-US" baseline="0"/>
                      <a:t> 57%</a:t>
                    </a:r>
                    <a:endParaRPr lang="en-US"/>
                  </a:p>
                </c:rich>
              </c:tx>
              <c:dLblPos val="inEnd"/>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C67C-4DF5-A7F2-7BE68110A556}"/>
                </c:ext>
              </c:extLst>
            </c:dLbl>
            <c:dLbl>
              <c:idx val="1"/>
              <c:layout>
                <c:manualLayout>
                  <c:x val="9.5328884652049681E-3"/>
                  <c:y val="-3.6687631027253718E-2"/>
                </c:manualLayout>
              </c:layout>
              <c:tx>
                <c:rich>
                  <a:bodyPr/>
                  <a:lstStyle/>
                  <a:p>
                    <a:r>
                      <a:rPr lang="en-US" sz="900"/>
                      <a:t>Prokurorë, 43%</a:t>
                    </a:r>
                    <a:r>
                      <a:rPr lang="en-US" sz="900" baseline="0"/>
                      <a:t>                </a:t>
                    </a:r>
                    <a:endParaRPr lang="en-US" sz="900"/>
                  </a:p>
                </c:rich>
              </c:tx>
              <c:dLblPos val="inEnd"/>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C67C-4DF5-A7F2-7BE68110A556}"/>
                </c:ext>
              </c:extLst>
            </c:dLbl>
            <c:spPr>
              <a:noFill/>
              <a:ln>
                <a:noFill/>
              </a:ln>
              <a:effectLst/>
            </c:spPr>
            <c:txPr>
              <a:bodyPr rot="0" vert="horz"/>
              <a:lstStyle/>
              <a:p>
                <a:pPr>
                  <a:defRPr/>
                </a:pPr>
                <a:endParaRPr lang="en-US"/>
              </a:p>
            </c:txPr>
            <c:dLblPos val="inEnd"/>
            <c:showLegendKey val="0"/>
            <c:showVal val="1"/>
            <c:showCatName val="1"/>
            <c:showSerName val="0"/>
            <c:showPercent val="0"/>
            <c:showBubbleSize val="0"/>
            <c:showLeaderLines val="1"/>
            <c:extLst>
              <c:ext xmlns:c15="http://schemas.microsoft.com/office/drawing/2012/chart" uri="{CE6537A1-D6FC-4f65-9D91-7224C49458BB}"/>
            </c:extLst>
          </c:dLbls>
          <c:cat>
            <c:strRef>
              <c:f>Sheet1!$A$2:$A$3</c:f>
              <c:strCache>
                <c:ptCount val="2"/>
                <c:pt idx="0">
                  <c:v>Gjyqtarë</c:v>
                </c:pt>
                <c:pt idx="1">
                  <c:v>Prokurorë</c:v>
                </c:pt>
              </c:strCache>
            </c:strRef>
          </c:cat>
          <c:val>
            <c:numRef>
              <c:f>Sheet1!$B$2:$B$3</c:f>
              <c:numCache>
                <c:formatCode>General</c:formatCode>
                <c:ptCount val="2"/>
                <c:pt idx="0">
                  <c:v>1884</c:v>
                </c:pt>
                <c:pt idx="1">
                  <c:v>1418</c:v>
                </c:pt>
              </c:numCache>
            </c:numRef>
          </c:val>
          <c:extLst>
            <c:ext xmlns:c16="http://schemas.microsoft.com/office/drawing/2014/chart" uri="{C3380CC4-5D6E-409C-BE32-E72D297353CC}">
              <c16:uniqueId val="{00000004-C67C-4DF5-A7F2-7BE68110A556}"/>
            </c:ext>
          </c:extLst>
        </c:ser>
        <c:dLbls>
          <c:showLegendKey val="0"/>
          <c:showVal val="0"/>
          <c:showCatName val="1"/>
          <c:showSerName val="0"/>
          <c:showPercent val="0"/>
          <c:showBubbleSize val="0"/>
          <c:showLeaderLines val="1"/>
        </c:dLbls>
      </c:pie3DChart>
    </c:plotArea>
    <c:legend>
      <c:legendPos val="b"/>
      <c:overlay val="0"/>
      <c:txPr>
        <a:bodyPr rot="0" vert="horz"/>
        <a:lstStyle/>
        <a:p>
          <a:pPr>
            <a:defRPr/>
          </a:pPr>
          <a:endParaRPr lang="en-US"/>
        </a:p>
      </c:txPr>
    </c:legend>
    <c:plotVisOnly val="1"/>
    <c:dispBlanksAs val="zero"/>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sz="1400">
                <a:solidFill>
                  <a:schemeClr val="tx2">
                    <a:lumMod val="60000"/>
                    <a:lumOff val="40000"/>
                  </a:schemeClr>
                </a:solidFill>
              </a:rPr>
              <a:t>Ditët e trajnimit për gjyqtarë dhe prokurorë për vitin akademik 2017-2018</a:t>
            </a:r>
            <a:endParaRPr lang="sq-AL" sz="1400">
              <a:solidFill>
                <a:schemeClr val="tx2">
                  <a:lumMod val="60000"/>
                  <a:lumOff val="40000"/>
                </a:schemeClr>
              </a:solidFill>
            </a:endParaRPr>
          </a:p>
        </c:rich>
      </c:tx>
      <c:overlay val="0"/>
    </c:title>
    <c:autoTitleDeleted val="0"/>
    <c:plotArea>
      <c:layout/>
      <c:barChart>
        <c:barDir val="col"/>
        <c:grouping val="clustered"/>
        <c:varyColors val="0"/>
        <c:ser>
          <c:idx val="0"/>
          <c:order val="0"/>
          <c:tx>
            <c:strRef>
              <c:f>Sheet1!$B$1</c:f>
              <c:strCache>
                <c:ptCount val="1"/>
                <c:pt idx="0">
                  <c:v>Gjyqtarë</c:v>
                </c:pt>
              </c:strCache>
            </c:strRef>
          </c:tx>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0-57D5-4BFB-B174-531FB5A19573}"/>
                </c:ext>
              </c:extLst>
            </c:dLbl>
            <c:spPr>
              <a:noFill/>
              <a:ln>
                <a:noFill/>
              </a:ln>
              <a:effectLst/>
            </c:spPr>
            <c:txPr>
              <a:bodyPr rot="0" vert="horz"/>
              <a:lstStyle/>
              <a:p>
                <a:pP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Sheet1!$A$2:$A$8</c:f>
              <c:strCache>
                <c:ptCount val="7"/>
                <c:pt idx="0">
                  <c:v>0 ditë</c:v>
                </c:pt>
                <c:pt idx="1">
                  <c:v>0-1 ditë</c:v>
                </c:pt>
                <c:pt idx="2">
                  <c:v>1-3 ditë</c:v>
                </c:pt>
                <c:pt idx="3">
                  <c:v>3-5 ditë</c:v>
                </c:pt>
                <c:pt idx="4">
                  <c:v>5-10 ditë</c:v>
                </c:pt>
                <c:pt idx="5">
                  <c:v>10-20 ditë</c:v>
                </c:pt>
                <c:pt idx="6">
                  <c:v>mbi 20 ditë</c:v>
                </c:pt>
              </c:strCache>
            </c:strRef>
          </c:cat>
          <c:val>
            <c:numRef>
              <c:f>Sheet1!$B$2:$B$8</c:f>
              <c:numCache>
                <c:formatCode>General</c:formatCode>
                <c:ptCount val="7"/>
                <c:pt idx="0">
                  <c:v>15</c:v>
                </c:pt>
                <c:pt idx="1">
                  <c:v>20</c:v>
                </c:pt>
                <c:pt idx="2">
                  <c:v>150</c:v>
                </c:pt>
                <c:pt idx="3">
                  <c:v>140</c:v>
                </c:pt>
                <c:pt idx="4">
                  <c:v>125</c:v>
                </c:pt>
                <c:pt idx="5">
                  <c:v>34</c:v>
                </c:pt>
                <c:pt idx="6">
                  <c:v>2</c:v>
                </c:pt>
              </c:numCache>
            </c:numRef>
          </c:val>
          <c:extLst>
            <c:ext xmlns:c16="http://schemas.microsoft.com/office/drawing/2014/chart" uri="{C3380CC4-5D6E-409C-BE32-E72D297353CC}">
              <c16:uniqueId val="{00000001-57D5-4BFB-B174-531FB5A19573}"/>
            </c:ext>
          </c:extLst>
        </c:ser>
        <c:ser>
          <c:idx val="1"/>
          <c:order val="1"/>
          <c:tx>
            <c:strRef>
              <c:f>Sheet1!$C$1</c:f>
              <c:strCache>
                <c:ptCount val="1"/>
                <c:pt idx="0">
                  <c:v>Prokurorë</c:v>
                </c:pt>
              </c:strCache>
            </c:strRef>
          </c:tx>
          <c:invertIfNegative val="0"/>
          <c:dLbls>
            <c:dLbl>
              <c:idx val="0"/>
              <c:tx>
                <c:rich>
                  <a:bodyPr/>
                  <a:lstStyle/>
                  <a:p>
                    <a:r>
                      <a:rPr lang="en-US"/>
                      <a:t>10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7D5-4BFB-B174-531FB5A19573}"/>
                </c:ext>
              </c:extLst>
            </c:dLbl>
            <c:spPr>
              <a:noFill/>
              <a:ln>
                <a:noFill/>
              </a:ln>
              <a:effectLst/>
            </c:spPr>
            <c:txPr>
              <a:bodyPr rot="0" vert="horz"/>
              <a:lstStyle/>
              <a:p>
                <a:pP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Sheet1!$A$2:$A$8</c:f>
              <c:strCache>
                <c:ptCount val="7"/>
                <c:pt idx="0">
                  <c:v>0 ditë</c:v>
                </c:pt>
                <c:pt idx="1">
                  <c:v>0-1 ditë</c:v>
                </c:pt>
                <c:pt idx="2">
                  <c:v>1-3 ditë</c:v>
                </c:pt>
                <c:pt idx="3">
                  <c:v>3-5 ditë</c:v>
                </c:pt>
                <c:pt idx="4">
                  <c:v>5-10 ditë</c:v>
                </c:pt>
                <c:pt idx="5">
                  <c:v>10-20 ditë</c:v>
                </c:pt>
                <c:pt idx="6">
                  <c:v>mbi 20 ditë</c:v>
                </c:pt>
              </c:strCache>
            </c:strRef>
          </c:cat>
          <c:val>
            <c:numRef>
              <c:f>Sheet1!$C$2:$C$8</c:f>
              <c:numCache>
                <c:formatCode>General</c:formatCode>
                <c:ptCount val="7"/>
                <c:pt idx="0">
                  <c:v>10</c:v>
                </c:pt>
                <c:pt idx="1">
                  <c:v>21</c:v>
                </c:pt>
                <c:pt idx="2">
                  <c:v>100</c:v>
                </c:pt>
                <c:pt idx="3">
                  <c:v>120</c:v>
                </c:pt>
                <c:pt idx="4">
                  <c:v>98</c:v>
                </c:pt>
                <c:pt idx="5">
                  <c:v>7</c:v>
                </c:pt>
                <c:pt idx="6">
                  <c:v>1</c:v>
                </c:pt>
              </c:numCache>
            </c:numRef>
          </c:val>
          <c:extLst>
            <c:ext xmlns:c16="http://schemas.microsoft.com/office/drawing/2014/chart" uri="{C3380CC4-5D6E-409C-BE32-E72D297353CC}">
              <c16:uniqueId val="{00000003-57D5-4BFB-B174-531FB5A19573}"/>
            </c:ext>
          </c:extLst>
        </c:ser>
        <c:dLbls>
          <c:showLegendKey val="0"/>
          <c:showVal val="0"/>
          <c:showCatName val="0"/>
          <c:showSerName val="0"/>
          <c:showPercent val="0"/>
          <c:showBubbleSize val="0"/>
        </c:dLbls>
        <c:gapWidth val="164"/>
        <c:overlap val="-22"/>
        <c:axId val="153687552"/>
        <c:axId val="153689472"/>
      </c:barChart>
      <c:catAx>
        <c:axId val="153687552"/>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153689472"/>
        <c:crosses val="autoZero"/>
        <c:auto val="1"/>
        <c:lblAlgn val="ctr"/>
        <c:lblOffset val="100"/>
        <c:noMultiLvlLbl val="0"/>
      </c:catAx>
      <c:valAx>
        <c:axId val="153689472"/>
        <c:scaling>
          <c:orientation val="minMax"/>
        </c:scaling>
        <c:delete val="0"/>
        <c:axPos val="l"/>
        <c:numFmt formatCode="General" sourceLinked="1"/>
        <c:majorTickMark val="none"/>
        <c:minorTickMark val="none"/>
        <c:tickLblPos val="nextTo"/>
        <c:txPr>
          <a:bodyPr rot="-60000000" vert="horz"/>
          <a:lstStyle/>
          <a:p>
            <a:pPr>
              <a:defRPr/>
            </a:pPr>
            <a:endParaRPr lang="en-US"/>
          </a:p>
        </c:txPr>
        <c:crossAx val="153687552"/>
        <c:crosses val="autoZero"/>
        <c:crossBetween val="between"/>
      </c:valAx>
    </c:plotArea>
    <c:legend>
      <c:legendPos val="t"/>
      <c:overlay val="0"/>
      <c:txPr>
        <a:bodyPr rot="0" vert="horz"/>
        <a:lstStyle/>
        <a:p>
          <a:pPr>
            <a:defRPr/>
          </a:pPr>
          <a:endParaRPr lang="en-US"/>
        </a:p>
      </c:txPr>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chemeClr val="tx2">
                    <a:lumMod val="60000"/>
                    <a:lumOff val="40000"/>
                  </a:schemeClr>
                </a:solidFill>
              </a:rPr>
              <a:t>Ditët e trajnimit për çdo prokuror pë vitin akademik 2017-2018</a:t>
            </a:r>
          </a:p>
        </c:rich>
      </c:tx>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Ditë e trajnimit për çdo prokurorë pë vitin akademik 2016-2017</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CE2-488B-AEAD-E1138DD2E5E9}"/>
              </c:ext>
            </c:extLst>
          </c:dPt>
          <c:dPt>
            <c:idx val="1"/>
            <c:bubble3D val="0"/>
            <c:explosion val="5"/>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CE2-488B-AEAD-E1138DD2E5E9}"/>
              </c:ext>
            </c:extLst>
          </c:dPt>
          <c:dPt>
            <c:idx val="2"/>
            <c:bubble3D val="0"/>
            <c:explosion val="12"/>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BCE2-488B-AEAD-E1138DD2E5E9}"/>
              </c:ext>
            </c:extLst>
          </c:dPt>
          <c:dPt>
            <c:idx val="3"/>
            <c:bubble3D val="0"/>
            <c:explosion val="13"/>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BCE2-488B-AEAD-E1138DD2E5E9}"/>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BCE2-488B-AEAD-E1138DD2E5E9}"/>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BCE2-488B-AEAD-E1138DD2E5E9}"/>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CE2-488B-AEAD-E1138DD2E5E9}"/>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CE2-488B-AEAD-E1138DD2E5E9}"/>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CE2-488B-AEAD-E1138DD2E5E9}"/>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CE2-488B-AEAD-E1138DD2E5E9}"/>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extLst>
          </c:dLbls>
          <c:cat>
            <c:strRef>
              <c:f>Sheet1!$A$2:$A$8</c:f>
              <c:strCache>
                <c:ptCount val="7"/>
                <c:pt idx="0">
                  <c:v>0 dite</c:v>
                </c:pt>
                <c:pt idx="1">
                  <c:v>0-1 ditë</c:v>
                </c:pt>
                <c:pt idx="2">
                  <c:v>1-3 ditë</c:v>
                </c:pt>
                <c:pt idx="3">
                  <c:v>3-5 ditë</c:v>
                </c:pt>
                <c:pt idx="4">
                  <c:v>5-10 ditë</c:v>
                </c:pt>
                <c:pt idx="5">
                  <c:v>10-20 ditë</c:v>
                </c:pt>
                <c:pt idx="6">
                  <c:v>mbi 20 ditë</c:v>
                </c:pt>
              </c:strCache>
            </c:strRef>
          </c:cat>
          <c:val>
            <c:numRef>
              <c:f>Sheet1!$B$2:$B$8</c:f>
              <c:numCache>
                <c:formatCode>General</c:formatCode>
                <c:ptCount val="7"/>
                <c:pt idx="0">
                  <c:v>10</c:v>
                </c:pt>
                <c:pt idx="1">
                  <c:v>21</c:v>
                </c:pt>
                <c:pt idx="2">
                  <c:v>100</c:v>
                </c:pt>
                <c:pt idx="3">
                  <c:v>120</c:v>
                </c:pt>
                <c:pt idx="4">
                  <c:v>98</c:v>
                </c:pt>
                <c:pt idx="5">
                  <c:v>7</c:v>
                </c:pt>
                <c:pt idx="6">
                  <c:v>1</c:v>
                </c:pt>
              </c:numCache>
            </c:numRef>
          </c:val>
          <c:extLst>
            <c:ext xmlns:c16="http://schemas.microsoft.com/office/drawing/2014/chart" uri="{C3380CC4-5D6E-409C-BE32-E72D297353CC}">
              <c16:uniqueId val="{0000000C-BCE2-488B-AEAD-E1138DD2E5E9}"/>
            </c:ext>
          </c:extLst>
        </c:ser>
        <c:dLbls>
          <c:showLegendKey val="0"/>
          <c:showVal val="0"/>
          <c:showCatName val="0"/>
          <c:showSerName val="0"/>
          <c:showPercent val="0"/>
          <c:showBubbleSize val="0"/>
          <c:showLeaderLines val="1"/>
        </c:dLbls>
      </c:pie3DChart>
      <c:spPr>
        <a:noFill/>
        <a:ln>
          <a:noFill/>
        </a:ln>
        <a:effectLst/>
      </c:spPr>
    </c:plotArea>
    <c:legend>
      <c:legendPos val="b"/>
      <c:layout>
        <c:manualLayout>
          <c:xMode val="edge"/>
          <c:yMode val="edge"/>
          <c:x val="6.879830125400993E-2"/>
          <c:y val="0.89732095988001459"/>
          <c:w val="0.7860143263342082"/>
          <c:h val="7.886951631046119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sz="1400">
                <a:solidFill>
                  <a:schemeClr val="tx2">
                    <a:lumMod val="60000"/>
                    <a:lumOff val="40000"/>
                  </a:schemeClr>
                </a:solidFill>
              </a:rPr>
              <a:t>Ditët e trajnimit për çdo gjyqtar për vitin akademik 2017-2018</a:t>
            </a:r>
          </a:p>
        </c:rich>
      </c:tx>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Ditët e trajnimit për çdo gjyqtarë pë vitin akademik 2016-2017</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c:ext xmlns:c16="http://schemas.microsoft.com/office/drawing/2014/chart" uri="{C3380CC4-5D6E-409C-BE32-E72D297353CC}">
                <c16:uniqueId val="{00000001-A412-4D6C-AED1-04E6D5349D4B}"/>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c:ext xmlns:c16="http://schemas.microsoft.com/office/drawing/2014/chart" uri="{C3380CC4-5D6E-409C-BE32-E72D297353CC}">
                <c16:uniqueId val="{00000003-A412-4D6C-AED1-04E6D5349D4B}"/>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c:ext xmlns:c16="http://schemas.microsoft.com/office/drawing/2014/chart" uri="{C3380CC4-5D6E-409C-BE32-E72D297353CC}">
                <c16:uniqueId val="{00000005-A412-4D6C-AED1-04E6D5349D4B}"/>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c:ext xmlns:c16="http://schemas.microsoft.com/office/drawing/2014/chart" uri="{C3380CC4-5D6E-409C-BE32-E72D297353CC}">
                <c16:uniqueId val="{00000007-A412-4D6C-AED1-04E6D5349D4B}"/>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extLst>
              <c:ext xmlns:c16="http://schemas.microsoft.com/office/drawing/2014/chart" uri="{C3380CC4-5D6E-409C-BE32-E72D297353CC}">
                <c16:uniqueId val="{00000009-A412-4D6C-AED1-04E6D5349D4B}"/>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p3d/>
            </c:spPr>
            <c:extLst>
              <c:ext xmlns:c16="http://schemas.microsoft.com/office/drawing/2014/chart" uri="{C3380CC4-5D6E-409C-BE32-E72D297353CC}">
                <c16:uniqueId val="{0000000B-A412-4D6C-AED1-04E6D5349D4B}"/>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412-4D6C-AED1-04E6D5349D4B}"/>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412-4D6C-AED1-04E6D5349D4B}"/>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412-4D6C-AED1-04E6D5349D4B}"/>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412-4D6C-AED1-04E6D5349D4B}"/>
                </c:ext>
              </c:extLst>
            </c:dLbl>
            <c:dLbl>
              <c:idx val="4"/>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412-4D6C-AED1-04E6D5349D4B}"/>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extLst>
          </c:dLbls>
          <c:cat>
            <c:strRef>
              <c:f>Sheet1!$A$2:$A$8</c:f>
              <c:strCache>
                <c:ptCount val="7"/>
                <c:pt idx="0">
                  <c:v>0 dite</c:v>
                </c:pt>
                <c:pt idx="1">
                  <c:v>0-1 ditë</c:v>
                </c:pt>
                <c:pt idx="2">
                  <c:v>1-3 ditë</c:v>
                </c:pt>
                <c:pt idx="3">
                  <c:v>3-5 ditë</c:v>
                </c:pt>
                <c:pt idx="4">
                  <c:v>5-10 ditë</c:v>
                </c:pt>
                <c:pt idx="5">
                  <c:v>10-20 ditë</c:v>
                </c:pt>
                <c:pt idx="6">
                  <c:v>mbi 20 ditë</c:v>
                </c:pt>
              </c:strCache>
            </c:strRef>
          </c:cat>
          <c:val>
            <c:numRef>
              <c:f>Sheet1!$B$2:$B$8</c:f>
              <c:numCache>
                <c:formatCode>General</c:formatCode>
                <c:ptCount val="7"/>
                <c:pt idx="0">
                  <c:v>15</c:v>
                </c:pt>
                <c:pt idx="1">
                  <c:v>20</c:v>
                </c:pt>
                <c:pt idx="2">
                  <c:v>150</c:v>
                </c:pt>
                <c:pt idx="3">
                  <c:v>140</c:v>
                </c:pt>
                <c:pt idx="4">
                  <c:v>125</c:v>
                </c:pt>
                <c:pt idx="5">
                  <c:v>34</c:v>
                </c:pt>
                <c:pt idx="6">
                  <c:v>2</c:v>
                </c:pt>
              </c:numCache>
            </c:numRef>
          </c:val>
          <c:extLst>
            <c:ext xmlns:c16="http://schemas.microsoft.com/office/drawing/2014/chart" uri="{C3380CC4-5D6E-409C-BE32-E72D297353CC}">
              <c16:uniqueId val="{0000000C-A412-4D6C-AED1-04E6D5349D4B}"/>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F5034"/>
      </a:accent1>
      <a:accent2>
        <a:srgbClr val="CC9966"/>
      </a:accent2>
      <a:accent3>
        <a:srgbClr val="999966"/>
      </a:accent3>
      <a:accent4>
        <a:srgbClr val="808080"/>
      </a:accent4>
      <a:accent5>
        <a:srgbClr val="999999"/>
      </a:accent5>
      <a:accent6>
        <a:srgbClr val="999933"/>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D73E83-53B7-435A-A102-D563138B1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template-word</Template>
  <TotalTime>781</TotalTime>
  <Pages>1</Pages>
  <Words>33654</Words>
  <Characters>191834</Characters>
  <Application>Microsoft Office Word</Application>
  <DocSecurity>0</DocSecurity>
  <Lines>1598</Lines>
  <Paragraphs>450</Paragraphs>
  <ScaleCrop>false</ScaleCrop>
  <HeadingPairs>
    <vt:vector size="2" baseType="variant">
      <vt:variant>
        <vt:lpstr>Title</vt:lpstr>
      </vt:variant>
      <vt:variant>
        <vt:i4>1</vt:i4>
      </vt:variant>
    </vt:vector>
  </HeadingPairs>
  <TitlesOfParts>
    <vt:vector size="1" baseType="lpstr">
      <vt:lpstr>PowerPoint Template</vt:lpstr>
    </vt:vector>
  </TitlesOfParts>
  <Company>Imagine</Company>
  <LinksUpToDate>false</LinksUpToDate>
  <CharactersWithSpaces>225038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PowerPoint Template</dc:title>
  <cp:lastModifiedBy>Windows User</cp:lastModifiedBy>
  <cp:revision>35</cp:revision>
  <cp:lastPrinted>2018-11-13T14:00:00Z</cp:lastPrinted>
  <dcterms:created xsi:type="dcterms:W3CDTF">2013-10-24T18:18:00Z</dcterms:created>
  <dcterms:modified xsi:type="dcterms:W3CDTF">2018-11-13T14:02:00Z</dcterms:modified>
</cp:coreProperties>
</file>