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8D304B" w14:textId="77777777" w:rsidR="008A2995" w:rsidRDefault="008A2995" w:rsidP="008A6652">
      <w:pPr>
        <w:pStyle w:val="Bodytext20"/>
        <w:shd w:val="clear" w:color="auto" w:fill="auto"/>
        <w:spacing w:before="0" w:after="242"/>
        <w:ind w:firstLine="0"/>
        <w:rPr>
          <w:b/>
          <w:bCs/>
          <w:i/>
          <w:iCs/>
          <w:sz w:val="24"/>
          <w:szCs w:val="24"/>
          <w:lang w:val="sq-AL"/>
        </w:rPr>
      </w:pPr>
    </w:p>
    <w:p w14:paraId="34401EAA" w14:textId="67526F14" w:rsidR="00EC3B23" w:rsidRPr="008A6652" w:rsidRDefault="00EC3B23" w:rsidP="008A6652">
      <w:pPr>
        <w:pStyle w:val="Bodytext20"/>
        <w:shd w:val="clear" w:color="auto" w:fill="auto"/>
        <w:spacing w:before="0" w:after="242"/>
        <w:ind w:firstLine="0"/>
        <w:rPr>
          <w:b/>
          <w:bCs/>
          <w:i/>
          <w:iCs/>
          <w:sz w:val="24"/>
          <w:szCs w:val="24"/>
          <w:lang w:val="sq-AL"/>
        </w:rPr>
      </w:pPr>
      <w:r w:rsidRPr="008A6652">
        <w:rPr>
          <w:b/>
          <w:bCs/>
          <w:i/>
          <w:iCs/>
          <w:sz w:val="24"/>
          <w:szCs w:val="24"/>
          <w:lang w:val="sq-AL"/>
        </w:rPr>
        <w:t>Roli i Këshillit të Lartë Gjyqësor në garantimin e standardeve të etikës për gjyqtarët, aktet e miratuara dhe praktika e deritanishme.</w:t>
      </w:r>
    </w:p>
    <w:p w14:paraId="6C0D70AC" w14:textId="103C2D9D" w:rsidR="00EA313E" w:rsidRPr="008A6652" w:rsidRDefault="004B6B2F" w:rsidP="008A6652">
      <w:pPr>
        <w:pStyle w:val="Bodytext20"/>
        <w:shd w:val="clear" w:color="auto" w:fill="auto"/>
        <w:spacing w:before="0" w:after="242"/>
        <w:ind w:firstLine="0"/>
        <w:rPr>
          <w:color w:val="000000"/>
          <w:sz w:val="24"/>
          <w:szCs w:val="24"/>
          <w:lang w:val="sq-AL" w:eastAsia="sq-AL" w:bidi="sq-AL"/>
        </w:rPr>
      </w:pPr>
      <w:r>
        <w:rPr>
          <w:color w:val="000000"/>
          <w:sz w:val="24"/>
          <w:szCs w:val="24"/>
          <w:lang w:val="sq-AL" w:eastAsia="sq-AL" w:bidi="sq-AL"/>
        </w:rPr>
        <w:t>Ligjet organike p</w:t>
      </w:r>
      <w:r w:rsidR="00F65691">
        <w:rPr>
          <w:color w:val="000000"/>
          <w:sz w:val="24"/>
          <w:szCs w:val="24"/>
          <w:lang w:val="sq-AL" w:eastAsia="sq-AL" w:bidi="sq-AL"/>
        </w:rPr>
        <w:t>ë</w:t>
      </w:r>
      <w:r>
        <w:rPr>
          <w:color w:val="000000"/>
          <w:sz w:val="24"/>
          <w:szCs w:val="24"/>
          <w:lang w:val="sq-AL" w:eastAsia="sq-AL" w:bidi="sq-AL"/>
        </w:rPr>
        <w:t>rkat</w:t>
      </w:r>
      <w:r w:rsidR="00F65691">
        <w:rPr>
          <w:color w:val="000000"/>
          <w:sz w:val="24"/>
          <w:szCs w:val="24"/>
          <w:lang w:val="sq-AL" w:eastAsia="sq-AL" w:bidi="sq-AL"/>
        </w:rPr>
        <w:t>ë</w:t>
      </w:r>
      <w:r>
        <w:rPr>
          <w:color w:val="000000"/>
          <w:sz w:val="24"/>
          <w:szCs w:val="24"/>
          <w:lang w:val="sq-AL" w:eastAsia="sq-AL" w:bidi="sq-AL"/>
        </w:rPr>
        <w:t>se q</w:t>
      </w:r>
      <w:r w:rsidR="00F65691">
        <w:rPr>
          <w:color w:val="000000"/>
          <w:sz w:val="24"/>
          <w:szCs w:val="24"/>
          <w:lang w:val="sq-AL" w:eastAsia="sq-AL" w:bidi="sq-AL"/>
        </w:rPr>
        <w:t>ë</w:t>
      </w:r>
      <w:r>
        <w:rPr>
          <w:color w:val="000000"/>
          <w:sz w:val="24"/>
          <w:szCs w:val="24"/>
          <w:lang w:val="sq-AL" w:eastAsia="sq-AL" w:bidi="sq-AL"/>
        </w:rPr>
        <w:t xml:space="preserve"> rregullojn</w:t>
      </w:r>
      <w:r w:rsidR="00F65691">
        <w:rPr>
          <w:color w:val="000000"/>
          <w:sz w:val="24"/>
          <w:szCs w:val="24"/>
          <w:lang w:val="sq-AL" w:eastAsia="sq-AL" w:bidi="sq-AL"/>
        </w:rPr>
        <w:t>ë</w:t>
      </w:r>
      <w:r>
        <w:rPr>
          <w:color w:val="000000"/>
          <w:sz w:val="24"/>
          <w:szCs w:val="24"/>
          <w:lang w:val="sq-AL" w:eastAsia="sq-AL" w:bidi="sq-AL"/>
        </w:rPr>
        <w:t xml:space="preserve"> veprimtarin</w:t>
      </w:r>
      <w:r w:rsidR="00F65691">
        <w:rPr>
          <w:color w:val="000000"/>
          <w:sz w:val="24"/>
          <w:szCs w:val="24"/>
          <w:lang w:val="sq-AL" w:eastAsia="sq-AL" w:bidi="sq-AL"/>
        </w:rPr>
        <w:t>ë</w:t>
      </w:r>
      <w:r>
        <w:rPr>
          <w:color w:val="000000"/>
          <w:sz w:val="24"/>
          <w:szCs w:val="24"/>
          <w:lang w:val="sq-AL" w:eastAsia="sq-AL" w:bidi="sq-AL"/>
        </w:rPr>
        <w:t xml:space="preserve"> e K</w:t>
      </w:r>
      <w:r w:rsidR="00F65691">
        <w:rPr>
          <w:color w:val="000000"/>
          <w:sz w:val="24"/>
          <w:szCs w:val="24"/>
          <w:lang w:val="sq-AL" w:eastAsia="sq-AL" w:bidi="sq-AL"/>
        </w:rPr>
        <w:t>ë</w:t>
      </w:r>
      <w:r>
        <w:rPr>
          <w:color w:val="000000"/>
          <w:sz w:val="24"/>
          <w:szCs w:val="24"/>
          <w:lang w:val="sq-AL" w:eastAsia="sq-AL" w:bidi="sq-AL"/>
        </w:rPr>
        <w:t>shillit t</w:t>
      </w:r>
      <w:r w:rsidR="00F65691">
        <w:rPr>
          <w:color w:val="000000"/>
          <w:sz w:val="24"/>
          <w:szCs w:val="24"/>
          <w:lang w:val="sq-AL" w:eastAsia="sq-AL" w:bidi="sq-AL"/>
        </w:rPr>
        <w:t>ë</w:t>
      </w:r>
      <w:r>
        <w:rPr>
          <w:color w:val="000000"/>
          <w:sz w:val="24"/>
          <w:szCs w:val="24"/>
          <w:lang w:val="sq-AL" w:eastAsia="sq-AL" w:bidi="sq-AL"/>
        </w:rPr>
        <w:t xml:space="preserve"> Lart</w:t>
      </w:r>
      <w:r w:rsidR="00F65691">
        <w:rPr>
          <w:color w:val="000000"/>
          <w:sz w:val="24"/>
          <w:szCs w:val="24"/>
          <w:lang w:val="sq-AL" w:eastAsia="sq-AL" w:bidi="sq-AL"/>
        </w:rPr>
        <w:t>ë</w:t>
      </w:r>
      <w:r>
        <w:rPr>
          <w:color w:val="000000"/>
          <w:sz w:val="24"/>
          <w:szCs w:val="24"/>
          <w:lang w:val="sq-AL" w:eastAsia="sq-AL" w:bidi="sq-AL"/>
        </w:rPr>
        <w:t xml:space="preserve"> Gjyq</w:t>
      </w:r>
      <w:r w:rsidR="00F65691">
        <w:rPr>
          <w:color w:val="000000"/>
          <w:sz w:val="24"/>
          <w:szCs w:val="24"/>
          <w:lang w:val="sq-AL" w:eastAsia="sq-AL" w:bidi="sq-AL"/>
        </w:rPr>
        <w:t>ë</w:t>
      </w:r>
      <w:r>
        <w:rPr>
          <w:color w:val="000000"/>
          <w:sz w:val="24"/>
          <w:szCs w:val="24"/>
          <w:lang w:val="sq-AL" w:eastAsia="sq-AL" w:bidi="sq-AL"/>
        </w:rPr>
        <w:t>sor dhe statusin e gjyqtar</w:t>
      </w:r>
      <w:r w:rsidR="00F65691">
        <w:rPr>
          <w:color w:val="000000"/>
          <w:sz w:val="24"/>
          <w:szCs w:val="24"/>
          <w:lang w:val="sq-AL" w:eastAsia="sq-AL" w:bidi="sq-AL"/>
        </w:rPr>
        <w:t>ë</w:t>
      </w:r>
      <w:r>
        <w:rPr>
          <w:color w:val="000000"/>
          <w:sz w:val="24"/>
          <w:szCs w:val="24"/>
          <w:lang w:val="sq-AL" w:eastAsia="sq-AL" w:bidi="sq-AL"/>
        </w:rPr>
        <w:t xml:space="preserve">ve, </w:t>
      </w:r>
      <w:r w:rsidR="00D63460" w:rsidRPr="008A6652">
        <w:rPr>
          <w:color w:val="000000"/>
          <w:sz w:val="24"/>
          <w:szCs w:val="24"/>
          <w:lang w:val="sq-AL" w:eastAsia="sq-AL" w:bidi="sq-AL"/>
        </w:rPr>
        <w:t>ngarkojnë</w:t>
      </w:r>
      <w:r w:rsidR="00EA313E" w:rsidRPr="008A6652">
        <w:rPr>
          <w:color w:val="000000"/>
          <w:sz w:val="24"/>
          <w:szCs w:val="24"/>
          <w:lang w:val="sq-AL" w:eastAsia="sq-AL" w:bidi="sq-AL"/>
        </w:rPr>
        <w:t xml:space="preserve"> K</w:t>
      </w:r>
      <w:r w:rsidR="00D63460" w:rsidRPr="008A6652">
        <w:rPr>
          <w:color w:val="000000"/>
          <w:sz w:val="24"/>
          <w:szCs w:val="24"/>
          <w:lang w:val="sq-AL" w:eastAsia="sq-AL" w:bidi="sq-AL"/>
        </w:rPr>
        <w:t>ë</w:t>
      </w:r>
      <w:r w:rsidR="00EA313E" w:rsidRPr="008A6652">
        <w:rPr>
          <w:color w:val="000000"/>
          <w:sz w:val="24"/>
          <w:szCs w:val="24"/>
          <w:lang w:val="sq-AL" w:eastAsia="sq-AL" w:bidi="sq-AL"/>
        </w:rPr>
        <w:t>shillin, si organin qeveris</w:t>
      </w:r>
      <w:r w:rsidR="00D63460" w:rsidRPr="008A6652">
        <w:rPr>
          <w:color w:val="000000"/>
          <w:sz w:val="24"/>
          <w:szCs w:val="24"/>
          <w:lang w:val="sq-AL" w:eastAsia="sq-AL" w:bidi="sq-AL"/>
        </w:rPr>
        <w:t>ë</w:t>
      </w:r>
      <w:r w:rsidR="00EA313E" w:rsidRPr="008A6652">
        <w:rPr>
          <w:color w:val="000000"/>
          <w:sz w:val="24"/>
          <w:szCs w:val="24"/>
          <w:lang w:val="sq-AL" w:eastAsia="sq-AL" w:bidi="sq-AL"/>
        </w:rPr>
        <w:t>s t</w:t>
      </w:r>
      <w:r w:rsidR="00D63460" w:rsidRPr="008A6652">
        <w:rPr>
          <w:color w:val="000000"/>
          <w:sz w:val="24"/>
          <w:szCs w:val="24"/>
          <w:lang w:val="sq-AL" w:eastAsia="sq-AL" w:bidi="sq-AL"/>
        </w:rPr>
        <w:t>ë</w:t>
      </w:r>
      <w:r w:rsidR="00EA313E" w:rsidRPr="008A6652">
        <w:rPr>
          <w:color w:val="000000"/>
          <w:sz w:val="24"/>
          <w:szCs w:val="24"/>
          <w:lang w:val="sq-AL" w:eastAsia="sq-AL" w:bidi="sq-AL"/>
        </w:rPr>
        <w:t xml:space="preserve"> sistemit gjyq</w:t>
      </w:r>
      <w:r w:rsidR="00D63460" w:rsidRPr="008A6652">
        <w:rPr>
          <w:color w:val="000000"/>
          <w:sz w:val="24"/>
          <w:szCs w:val="24"/>
          <w:lang w:val="sq-AL" w:eastAsia="sq-AL" w:bidi="sq-AL"/>
        </w:rPr>
        <w:t>ë</w:t>
      </w:r>
      <w:r w:rsidR="00EA313E" w:rsidRPr="008A6652">
        <w:rPr>
          <w:color w:val="000000"/>
          <w:sz w:val="24"/>
          <w:szCs w:val="24"/>
          <w:lang w:val="sq-AL" w:eastAsia="sq-AL" w:bidi="sq-AL"/>
        </w:rPr>
        <w:t>sor</w:t>
      </w:r>
      <w:r w:rsidR="00D63460" w:rsidRPr="008A6652">
        <w:rPr>
          <w:color w:val="000000"/>
          <w:sz w:val="24"/>
          <w:szCs w:val="24"/>
          <w:lang w:val="sq-AL" w:eastAsia="sq-AL" w:bidi="sq-AL"/>
        </w:rPr>
        <w:t>,</w:t>
      </w:r>
      <w:r w:rsidR="00EA313E" w:rsidRPr="008A6652">
        <w:rPr>
          <w:sz w:val="24"/>
          <w:szCs w:val="24"/>
          <w:lang w:val="sq-AL"/>
        </w:rPr>
        <w:t xml:space="preserve"> si  përgjegjës për miratimin e standardeve të etikës gjyqësore dhe të rregullave të sjelljes të gjyqtarëve, si dhe për mbikëqyrjen e respektimit të tyre.</w:t>
      </w:r>
    </w:p>
    <w:p w14:paraId="5F87B770" w14:textId="77777777" w:rsidR="00A007E2" w:rsidRPr="008A6652" w:rsidRDefault="00A007E2" w:rsidP="008A6652">
      <w:pPr>
        <w:pStyle w:val="NoSpacing"/>
        <w:spacing w:line="276" w:lineRule="auto"/>
        <w:jc w:val="both"/>
        <w:rPr>
          <w:rFonts w:ascii="Times New Roman" w:hAnsi="Times New Roman" w:cs="Times New Roman"/>
          <w:sz w:val="24"/>
          <w:szCs w:val="24"/>
          <w:lang w:val="sq-AL"/>
        </w:rPr>
      </w:pPr>
    </w:p>
    <w:p w14:paraId="74953221" w14:textId="731B5598" w:rsidR="00D41A9D" w:rsidRPr="008A6652" w:rsidRDefault="00D41A9D" w:rsidP="008A6652">
      <w:pPr>
        <w:pStyle w:val="NoSpacing"/>
        <w:spacing w:line="276" w:lineRule="auto"/>
        <w:jc w:val="both"/>
        <w:rPr>
          <w:rFonts w:ascii="Times New Roman" w:hAnsi="Times New Roman" w:cs="Times New Roman"/>
          <w:sz w:val="24"/>
          <w:szCs w:val="24"/>
          <w:lang w:val="sq-AL"/>
        </w:rPr>
      </w:pPr>
      <w:r w:rsidRPr="008A6652">
        <w:rPr>
          <w:rFonts w:ascii="Times New Roman" w:hAnsi="Times New Roman" w:cs="Times New Roman"/>
          <w:sz w:val="24"/>
          <w:szCs w:val="24"/>
          <w:lang w:val="sq-AL"/>
        </w:rPr>
        <w:t>Për përmbushjen e këtyre përgjegjësive, Këshilli vepron me anë të:</w:t>
      </w:r>
    </w:p>
    <w:p w14:paraId="1AB11227" w14:textId="77777777" w:rsidR="00D41A9D" w:rsidRPr="008A6652" w:rsidRDefault="00D41A9D" w:rsidP="008A6652">
      <w:pPr>
        <w:pStyle w:val="NoSpacing"/>
        <w:spacing w:line="276" w:lineRule="auto"/>
        <w:jc w:val="both"/>
        <w:rPr>
          <w:rFonts w:ascii="Times New Roman" w:hAnsi="Times New Roman" w:cs="Times New Roman"/>
          <w:sz w:val="24"/>
          <w:szCs w:val="24"/>
          <w:lang w:val="sq-AL"/>
        </w:rPr>
      </w:pPr>
    </w:p>
    <w:p w14:paraId="161226E1" w14:textId="77777777" w:rsidR="00D41A9D" w:rsidRPr="008A6652" w:rsidRDefault="00D41A9D" w:rsidP="008A6652">
      <w:pPr>
        <w:pStyle w:val="NoSpacing"/>
        <w:numPr>
          <w:ilvl w:val="0"/>
          <w:numId w:val="1"/>
        </w:numPr>
        <w:spacing w:line="276" w:lineRule="auto"/>
        <w:jc w:val="both"/>
        <w:rPr>
          <w:rFonts w:ascii="Times New Roman" w:hAnsi="Times New Roman" w:cs="Times New Roman"/>
          <w:sz w:val="24"/>
          <w:szCs w:val="24"/>
          <w:lang w:val="sq-AL"/>
        </w:rPr>
      </w:pPr>
      <w:r w:rsidRPr="008A6652">
        <w:rPr>
          <w:rFonts w:ascii="Times New Roman" w:hAnsi="Times New Roman" w:cs="Times New Roman"/>
          <w:b/>
          <w:bCs/>
          <w:i/>
          <w:iCs/>
          <w:sz w:val="24"/>
          <w:szCs w:val="24"/>
          <w:lang w:val="sq-AL"/>
        </w:rPr>
        <w:t>H</w:t>
      </w:r>
      <w:r w:rsidR="009B012B" w:rsidRPr="008A6652">
        <w:rPr>
          <w:rFonts w:ascii="Times New Roman" w:hAnsi="Times New Roman" w:cs="Times New Roman"/>
          <w:b/>
          <w:bCs/>
          <w:i/>
          <w:iCs/>
          <w:sz w:val="24"/>
          <w:szCs w:val="24"/>
          <w:lang w:val="sq-AL"/>
        </w:rPr>
        <w:t>artimit, miratimit dhe rishikimit të akteve administrative, të cilat vendosin standardet e etikës dhe sjelljes së gjyqtarëve</w:t>
      </w:r>
      <w:r w:rsidR="009B012B" w:rsidRPr="008A6652">
        <w:rPr>
          <w:rFonts w:ascii="Times New Roman" w:hAnsi="Times New Roman" w:cs="Times New Roman"/>
          <w:sz w:val="24"/>
          <w:szCs w:val="24"/>
          <w:lang w:val="sq-AL"/>
        </w:rPr>
        <w:t>. Në këtë aspekt nga ana e Këshillit të Lartë Gjyqësor është miratuar dhe publikuar Kodi i Etikës Gjyqësore</w:t>
      </w:r>
      <w:r w:rsidR="00BD768B" w:rsidRPr="008A6652">
        <w:rPr>
          <w:rStyle w:val="FootnoteReference"/>
          <w:rFonts w:ascii="Times New Roman" w:hAnsi="Times New Roman" w:cs="Times New Roman"/>
          <w:sz w:val="24"/>
          <w:szCs w:val="24"/>
          <w:lang w:val="sq-AL"/>
        </w:rPr>
        <w:footnoteReference w:id="1"/>
      </w:r>
      <w:r w:rsidR="009B012B" w:rsidRPr="008A6652">
        <w:rPr>
          <w:rFonts w:ascii="Times New Roman" w:hAnsi="Times New Roman" w:cs="Times New Roman"/>
          <w:sz w:val="24"/>
          <w:szCs w:val="24"/>
          <w:lang w:val="sq-AL"/>
        </w:rPr>
        <w:t>,</w:t>
      </w:r>
      <w:r w:rsidR="00296067" w:rsidRPr="008A6652">
        <w:rPr>
          <w:rFonts w:ascii="Times New Roman" w:hAnsi="Times New Roman" w:cs="Times New Roman"/>
          <w:sz w:val="24"/>
          <w:szCs w:val="24"/>
          <w:lang w:val="sq-AL"/>
        </w:rPr>
        <w:t xml:space="preserve"> akt</w:t>
      </w:r>
      <w:r w:rsidR="009B012B" w:rsidRPr="008A6652">
        <w:rPr>
          <w:rFonts w:ascii="Times New Roman" w:hAnsi="Times New Roman" w:cs="Times New Roman"/>
          <w:sz w:val="24"/>
          <w:szCs w:val="24"/>
          <w:lang w:val="sq-AL"/>
        </w:rPr>
        <w:t xml:space="preserve"> i cili është bazuar në Parimet Themelore të Kombeve të Bashkuara për Pavarësinë e Gjyqësorit; Rekomandimin CM</w:t>
      </w:r>
      <w:r w:rsidR="00BD768B" w:rsidRPr="008A6652">
        <w:rPr>
          <w:rFonts w:ascii="Times New Roman" w:hAnsi="Times New Roman" w:cs="Times New Roman"/>
          <w:sz w:val="24"/>
          <w:szCs w:val="24"/>
          <w:lang w:val="sq-AL"/>
        </w:rPr>
        <w:t>/</w:t>
      </w:r>
      <w:r w:rsidR="009B012B" w:rsidRPr="008A6652">
        <w:rPr>
          <w:rFonts w:ascii="Times New Roman" w:hAnsi="Times New Roman" w:cs="Times New Roman"/>
          <w:sz w:val="24"/>
          <w:szCs w:val="24"/>
          <w:lang w:val="sq-AL"/>
        </w:rPr>
        <w:t xml:space="preserve">Rec (2010)12 të Komitetit të Ministrave të Këshillit të Evropës; Rekomandimet e Kievit të OSBE-së; Kartën </w:t>
      </w:r>
      <w:r w:rsidR="00BD768B" w:rsidRPr="008A6652">
        <w:rPr>
          <w:rFonts w:ascii="Times New Roman" w:hAnsi="Times New Roman" w:cs="Times New Roman"/>
          <w:sz w:val="24"/>
          <w:szCs w:val="24"/>
          <w:lang w:val="sq-AL"/>
        </w:rPr>
        <w:t>Evropiane</w:t>
      </w:r>
      <w:r w:rsidR="009B012B" w:rsidRPr="008A6652">
        <w:rPr>
          <w:rFonts w:ascii="Times New Roman" w:hAnsi="Times New Roman" w:cs="Times New Roman"/>
          <w:sz w:val="24"/>
          <w:szCs w:val="24"/>
          <w:lang w:val="sq-AL"/>
        </w:rPr>
        <w:t xml:space="preserve"> mbi Statusin e Gjyqtarëve dhe Memorandumin Shpjeg</w:t>
      </w:r>
      <w:r w:rsidR="00BD768B" w:rsidRPr="008A6652">
        <w:rPr>
          <w:rFonts w:ascii="Times New Roman" w:hAnsi="Times New Roman" w:cs="Times New Roman"/>
          <w:sz w:val="24"/>
          <w:szCs w:val="24"/>
          <w:lang w:val="sq-AL"/>
        </w:rPr>
        <w:t xml:space="preserve">ues; Parimet e Bangalores; Magna Carta-n e Gjyqtarëve; Kartën e Gjyqtarëve në Evropë dhe Kodin Global </w:t>
      </w:r>
      <w:r w:rsidR="003906FC" w:rsidRPr="008A6652">
        <w:rPr>
          <w:rFonts w:ascii="Times New Roman" w:hAnsi="Times New Roman" w:cs="Times New Roman"/>
          <w:sz w:val="24"/>
          <w:szCs w:val="24"/>
          <w:lang w:val="sq-AL"/>
        </w:rPr>
        <w:t>të Etikës Gjyqësore të Bolonjës;</w:t>
      </w:r>
    </w:p>
    <w:p w14:paraId="516A4EDE" w14:textId="77777777" w:rsidR="00D41A9D" w:rsidRPr="008A6652" w:rsidRDefault="00D41A9D" w:rsidP="008A6652">
      <w:pPr>
        <w:pStyle w:val="NoSpacing"/>
        <w:spacing w:line="276" w:lineRule="auto"/>
        <w:jc w:val="both"/>
        <w:rPr>
          <w:rFonts w:ascii="Times New Roman" w:hAnsi="Times New Roman" w:cs="Times New Roman"/>
          <w:sz w:val="24"/>
          <w:szCs w:val="24"/>
          <w:lang w:val="sq-AL"/>
        </w:rPr>
      </w:pPr>
    </w:p>
    <w:p w14:paraId="76607F46" w14:textId="1E37A903" w:rsidR="00BD768B" w:rsidRPr="008A6652" w:rsidRDefault="00BD768B" w:rsidP="008A6652">
      <w:pPr>
        <w:pStyle w:val="NoSpacing"/>
        <w:numPr>
          <w:ilvl w:val="0"/>
          <w:numId w:val="1"/>
        </w:numPr>
        <w:spacing w:line="276" w:lineRule="auto"/>
        <w:jc w:val="both"/>
        <w:rPr>
          <w:rFonts w:ascii="Times New Roman" w:hAnsi="Times New Roman" w:cs="Times New Roman"/>
          <w:sz w:val="24"/>
          <w:szCs w:val="24"/>
          <w:lang w:val="sq-AL"/>
        </w:rPr>
      </w:pPr>
      <w:r w:rsidRPr="008A6652">
        <w:rPr>
          <w:rFonts w:ascii="Times New Roman" w:hAnsi="Times New Roman" w:cs="Times New Roman"/>
          <w:b/>
          <w:bCs/>
          <w:i/>
          <w:iCs/>
          <w:sz w:val="24"/>
          <w:szCs w:val="24"/>
          <w:lang w:val="sq-AL"/>
        </w:rPr>
        <w:t>Veprimtarisë së Komisionit të Vlerësimit të Etikës dhe Veprimtarisë Profesionale</w:t>
      </w:r>
      <w:r w:rsidR="003906FC" w:rsidRPr="008A6652">
        <w:rPr>
          <w:rFonts w:ascii="Times New Roman" w:hAnsi="Times New Roman" w:cs="Times New Roman"/>
          <w:sz w:val="24"/>
          <w:szCs w:val="24"/>
          <w:lang w:val="sq-AL"/>
        </w:rPr>
        <w:t>, gjatë procesit</w:t>
      </w:r>
      <w:r w:rsidR="00D63460" w:rsidRPr="008A6652">
        <w:rPr>
          <w:rFonts w:ascii="Times New Roman" w:hAnsi="Times New Roman" w:cs="Times New Roman"/>
          <w:sz w:val="24"/>
          <w:szCs w:val="24"/>
          <w:lang w:val="sq-AL"/>
        </w:rPr>
        <w:t xml:space="preserve"> të</w:t>
      </w:r>
      <w:r w:rsidR="003906FC" w:rsidRPr="008A6652">
        <w:rPr>
          <w:rFonts w:ascii="Times New Roman" w:hAnsi="Times New Roman" w:cs="Times New Roman"/>
          <w:sz w:val="24"/>
          <w:szCs w:val="24"/>
          <w:lang w:val="sq-AL"/>
        </w:rPr>
        <w:t xml:space="preserve"> vlerësimit etik dhe profesional të gjyqtarëve;</w:t>
      </w:r>
    </w:p>
    <w:p w14:paraId="6EFF9E75" w14:textId="77777777" w:rsidR="003906FC" w:rsidRPr="008A6652" w:rsidRDefault="003906FC" w:rsidP="008A6652">
      <w:pPr>
        <w:pStyle w:val="NoSpacing"/>
        <w:spacing w:line="276" w:lineRule="auto"/>
        <w:jc w:val="both"/>
        <w:rPr>
          <w:rFonts w:ascii="Times New Roman" w:hAnsi="Times New Roman" w:cs="Times New Roman"/>
          <w:sz w:val="24"/>
          <w:szCs w:val="24"/>
          <w:lang w:val="sq-AL"/>
        </w:rPr>
      </w:pPr>
    </w:p>
    <w:p w14:paraId="5F6EDC6C" w14:textId="77777777" w:rsidR="00926090" w:rsidRPr="008A6652" w:rsidRDefault="003906FC" w:rsidP="008A6652">
      <w:pPr>
        <w:pStyle w:val="NoSpacing"/>
        <w:numPr>
          <w:ilvl w:val="0"/>
          <w:numId w:val="1"/>
        </w:numPr>
        <w:spacing w:line="276" w:lineRule="auto"/>
        <w:jc w:val="both"/>
        <w:rPr>
          <w:rFonts w:ascii="Times New Roman" w:hAnsi="Times New Roman" w:cs="Times New Roman"/>
          <w:sz w:val="24"/>
          <w:szCs w:val="24"/>
          <w:lang w:val="sq-AL"/>
        </w:rPr>
      </w:pPr>
      <w:r w:rsidRPr="008A6652">
        <w:rPr>
          <w:rFonts w:ascii="Times New Roman" w:hAnsi="Times New Roman" w:cs="Times New Roman"/>
          <w:b/>
          <w:bCs/>
          <w:i/>
          <w:iCs/>
          <w:sz w:val="24"/>
          <w:szCs w:val="24"/>
          <w:lang w:val="sq-AL"/>
        </w:rPr>
        <w:t xml:space="preserve">Veprimtarisë së </w:t>
      </w:r>
      <w:r w:rsidR="00926090" w:rsidRPr="008A6652">
        <w:rPr>
          <w:rFonts w:ascii="Times New Roman" w:hAnsi="Times New Roman" w:cs="Times New Roman"/>
          <w:b/>
          <w:bCs/>
          <w:i/>
          <w:iCs/>
          <w:sz w:val="24"/>
          <w:szCs w:val="24"/>
          <w:lang w:val="sq-AL"/>
        </w:rPr>
        <w:t>Këshilltarit të Etikës</w:t>
      </w:r>
      <w:r w:rsidR="00926090" w:rsidRPr="008A6652">
        <w:rPr>
          <w:rFonts w:ascii="Times New Roman" w:hAnsi="Times New Roman" w:cs="Times New Roman"/>
          <w:sz w:val="24"/>
          <w:szCs w:val="24"/>
          <w:lang w:val="sq-AL"/>
        </w:rPr>
        <w:t xml:space="preserve">, i cili </w:t>
      </w:r>
      <w:r w:rsidRPr="008A6652">
        <w:rPr>
          <w:rFonts w:ascii="Times New Roman" w:hAnsi="Times New Roman" w:cs="Times New Roman"/>
          <w:sz w:val="24"/>
          <w:szCs w:val="24"/>
          <w:lang w:val="sq-AL"/>
        </w:rPr>
        <w:t>gjatë ushtrimit të funksioneve</w:t>
      </w:r>
      <w:r w:rsidR="00926090" w:rsidRPr="008A6652">
        <w:rPr>
          <w:rFonts w:ascii="Times New Roman" w:hAnsi="Times New Roman" w:cs="Times New Roman"/>
          <w:sz w:val="24"/>
          <w:szCs w:val="24"/>
          <w:lang w:val="sq-AL"/>
        </w:rPr>
        <w:t xml:space="preserve"> të tij jep këshilla, me kërkesë të çdo gjyqtari, për sjelljen më të përshtatshme, brenda dhe jashtë gjykatës, për çështje të diskutueshme të etikës; harton, publikon dhe përditëson vazhdimisht një manual informues, i cili përmban pyetje dhe përgjigje mbi dilemat etike, bazuar në standardet dhe praktikat më të mira ndërkombëtare dhe vendimet relevante të Këshillit;</w:t>
      </w:r>
      <w:r w:rsidRPr="008A6652">
        <w:rPr>
          <w:rFonts w:ascii="Times New Roman" w:hAnsi="Times New Roman" w:cs="Times New Roman"/>
          <w:sz w:val="24"/>
          <w:szCs w:val="24"/>
          <w:lang w:val="sq-AL"/>
        </w:rPr>
        <w:t xml:space="preserve"> si dhe</w:t>
      </w:r>
      <w:r w:rsidR="00926090" w:rsidRPr="008A6652">
        <w:rPr>
          <w:rFonts w:ascii="Times New Roman" w:hAnsi="Times New Roman" w:cs="Times New Roman"/>
          <w:sz w:val="24"/>
          <w:szCs w:val="24"/>
          <w:lang w:val="sq-AL"/>
        </w:rPr>
        <w:t xml:space="preserve"> kujdeset, në bashkëpunim me Shkollën e Magjistraturës, për trajnimin fillestar dhe të vazh</w:t>
      </w:r>
      <w:r w:rsidRPr="008A6652">
        <w:rPr>
          <w:rFonts w:ascii="Times New Roman" w:hAnsi="Times New Roman" w:cs="Times New Roman"/>
          <w:sz w:val="24"/>
          <w:szCs w:val="24"/>
          <w:lang w:val="sq-AL"/>
        </w:rPr>
        <w:t>dueshëm mbi çështje të etikës.</w:t>
      </w:r>
      <w:r w:rsidR="00A52002" w:rsidRPr="008A6652">
        <w:rPr>
          <w:rFonts w:ascii="Times New Roman" w:hAnsi="Times New Roman" w:cs="Times New Roman"/>
          <w:sz w:val="24"/>
          <w:szCs w:val="24"/>
          <w:lang w:val="sq-AL"/>
        </w:rPr>
        <w:t xml:space="preserve"> Aktualisht</w:t>
      </w:r>
      <w:r w:rsidR="00391CC3" w:rsidRPr="008A6652">
        <w:rPr>
          <w:rFonts w:ascii="Times New Roman" w:hAnsi="Times New Roman" w:cs="Times New Roman"/>
          <w:sz w:val="24"/>
          <w:szCs w:val="24"/>
          <w:lang w:val="sq-AL"/>
        </w:rPr>
        <w:t xml:space="preserve"> </w:t>
      </w:r>
      <w:r w:rsidR="00A52002" w:rsidRPr="008A6652">
        <w:rPr>
          <w:rFonts w:ascii="Times New Roman" w:hAnsi="Times New Roman" w:cs="Times New Roman"/>
          <w:sz w:val="24"/>
          <w:szCs w:val="24"/>
          <w:lang w:val="sq-AL"/>
        </w:rPr>
        <w:t>n</w:t>
      </w:r>
      <w:r w:rsidR="008F3384" w:rsidRPr="008A6652">
        <w:rPr>
          <w:rFonts w:ascii="Times New Roman" w:hAnsi="Times New Roman" w:cs="Times New Roman"/>
          <w:sz w:val="24"/>
          <w:szCs w:val="24"/>
          <w:lang w:val="sq-AL"/>
        </w:rPr>
        <w:t>ga Këshilltari i Etikës janë</w:t>
      </w:r>
      <w:r w:rsidR="00A52002" w:rsidRPr="008A6652">
        <w:rPr>
          <w:rFonts w:ascii="Times New Roman" w:hAnsi="Times New Roman" w:cs="Times New Roman"/>
          <w:sz w:val="24"/>
          <w:szCs w:val="24"/>
          <w:lang w:val="sq-AL"/>
        </w:rPr>
        <w:t xml:space="preserve"> publikuar </w:t>
      </w:r>
      <w:r w:rsidR="00A52002" w:rsidRPr="008A6652">
        <w:rPr>
          <w:rFonts w:ascii="Times New Roman" w:hAnsi="Times New Roman" w:cs="Times New Roman"/>
          <w:i/>
          <w:iCs/>
          <w:sz w:val="24"/>
          <w:szCs w:val="24"/>
          <w:lang w:val="sq-AL"/>
        </w:rPr>
        <w:t>dy opinione p</w:t>
      </w:r>
      <w:r w:rsidR="004E5C02" w:rsidRPr="008A6652">
        <w:rPr>
          <w:rFonts w:ascii="Times New Roman" w:hAnsi="Times New Roman" w:cs="Times New Roman"/>
          <w:i/>
          <w:iCs/>
          <w:sz w:val="24"/>
          <w:szCs w:val="24"/>
          <w:lang w:val="sq-AL"/>
        </w:rPr>
        <w:t>ër standardet etike të zbatueshme, në rastin e përdorimit të mediave sociale nga gjyqtarët</w:t>
      </w:r>
      <w:r w:rsidR="00A52002" w:rsidRPr="008A6652">
        <w:rPr>
          <w:rFonts w:ascii="Times New Roman" w:hAnsi="Times New Roman" w:cs="Times New Roman"/>
          <w:i/>
          <w:iCs/>
          <w:sz w:val="24"/>
          <w:szCs w:val="24"/>
          <w:lang w:val="sq-AL"/>
        </w:rPr>
        <w:t xml:space="preserve"> dhe për përdorimin e telefonit celular nga gjyqtari në seancë gjyqësore</w:t>
      </w:r>
      <w:r w:rsidR="00A52002" w:rsidRPr="008A6652">
        <w:rPr>
          <w:rFonts w:ascii="Times New Roman" w:hAnsi="Times New Roman" w:cs="Times New Roman"/>
          <w:sz w:val="24"/>
          <w:szCs w:val="24"/>
          <w:lang w:val="sq-AL"/>
        </w:rPr>
        <w:t>;</w:t>
      </w:r>
    </w:p>
    <w:p w14:paraId="3B0B070F" w14:textId="77777777" w:rsidR="00A52002" w:rsidRPr="008A6652" w:rsidRDefault="00A52002" w:rsidP="008A6652">
      <w:pPr>
        <w:pStyle w:val="ListParagraph"/>
        <w:jc w:val="both"/>
        <w:rPr>
          <w:rFonts w:ascii="Times New Roman" w:hAnsi="Times New Roman" w:cs="Times New Roman"/>
          <w:sz w:val="24"/>
          <w:szCs w:val="24"/>
          <w:lang w:val="sq-AL"/>
        </w:rPr>
      </w:pPr>
    </w:p>
    <w:p w14:paraId="311A8C8A" w14:textId="77A9B432" w:rsidR="00A52002" w:rsidRDefault="00A52002" w:rsidP="008A6652">
      <w:pPr>
        <w:pStyle w:val="NoSpacing"/>
        <w:numPr>
          <w:ilvl w:val="0"/>
          <w:numId w:val="1"/>
        </w:numPr>
        <w:spacing w:line="276" w:lineRule="auto"/>
        <w:jc w:val="both"/>
        <w:rPr>
          <w:rFonts w:ascii="Times New Roman" w:hAnsi="Times New Roman" w:cs="Times New Roman"/>
          <w:sz w:val="24"/>
          <w:szCs w:val="24"/>
          <w:lang w:val="sq-AL"/>
        </w:rPr>
      </w:pPr>
      <w:r w:rsidRPr="008A6652">
        <w:rPr>
          <w:rFonts w:ascii="Times New Roman" w:hAnsi="Times New Roman" w:cs="Times New Roman"/>
          <w:b/>
          <w:bCs/>
          <w:i/>
          <w:iCs/>
          <w:sz w:val="24"/>
          <w:szCs w:val="24"/>
          <w:lang w:val="sq-AL"/>
        </w:rPr>
        <w:t>Veprimtarisë së Komisionit Disiplinor</w:t>
      </w:r>
      <w:r w:rsidRPr="008A6652">
        <w:rPr>
          <w:rFonts w:ascii="Times New Roman" w:hAnsi="Times New Roman" w:cs="Times New Roman"/>
          <w:sz w:val="24"/>
          <w:szCs w:val="24"/>
          <w:lang w:val="sq-AL"/>
        </w:rPr>
        <w:t>, gjatë shqyrtimit të procedimeve disiplinore të filluara nga Inspektori i Lartë i Drejtësisë.</w:t>
      </w:r>
    </w:p>
    <w:p w14:paraId="214AE660" w14:textId="77777777" w:rsidR="003E0FB5" w:rsidRDefault="003E0FB5" w:rsidP="003E0FB5">
      <w:pPr>
        <w:pStyle w:val="ListParagraph"/>
        <w:rPr>
          <w:rFonts w:ascii="Times New Roman" w:hAnsi="Times New Roman" w:cs="Times New Roman"/>
          <w:sz w:val="24"/>
          <w:szCs w:val="24"/>
          <w:lang w:val="sq-AL"/>
        </w:rPr>
      </w:pPr>
    </w:p>
    <w:p w14:paraId="4472C78B" w14:textId="77777777" w:rsidR="003E0FB5" w:rsidRPr="008A6652" w:rsidRDefault="003E0FB5" w:rsidP="003E0FB5">
      <w:pPr>
        <w:pStyle w:val="NoSpacing"/>
        <w:spacing w:line="276" w:lineRule="auto"/>
        <w:jc w:val="both"/>
        <w:rPr>
          <w:rFonts w:ascii="Times New Roman" w:hAnsi="Times New Roman" w:cs="Times New Roman"/>
          <w:sz w:val="24"/>
          <w:szCs w:val="24"/>
          <w:lang w:val="sq-AL"/>
        </w:rPr>
      </w:pPr>
    </w:p>
    <w:p w14:paraId="68357D14" w14:textId="77777777" w:rsidR="003E0FB5" w:rsidRPr="003E0FB5" w:rsidRDefault="003E0FB5" w:rsidP="003E0FB5">
      <w:pPr>
        <w:spacing w:after="0" w:line="240" w:lineRule="auto"/>
        <w:jc w:val="both"/>
        <w:rPr>
          <w:rFonts w:ascii="Times New Roman" w:hAnsi="Times New Roman" w:cs="Times New Roman"/>
          <w:sz w:val="24"/>
          <w:szCs w:val="24"/>
          <w:lang w:val="sq-AL"/>
        </w:rPr>
      </w:pPr>
      <w:r w:rsidRPr="003E0FB5">
        <w:rPr>
          <w:rFonts w:ascii="Times New Roman" w:hAnsi="Times New Roman" w:cs="Times New Roman"/>
          <w:b/>
          <w:i/>
          <w:sz w:val="24"/>
          <w:szCs w:val="24"/>
          <w:lang w:val="sq-AL"/>
        </w:rPr>
        <w:t>Kodi i  Etikës</w:t>
      </w:r>
      <w:r w:rsidRPr="003E0FB5">
        <w:rPr>
          <w:rFonts w:ascii="Times New Roman" w:hAnsi="Times New Roman" w:cs="Times New Roman"/>
          <w:sz w:val="24"/>
          <w:szCs w:val="24"/>
          <w:lang w:val="sq-AL"/>
        </w:rPr>
        <w:t xml:space="preserve"> është hartuar në zbatim të detyrimit ligjor që buron nga neni 83/1 i Ligjit 115/2016 për Organet e Qeverisjes së Sistemit të Drejtësisë (Ligji për Qeverisjen), i cili parashikon se “</w:t>
      </w:r>
      <w:r w:rsidRPr="003E0FB5">
        <w:rPr>
          <w:rFonts w:ascii="Times New Roman" w:hAnsi="Times New Roman" w:cs="Times New Roman"/>
          <w:i/>
          <w:sz w:val="24"/>
          <w:szCs w:val="24"/>
          <w:lang w:val="sq-AL"/>
        </w:rPr>
        <w:t xml:space="preserve">1. Këshilli i Lartë Gjyqësor është përgjegjës për miratimin e standardeve të </w:t>
      </w:r>
      <w:r w:rsidRPr="003E0FB5">
        <w:rPr>
          <w:rFonts w:ascii="Times New Roman" w:hAnsi="Times New Roman" w:cs="Times New Roman"/>
          <w:i/>
          <w:sz w:val="24"/>
          <w:szCs w:val="24"/>
          <w:lang w:val="sq-AL"/>
        </w:rPr>
        <w:lastRenderedPageBreak/>
        <w:t>etikës gjyqësore dhe të rregullave të sjelljes të gjyqtarëve, si dhe për mbikëqyrjen e respektimit të tyre</w:t>
      </w:r>
      <w:r w:rsidRPr="003E0FB5">
        <w:rPr>
          <w:rFonts w:ascii="Times New Roman" w:hAnsi="Times New Roman" w:cs="Times New Roman"/>
          <w:sz w:val="24"/>
          <w:szCs w:val="24"/>
          <w:lang w:val="sq-AL"/>
        </w:rPr>
        <w:t xml:space="preserve">.” Në të njëjtin paragraf parashikohet edhe detyrimi i Këshillit të Lartë Gjyqësor (Këshilli) për të përditësuar rregullat e Kodit të Etikës nëse kjo diktohet nga nevoja apo vetë zbatimi i Kodit. </w:t>
      </w:r>
    </w:p>
    <w:p w14:paraId="5D4DCC19" w14:textId="5C69AC4E" w:rsidR="003E0FB5" w:rsidRPr="003E0FB5" w:rsidRDefault="003E0FB5" w:rsidP="00464C64">
      <w:pPr>
        <w:spacing w:line="240" w:lineRule="auto"/>
        <w:contextualSpacing/>
        <w:rPr>
          <w:rFonts w:ascii="Times New Roman" w:hAnsi="Times New Roman" w:cs="Times New Roman"/>
          <w:b/>
          <w:sz w:val="24"/>
          <w:szCs w:val="24"/>
          <w:lang w:val="sq-AL"/>
        </w:rPr>
      </w:pPr>
    </w:p>
    <w:p w14:paraId="4F8C2FF8" w14:textId="77777777" w:rsidR="003E0FB5" w:rsidRPr="003E0FB5" w:rsidRDefault="003E0FB5" w:rsidP="003E0FB5">
      <w:pPr>
        <w:shd w:val="clear" w:color="auto" w:fill="FFFFFF"/>
        <w:spacing w:after="120" w:line="240" w:lineRule="auto"/>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Nëpërmjet këtij akti normativ nënligjor, ligji për Qeverisjen kërkon nga Këshilli që të miratojë:</w:t>
      </w:r>
    </w:p>
    <w:p w14:paraId="50192C36" w14:textId="77777777" w:rsidR="003E0FB5" w:rsidRPr="003E0FB5" w:rsidRDefault="003E0FB5" w:rsidP="003E0FB5">
      <w:pPr>
        <w:shd w:val="clear" w:color="auto" w:fill="FFFFFF"/>
        <w:spacing w:after="120" w:line="240" w:lineRule="auto"/>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 xml:space="preserve"> a) </w:t>
      </w:r>
      <w:r w:rsidRPr="003E0FB5">
        <w:rPr>
          <w:rFonts w:ascii="Times New Roman" w:hAnsi="Times New Roman" w:cs="Times New Roman"/>
          <w:b/>
          <w:sz w:val="24"/>
          <w:szCs w:val="24"/>
          <w:lang w:val="sq-AL"/>
        </w:rPr>
        <w:t>standardet e etikës gjyqësore,</w:t>
      </w:r>
      <w:r w:rsidRPr="003E0FB5">
        <w:rPr>
          <w:rFonts w:ascii="Times New Roman" w:hAnsi="Times New Roman" w:cs="Times New Roman"/>
          <w:sz w:val="24"/>
          <w:szCs w:val="24"/>
          <w:lang w:val="sq-AL"/>
        </w:rPr>
        <w:t xml:space="preserve"> dhe </w:t>
      </w:r>
    </w:p>
    <w:p w14:paraId="70C1FBC4" w14:textId="77777777" w:rsidR="003E0FB5" w:rsidRPr="003E0FB5" w:rsidRDefault="003E0FB5" w:rsidP="003E0FB5">
      <w:pPr>
        <w:shd w:val="clear" w:color="auto" w:fill="FFFFFF"/>
        <w:spacing w:after="120" w:line="240" w:lineRule="auto"/>
        <w:jc w:val="both"/>
        <w:rPr>
          <w:rFonts w:ascii="Times New Roman" w:eastAsia="Times New Roman" w:hAnsi="Times New Roman" w:cs="Times New Roman"/>
          <w:b/>
          <w:bCs/>
          <w:color w:val="000000"/>
          <w:sz w:val="24"/>
          <w:szCs w:val="24"/>
          <w:lang w:val="sq-AL"/>
        </w:rPr>
      </w:pPr>
      <w:r w:rsidRPr="003E0FB5">
        <w:rPr>
          <w:rFonts w:ascii="Times New Roman" w:hAnsi="Times New Roman" w:cs="Times New Roman"/>
          <w:sz w:val="24"/>
          <w:szCs w:val="24"/>
          <w:lang w:val="sq-AL"/>
        </w:rPr>
        <w:t xml:space="preserve"> b) </w:t>
      </w:r>
      <w:r w:rsidRPr="003E0FB5">
        <w:rPr>
          <w:rFonts w:ascii="Times New Roman" w:hAnsi="Times New Roman" w:cs="Times New Roman"/>
          <w:b/>
          <w:sz w:val="24"/>
          <w:szCs w:val="24"/>
          <w:lang w:val="sq-AL"/>
        </w:rPr>
        <w:t>rregullat e sjelljes së gjyqtarëve</w:t>
      </w:r>
      <w:r w:rsidRPr="003E0FB5">
        <w:rPr>
          <w:rFonts w:ascii="Times New Roman" w:hAnsi="Times New Roman" w:cs="Times New Roman"/>
          <w:sz w:val="24"/>
          <w:szCs w:val="24"/>
          <w:lang w:val="sq-AL"/>
        </w:rPr>
        <w:t xml:space="preserve">. </w:t>
      </w:r>
    </w:p>
    <w:p w14:paraId="5CE47A79" w14:textId="77777777" w:rsidR="003E0FB5" w:rsidRPr="003E0FB5" w:rsidRDefault="003E0FB5" w:rsidP="003E0FB5">
      <w:pPr>
        <w:shd w:val="clear" w:color="auto" w:fill="FFFFFF"/>
        <w:spacing w:after="120" w:line="240" w:lineRule="auto"/>
        <w:jc w:val="both"/>
        <w:rPr>
          <w:rFonts w:ascii="Times New Roman" w:eastAsia="Times New Roman" w:hAnsi="Times New Roman" w:cs="Times New Roman"/>
          <w:bCs/>
          <w:color w:val="000000"/>
          <w:sz w:val="24"/>
          <w:szCs w:val="24"/>
          <w:lang w:val="sq-AL"/>
        </w:rPr>
      </w:pPr>
      <w:r w:rsidRPr="003E0FB5">
        <w:rPr>
          <w:rFonts w:ascii="Times New Roman" w:eastAsia="Times New Roman" w:hAnsi="Times New Roman" w:cs="Times New Roman"/>
          <w:bCs/>
          <w:color w:val="000000"/>
          <w:sz w:val="24"/>
          <w:szCs w:val="24"/>
          <w:lang w:val="sq-AL"/>
        </w:rPr>
        <w:t xml:space="preserve">Teknika legjislative dhe përdorimi nga ligjvënësi i këtyre dy koncepteve nuk është i rastësishëm.  </w:t>
      </w:r>
      <w:r w:rsidRPr="003E0FB5">
        <w:rPr>
          <w:rFonts w:ascii="Times New Roman" w:eastAsia="Times New Roman" w:hAnsi="Times New Roman" w:cs="Times New Roman"/>
          <w:b/>
          <w:bCs/>
          <w:color w:val="000000"/>
          <w:sz w:val="24"/>
          <w:szCs w:val="24"/>
          <w:lang w:val="sq-AL"/>
        </w:rPr>
        <w:t xml:space="preserve">Standardet e etikës përfaqësojnë vlerat e gjyqësorit. </w:t>
      </w:r>
      <w:r w:rsidRPr="003E0FB5">
        <w:rPr>
          <w:rFonts w:ascii="Times New Roman" w:eastAsia="Times New Roman" w:hAnsi="Times New Roman" w:cs="Times New Roman"/>
          <w:bCs/>
          <w:color w:val="000000"/>
          <w:sz w:val="24"/>
          <w:szCs w:val="24"/>
          <w:lang w:val="sq-AL"/>
        </w:rPr>
        <w:t xml:space="preserve">Ato përfaqësojnë një tërësi parimesh të përgjithshme që synojnë të ndihmojnë në udhëzimin e sjelljes së gjyqtarit dhe ndikojnë në gjykimin dhe vendimin që ai merr në situata të caktuara, gjatë ushtrimit të detyrës dhe jashtë saj. Kur gjyqtari përballet me dilema etike apo situata të diskutueshme, standardet e etikës e ndihmojnë në marrjen e një vendimi. Roli i Këshilltarit të Etikës mbetet i një rëndësie të veçantë në këtë drejtim.  </w:t>
      </w:r>
    </w:p>
    <w:p w14:paraId="443B5FEE" w14:textId="77777777" w:rsidR="003E0FB5" w:rsidRPr="003E0FB5" w:rsidRDefault="003E0FB5" w:rsidP="003E0FB5">
      <w:pPr>
        <w:shd w:val="clear" w:color="auto" w:fill="FFFFFF"/>
        <w:spacing w:after="120" w:line="240" w:lineRule="auto"/>
        <w:jc w:val="both"/>
        <w:rPr>
          <w:rFonts w:ascii="Times New Roman" w:eastAsia="Times New Roman" w:hAnsi="Times New Roman" w:cs="Times New Roman"/>
          <w:bCs/>
          <w:color w:val="000000"/>
          <w:sz w:val="24"/>
          <w:szCs w:val="24"/>
          <w:lang w:val="sq-AL"/>
        </w:rPr>
      </w:pPr>
      <w:r w:rsidRPr="003E0FB5">
        <w:rPr>
          <w:rFonts w:ascii="Times New Roman" w:eastAsia="Times New Roman" w:hAnsi="Times New Roman" w:cs="Times New Roman"/>
          <w:b/>
          <w:bCs/>
          <w:color w:val="000000"/>
          <w:sz w:val="24"/>
          <w:szCs w:val="24"/>
          <w:lang w:val="sq-AL"/>
        </w:rPr>
        <w:t>Nga ana tjetër, rregullat e sjelljes janë pjesa thelbësore e Kodit të Etikës.</w:t>
      </w:r>
      <w:r w:rsidRPr="003E0FB5">
        <w:rPr>
          <w:rFonts w:ascii="Times New Roman" w:eastAsia="Times New Roman" w:hAnsi="Times New Roman" w:cs="Times New Roman"/>
          <w:bCs/>
          <w:color w:val="000000"/>
          <w:sz w:val="24"/>
          <w:szCs w:val="24"/>
          <w:lang w:val="sq-AL"/>
        </w:rPr>
        <w:t xml:space="preserve"> Rregullat e sjelljes mundësojnë zbatimin e Kodit të Etikës në një mori situatash përkatëse. Nëse një parim i veçantë në Kodin e Etikës thotë se gjyqtari i bindet vetëm ligjit, rregullat e sjelljes rendisin normat specifike  që lidhen me fusha të ndryshme të veprimtarisë së gjyqtarit, të cilave gjyqtari duhet t'u bindet, duke i zbatuar ato me rigorozitet.</w:t>
      </w:r>
    </w:p>
    <w:p w14:paraId="76985795" w14:textId="77777777" w:rsidR="003E0FB5" w:rsidRPr="003E0FB5" w:rsidRDefault="003E0FB5" w:rsidP="003E0FB5">
      <w:pPr>
        <w:shd w:val="clear" w:color="auto" w:fill="FFFFFF"/>
        <w:spacing w:after="120" w:line="240" w:lineRule="auto"/>
        <w:jc w:val="both"/>
        <w:rPr>
          <w:rFonts w:ascii="Times New Roman" w:eastAsia="Times New Roman" w:hAnsi="Times New Roman" w:cs="Times New Roman"/>
          <w:bCs/>
          <w:color w:val="000000"/>
          <w:sz w:val="24"/>
          <w:szCs w:val="24"/>
          <w:lang w:val="sq-AL"/>
        </w:rPr>
      </w:pPr>
      <w:r w:rsidRPr="003E0FB5">
        <w:rPr>
          <w:rFonts w:ascii="Times New Roman" w:eastAsia="Times New Roman" w:hAnsi="Times New Roman" w:cs="Times New Roman"/>
          <w:bCs/>
          <w:color w:val="000000"/>
          <w:sz w:val="24"/>
          <w:szCs w:val="24"/>
          <w:lang w:val="sq-AL"/>
        </w:rPr>
        <w:t>Standardet etike në përgjithësi janë të përgjithshme dhe jo specifike. Ato hartohen për të siguruar një sërë vlerash ose qasje ndaj vendimmarrjes që u mundëson gjyqtarëve të bëjnë gjykime të pavarura në lidhje me mënyrën më të përshtatshme të të sjellurit. Për këtë arsye standardet etike kanë më shumë karakter këshillimor dhe më pak karakter detyrues. Ndërsa në lidhje me rregullat e sjelljes, hapësira për gjykim është më e vogël, e thënë ndryshe, atyre rregullave ose u bindesh ose në të kundërt mund të vijnë pasoja nga mosrespektimi i tyre. Rregullat e sjelljes përcaktojnë pritshmëri mjaft të qarta për të cilat një veprim kërkohet, është i pranueshëm ose i ndaluar.</w:t>
      </w:r>
    </w:p>
    <w:p w14:paraId="4D64F1A7" w14:textId="77777777" w:rsidR="003E0FB5" w:rsidRPr="003E0FB5" w:rsidRDefault="003E0FB5" w:rsidP="003E0FB5">
      <w:pPr>
        <w:shd w:val="clear" w:color="auto" w:fill="FFFFFF"/>
        <w:spacing w:after="120" w:line="240" w:lineRule="auto"/>
        <w:jc w:val="both"/>
        <w:rPr>
          <w:rFonts w:ascii="Times New Roman" w:eastAsia="Times New Roman" w:hAnsi="Times New Roman" w:cs="Times New Roman"/>
          <w:bCs/>
          <w:color w:val="000000"/>
          <w:sz w:val="24"/>
          <w:szCs w:val="24"/>
          <w:lang w:val="sq-AL"/>
        </w:rPr>
      </w:pPr>
      <w:r w:rsidRPr="003E0FB5">
        <w:rPr>
          <w:rFonts w:ascii="Times New Roman" w:eastAsia="Times New Roman" w:hAnsi="Times New Roman" w:cs="Times New Roman"/>
          <w:bCs/>
          <w:color w:val="000000"/>
          <w:sz w:val="24"/>
          <w:szCs w:val="24"/>
          <w:lang w:val="sq-AL"/>
        </w:rPr>
        <w:t>Megjithatë, si standardet e etikës ashtu edhe rregullat e sjelljes synojnë të inkurajojnë një formë të caktuar sjelljeje. Komisioni i Venecias, i quan këto koncepte si gati-sinonime dhe e ka kritikuar këtë dallim si të panevojshëm dhe të paqartë.</w:t>
      </w:r>
      <w:r w:rsidRPr="003E0FB5">
        <w:rPr>
          <w:rFonts w:ascii="Times New Roman" w:eastAsia="Times New Roman" w:hAnsi="Times New Roman" w:cs="Times New Roman"/>
          <w:bCs/>
          <w:color w:val="000000"/>
          <w:sz w:val="24"/>
          <w:szCs w:val="24"/>
          <w:vertAlign w:val="superscript"/>
          <w:lang w:val="sq-AL"/>
        </w:rPr>
        <w:footnoteReference w:id="2"/>
      </w:r>
      <w:r w:rsidRPr="003E0FB5">
        <w:rPr>
          <w:rFonts w:ascii="Times New Roman" w:eastAsia="Times New Roman" w:hAnsi="Times New Roman" w:cs="Times New Roman"/>
          <w:bCs/>
          <w:color w:val="000000"/>
          <w:sz w:val="24"/>
          <w:szCs w:val="24"/>
          <w:lang w:val="sq-AL"/>
        </w:rPr>
        <w:t xml:space="preserve"> Për këtë arsye, është gjykuar të përdoret në akt termi unifikues Kodi i Etikës Gjyqësore, i cili ndërthur parimet për veprimin e duhur me një listë të veprimeve që kërkohen ose ndalohen.</w:t>
      </w:r>
    </w:p>
    <w:p w14:paraId="34977DB1" w14:textId="77777777" w:rsidR="003E0FB5" w:rsidRPr="003E0FB5" w:rsidRDefault="003E0FB5" w:rsidP="003E0FB5">
      <w:pPr>
        <w:spacing w:after="120" w:line="240" w:lineRule="auto"/>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Për sa i përket harmonizimit të Kodit të Etikës dhe pozicionin e tij në raport me rregullimet e tjera ligjore, është e qartë se ky Kod nuk është akti i vetëm që rregullon sjelljen e gjyqtarëve. Ligji 96/2016 “Për statusin e Gjyqtarëve dhe Prokurorëve në Republikën e Shqipërisë” parashikon në nenin 3 (vlerat themelore)  dhe nenin  4 “Standardet e Etikës dhe Rregullat e Sjelljes”. Etika gjithashtu përbën një nga kriteret e vlerësimit të gjyqtarit (neni 71) i po këtij ligji, ndërkohë që procedimi disiplinor për veprimtaritë jashtëgjyqësore të gjyqtarit është i lidhur me rregullat e parashikuara ne Kreun II (nenet 6-8) të ligjit që lidhen me papajtueshmërinë, kufizimet dhe veprimtaritë e tjera.</w:t>
      </w:r>
    </w:p>
    <w:p w14:paraId="32BDC9F7" w14:textId="77777777" w:rsidR="003E0FB5" w:rsidRPr="003E0FB5" w:rsidRDefault="003E0FB5" w:rsidP="003E0FB5">
      <w:pPr>
        <w:spacing w:after="120" w:line="240" w:lineRule="auto"/>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 xml:space="preserve">Sigurisht që ka ndërveprim mes rregullave të procedimit disiplinor dhe Kodit të Etikës, por ky i fundit nuk synon të zëvendësojë apo të mbivendoset ndaj  rregullimeve ligjore ekzistuese. Çdo parim i shkruar etik synon të të këshillojë një vlerë apo sjellje të caktuar, ose të ndalojë </w:t>
      </w:r>
      <w:r w:rsidRPr="003E0FB5">
        <w:rPr>
          <w:rFonts w:ascii="Times New Roman" w:hAnsi="Times New Roman" w:cs="Times New Roman"/>
          <w:sz w:val="24"/>
          <w:szCs w:val="24"/>
          <w:lang w:val="sq-AL"/>
        </w:rPr>
        <w:lastRenderedPageBreak/>
        <w:t>sjellje ose aktivitete që janë, në fakt, të ligjshme. Kjo bëhet me qëllim që të sigurohet se sjellja e gjyqtarëve është përtej çdo dyshimi si dhe të inkurajohet respektimi i standardeve më të larta. Është thelbësore të pranohet se parimet etike burojnë nga përvoja profesionale e të gjithë gjyqtarëve dhe përcaktohen me qëllim që të përparojnë drejtësinë në përgjithësi dhe të kontribuojnë në kuptimin e punës së gjyqtarëve.</w:t>
      </w:r>
      <w:r w:rsidRPr="003E0FB5">
        <w:rPr>
          <w:rFonts w:ascii="Times New Roman" w:eastAsia="ArialMT" w:hAnsi="Times New Roman" w:cs="Times New Roman"/>
          <w:sz w:val="24"/>
          <w:szCs w:val="24"/>
          <w:vertAlign w:val="superscript"/>
          <w:lang w:val="sq-AL"/>
        </w:rPr>
        <w:footnoteReference w:id="3"/>
      </w:r>
      <w:r w:rsidRPr="003E0FB5">
        <w:rPr>
          <w:rFonts w:ascii="Times New Roman" w:hAnsi="Times New Roman" w:cs="Times New Roman"/>
          <w:sz w:val="24"/>
          <w:szCs w:val="24"/>
          <w:lang w:val="sq-AL"/>
        </w:rPr>
        <w:t xml:space="preserve"> </w:t>
      </w:r>
    </w:p>
    <w:p w14:paraId="35F9DA54" w14:textId="77777777" w:rsidR="003E0FB5" w:rsidRPr="003E0FB5" w:rsidRDefault="003E0FB5" w:rsidP="003E0FB5">
      <w:pPr>
        <w:shd w:val="clear" w:color="auto" w:fill="FFFFFF"/>
        <w:spacing w:after="120" w:line="240" w:lineRule="auto"/>
        <w:jc w:val="both"/>
        <w:rPr>
          <w:rFonts w:ascii="Times New Roman" w:eastAsia="Times New Roman" w:hAnsi="Times New Roman" w:cs="Times New Roman"/>
          <w:bCs/>
          <w:color w:val="000000" w:themeColor="text1"/>
          <w:sz w:val="24"/>
          <w:szCs w:val="24"/>
          <w:lang w:val="sq-AL"/>
        </w:rPr>
      </w:pPr>
      <w:r w:rsidRPr="003E0FB5">
        <w:rPr>
          <w:rFonts w:ascii="Times New Roman" w:eastAsia="Times New Roman" w:hAnsi="Times New Roman" w:cs="Times New Roman"/>
          <w:bCs/>
          <w:color w:val="000000" w:themeColor="text1"/>
          <w:sz w:val="24"/>
          <w:szCs w:val="24"/>
          <w:lang w:val="sq-AL"/>
        </w:rPr>
        <w:t>Normat e Kodit të Etikës Gjyqësore janë të ndryshme nga normat e procedimit disiplinor. Kodi përmban standarde vetërregulluese që pranojnë se zbatimi i ligjit nuk është një ushtrim mekanik, ai përfshin pushtet të vërtetë diskrecional dhe i vendos gjyqtarët në një marrëdhënie përgjegjësie ndaj vetes dhe ndaj qytetarëve. Kodi i etikës është plotësisht i ndarë nga sistemi i procedimit disiplinor të gjyqtarëve. Në të njëjtën kohë, edhe pse në vetvete nuk përbëjnë shkak për masa disiplinore, parimet e Kodit të Etikës mund të shërbejnë si udhëzim për autoritetet disiplinore kur vendosin për çështje disiplinore.</w:t>
      </w:r>
      <w:r w:rsidRPr="003E0FB5">
        <w:rPr>
          <w:rFonts w:ascii="Times New Roman" w:eastAsia="Times New Roman" w:hAnsi="Times New Roman" w:cs="Times New Roman"/>
          <w:bCs/>
          <w:color w:val="000000" w:themeColor="text1"/>
          <w:sz w:val="24"/>
          <w:szCs w:val="24"/>
          <w:vertAlign w:val="superscript"/>
          <w:lang w:val="sq-AL"/>
        </w:rPr>
        <w:footnoteReference w:id="4"/>
      </w:r>
      <w:r w:rsidRPr="003E0FB5">
        <w:rPr>
          <w:rFonts w:ascii="Times New Roman" w:eastAsia="Times New Roman" w:hAnsi="Times New Roman" w:cs="Times New Roman"/>
          <w:bCs/>
          <w:color w:val="000000" w:themeColor="text1"/>
          <w:sz w:val="24"/>
          <w:szCs w:val="24"/>
          <w:lang w:val="sq-AL"/>
        </w:rPr>
        <w:t xml:space="preserve"> </w:t>
      </w:r>
    </w:p>
    <w:p w14:paraId="4D399AF0" w14:textId="77777777" w:rsidR="003E0FB5" w:rsidRPr="003E0FB5" w:rsidRDefault="003E0FB5" w:rsidP="003E0FB5">
      <w:pPr>
        <w:shd w:val="clear" w:color="auto" w:fill="FFFFFF"/>
        <w:spacing w:after="120" w:line="240" w:lineRule="auto"/>
        <w:jc w:val="both"/>
        <w:rPr>
          <w:rFonts w:ascii="Times New Roman" w:eastAsia="Times New Roman" w:hAnsi="Times New Roman" w:cs="Times New Roman"/>
          <w:bCs/>
          <w:color w:val="000000"/>
          <w:sz w:val="24"/>
          <w:szCs w:val="24"/>
          <w:lang w:val="sq-AL"/>
        </w:rPr>
      </w:pPr>
      <w:r w:rsidRPr="003E0FB5">
        <w:rPr>
          <w:rFonts w:ascii="Times New Roman" w:eastAsia="Times New Roman" w:hAnsi="Times New Roman" w:cs="Times New Roman"/>
          <w:bCs/>
          <w:color w:val="000000"/>
          <w:sz w:val="24"/>
          <w:szCs w:val="24"/>
          <w:lang w:val="sq-AL"/>
        </w:rPr>
        <w:t>Tashmë përbën një standard ndërkombëtar të gjithëpranuar fakti se procedurat disiplinore, bazohen në shkaqe të mirëpërcaktuara në ligj që, nëse vërtetohen, sjellin pasoja konkrete ligjore. Kështu, procedura disiplinore synon të hetojë, dhe nëse është e nevojshme, të sanksionojë gjyqtarët për sjellje të gabuar me pakujdesi ose dashje dhe të rëndë,</w:t>
      </w:r>
      <w:r w:rsidRPr="003E0FB5">
        <w:rPr>
          <w:rFonts w:ascii="Times New Roman" w:eastAsia="Times New Roman" w:hAnsi="Times New Roman" w:cs="Times New Roman"/>
          <w:bCs/>
          <w:color w:val="000000"/>
          <w:sz w:val="24"/>
          <w:szCs w:val="24"/>
          <w:vertAlign w:val="superscript"/>
          <w:lang w:val="sq-AL"/>
        </w:rPr>
        <w:footnoteReference w:id="5"/>
      </w:r>
      <w:r w:rsidRPr="003E0FB5">
        <w:rPr>
          <w:rFonts w:ascii="Times New Roman" w:eastAsia="Times New Roman" w:hAnsi="Times New Roman" w:cs="Times New Roman"/>
          <w:bCs/>
          <w:color w:val="000000"/>
          <w:sz w:val="24"/>
          <w:szCs w:val="24"/>
          <w:lang w:val="sq-AL"/>
        </w:rPr>
        <w:t xml:space="preserve"> d.m.th. për sjellje që është qartësisht në kundërshtim me ligjin. </w:t>
      </w:r>
      <w:r w:rsidRPr="003E0FB5">
        <w:rPr>
          <w:rFonts w:ascii="Times New Roman" w:eastAsia="Times New Roman" w:hAnsi="Times New Roman" w:cs="Times New Roman"/>
          <w:b/>
          <w:bCs/>
          <w:color w:val="000000"/>
          <w:sz w:val="24"/>
          <w:szCs w:val="24"/>
          <w:lang w:val="sq-AL"/>
        </w:rPr>
        <w:t>Në këtë kontekst, është e rëndësishme të theksohet se jo çdo shkelje e rregullave etike, passjell procedim disiplinor dhe jo çdo mosrespektim i parimeve përbën sjellje të gabuar</w:t>
      </w:r>
      <w:r w:rsidRPr="003E0FB5">
        <w:rPr>
          <w:rFonts w:ascii="Times New Roman" w:eastAsia="Times New Roman" w:hAnsi="Times New Roman" w:cs="Times New Roman"/>
          <w:bCs/>
          <w:color w:val="000000"/>
          <w:sz w:val="24"/>
          <w:szCs w:val="24"/>
          <w:lang w:val="sq-AL"/>
        </w:rPr>
        <w:t>. Domosdoshmëria dhe përshtatshmëria e procedimit disiplinor do të varet nga faktorë të tjerë, siç janë serioziteti i shkeljeve, përsëritja e veprimtarisë së pahijshme dhe efekti i veprimeve të tilla mbi të tjerët dhe mbi sistemin gjyqësor në tërësi.</w:t>
      </w:r>
      <w:r w:rsidRPr="003E0FB5">
        <w:rPr>
          <w:rFonts w:ascii="Times New Roman" w:eastAsia="Times New Roman" w:hAnsi="Times New Roman" w:cs="Times New Roman"/>
          <w:bCs/>
          <w:color w:val="000000"/>
          <w:sz w:val="24"/>
          <w:szCs w:val="24"/>
          <w:vertAlign w:val="superscript"/>
          <w:lang w:val="sq-AL"/>
        </w:rPr>
        <w:footnoteReference w:id="6"/>
      </w:r>
    </w:p>
    <w:p w14:paraId="35F9BB89" w14:textId="77777777" w:rsidR="003E0FB5" w:rsidRPr="003E0FB5" w:rsidRDefault="003E0FB5" w:rsidP="003E0FB5">
      <w:pPr>
        <w:spacing w:after="120" w:line="240" w:lineRule="auto"/>
        <w:jc w:val="both"/>
        <w:rPr>
          <w:rFonts w:ascii="Times New Roman" w:eastAsia="ArialMT" w:hAnsi="Times New Roman" w:cs="Times New Roman"/>
          <w:sz w:val="24"/>
          <w:szCs w:val="24"/>
          <w:lang w:val="sq-AL"/>
        </w:rPr>
      </w:pPr>
      <w:r w:rsidRPr="003E0FB5">
        <w:rPr>
          <w:rFonts w:ascii="Times New Roman" w:eastAsia="Times New Roman" w:hAnsi="Times New Roman" w:cs="Times New Roman"/>
          <w:bCs/>
          <w:color w:val="000000"/>
          <w:sz w:val="24"/>
          <w:szCs w:val="24"/>
          <w:lang w:val="sq-AL"/>
        </w:rPr>
        <w:t>Dispozitat disiplinore përqendrohen në shkelje serioze të ligjit dhe për këtë arsye hartohen me saktësinë maksimale, në mënyrë që të jetë e qartë për gjyqtarët se çfarë lloj sjellje nuk është e lejueshme. Kodi i etikës, nga ana tjetër, është formuluar në një mënyrë përgjithësuese dhe nuk shkon gjithmonë në detaje. Prandaj, edhe pse ekziston mbivendosje dhe ndërveprim, parimet e Kodit të Etikës janë të pavarura nga rregullat disiplinore të zbatueshme për gjyqtarët në kuptimin që mosrespektimi i një prej parimeve të tilla, nuk përbën në vetvete një shkelje disiplinore apo passjell përgjegjësi civile ose penale</w:t>
      </w:r>
      <w:r w:rsidRPr="003E0FB5">
        <w:rPr>
          <w:rFonts w:ascii="Times New Roman" w:eastAsia="ArialMT" w:hAnsi="Times New Roman" w:cs="Times New Roman"/>
          <w:sz w:val="24"/>
          <w:szCs w:val="24"/>
          <w:lang w:val="sq-AL"/>
        </w:rPr>
        <w:t>.</w:t>
      </w:r>
      <w:r w:rsidRPr="003E0FB5">
        <w:rPr>
          <w:rFonts w:ascii="Times New Roman" w:eastAsia="ArialMT" w:hAnsi="Times New Roman" w:cs="Times New Roman"/>
          <w:sz w:val="24"/>
          <w:szCs w:val="24"/>
          <w:vertAlign w:val="superscript"/>
          <w:lang w:val="sq-AL"/>
        </w:rPr>
        <w:footnoteReference w:id="7"/>
      </w:r>
      <w:r w:rsidRPr="003E0FB5">
        <w:rPr>
          <w:rFonts w:ascii="Times New Roman" w:eastAsia="ArialMT" w:hAnsi="Times New Roman" w:cs="Times New Roman"/>
          <w:sz w:val="24"/>
          <w:szCs w:val="24"/>
          <w:lang w:val="sq-AL"/>
        </w:rPr>
        <w:t xml:space="preserve">  </w:t>
      </w:r>
    </w:p>
    <w:p w14:paraId="4D612E76" w14:textId="4DC58E3F" w:rsidR="003E0FB5" w:rsidRDefault="003E0FB5" w:rsidP="003E0FB5">
      <w:pPr>
        <w:spacing w:line="240" w:lineRule="auto"/>
        <w:contextualSpacing/>
        <w:rPr>
          <w:rFonts w:ascii="Times New Roman" w:hAnsi="Times New Roman" w:cs="Times New Roman"/>
          <w:sz w:val="24"/>
          <w:szCs w:val="24"/>
          <w:lang w:val="sq-AL"/>
        </w:rPr>
      </w:pPr>
    </w:p>
    <w:p w14:paraId="2EEEEC7E" w14:textId="7946A25A" w:rsidR="003D65E2" w:rsidRPr="003E0FB5" w:rsidRDefault="003D65E2" w:rsidP="003E0FB5">
      <w:pPr>
        <w:spacing w:line="240" w:lineRule="auto"/>
        <w:contextualSpacing/>
        <w:rPr>
          <w:rFonts w:ascii="Times New Roman" w:hAnsi="Times New Roman" w:cs="Times New Roman"/>
          <w:b/>
          <w:i/>
          <w:sz w:val="24"/>
          <w:szCs w:val="24"/>
          <w:lang w:val="sq-AL"/>
        </w:rPr>
      </w:pPr>
      <w:r w:rsidRPr="003D65E2">
        <w:rPr>
          <w:rFonts w:ascii="Times New Roman" w:hAnsi="Times New Roman" w:cs="Times New Roman"/>
          <w:b/>
          <w:i/>
          <w:sz w:val="24"/>
          <w:szCs w:val="24"/>
          <w:lang w:val="sq-AL"/>
        </w:rPr>
        <w:t>P</w:t>
      </w:r>
      <w:r>
        <w:rPr>
          <w:rFonts w:ascii="Times New Roman" w:hAnsi="Times New Roman" w:cs="Times New Roman"/>
          <w:b/>
          <w:i/>
          <w:sz w:val="24"/>
          <w:szCs w:val="24"/>
          <w:lang w:val="sq-AL"/>
        </w:rPr>
        <w:t>ë</w:t>
      </w:r>
      <w:r w:rsidRPr="003D65E2">
        <w:rPr>
          <w:rFonts w:ascii="Times New Roman" w:hAnsi="Times New Roman" w:cs="Times New Roman"/>
          <w:b/>
          <w:i/>
          <w:sz w:val="24"/>
          <w:szCs w:val="24"/>
          <w:lang w:val="sq-AL"/>
        </w:rPr>
        <w:t>rputhshm</w:t>
      </w:r>
      <w:r>
        <w:rPr>
          <w:rFonts w:ascii="Times New Roman" w:hAnsi="Times New Roman" w:cs="Times New Roman"/>
          <w:b/>
          <w:i/>
          <w:sz w:val="24"/>
          <w:szCs w:val="24"/>
          <w:lang w:val="sq-AL"/>
        </w:rPr>
        <w:t>ë</w:t>
      </w:r>
      <w:r w:rsidRPr="003D65E2">
        <w:rPr>
          <w:rFonts w:ascii="Times New Roman" w:hAnsi="Times New Roman" w:cs="Times New Roman"/>
          <w:b/>
          <w:i/>
          <w:sz w:val="24"/>
          <w:szCs w:val="24"/>
          <w:lang w:val="sq-AL"/>
        </w:rPr>
        <w:t>ria e aktit me standartet nd</w:t>
      </w:r>
      <w:r>
        <w:rPr>
          <w:rFonts w:ascii="Times New Roman" w:hAnsi="Times New Roman" w:cs="Times New Roman"/>
          <w:b/>
          <w:i/>
          <w:sz w:val="24"/>
          <w:szCs w:val="24"/>
          <w:lang w:val="sq-AL"/>
        </w:rPr>
        <w:t>ë</w:t>
      </w:r>
      <w:r w:rsidRPr="003D65E2">
        <w:rPr>
          <w:rFonts w:ascii="Times New Roman" w:hAnsi="Times New Roman" w:cs="Times New Roman"/>
          <w:b/>
          <w:i/>
          <w:sz w:val="24"/>
          <w:szCs w:val="24"/>
          <w:lang w:val="sq-AL"/>
        </w:rPr>
        <w:t>rkomb</w:t>
      </w:r>
      <w:r>
        <w:rPr>
          <w:rFonts w:ascii="Times New Roman" w:hAnsi="Times New Roman" w:cs="Times New Roman"/>
          <w:b/>
          <w:i/>
          <w:sz w:val="24"/>
          <w:szCs w:val="24"/>
          <w:lang w:val="sq-AL"/>
        </w:rPr>
        <w:t>ë</w:t>
      </w:r>
      <w:r w:rsidRPr="003D65E2">
        <w:rPr>
          <w:rFonts w:ascii="Times New Roman" w:hAnsi="Times New Roman" w:cs="Times New Roman"/>
          <w:b/>
          <w:i/>
          <w:sz w:val="24"/>
          <w:szCs w:val="24"/>
          <w:lang w:val="sq-AL"/>
        </w:rPr>
        <w:t>tare</w:t>
      </w:r>
    </w:p>
    <w:p w14:paraId="0A93ECD9" w14:textId="77777777" w:rsidR="003D65E2" w:rsidRDefault="003D65E2" w:rsidP="003E0FB5">
      <w:pPr>
        <w:spacing w:line="240" w:lineRule="auto"/>
        <w:contextualSpacing/>
        <w:jc w:val="both"/>
        <w:rPr>
          <w:rFonts w:ascii="Times New Roman" w:hAnsi="Times New Roman" w:cs="Times New Roman"/>
          <w:sz w:val="24"/>
          <w:szCs w:val="24"/>
          <w:lang w:val="sq-AL"/>
        </w:rPr>
      </w:pPr>
    </w:p>
    <w:p w14:paraId="24403784" w14:textId="47AE738E" w:rsidR="003E0FB5" w:rsidRPr="003E0FB5" w:rsidRDefault="003E0FB5" w:rsidP="003E0FB5">
      <w:pPr>
        <w:spacing w:line="240" w:lineRule="auto"/>
        <w:contextualSpacing/>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Kodi i Etikës është hartuar duke u bazuar në standardet më të mira ndërkombëtare. Më konkretisht, në hartimin e Kodit janë shqyrtuar dhe marrë në konsideratë kryesisht këto akte:</w:t>
      </w:r>
    </w:p>
    <w:p w14:paraId="4E9E83D7" w14:textId="77777777" w:rsidR="003E0FB5" w:rsidRPr="003E0FB5" w:rsidRDefault="003E0FB5" w:rsidP="003E0FB5">
      <w:pPr>
        <w:widowControl w:val="0"/>
        <w:numPr>
          <w:ilvl w:val="0"/>
          <w:numId w:val="17"/>
        </w:numPr>
        <w:autoSpaceDE w:val="0"/>
        <w:autoSpaceDN w:val="0"/>
        <w:spacing w:after="0" w:line="240" w:lineRule="auto"/>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Karta Evropiane për  Statutin e Gjyqtarëve dhe Memorandumi Shpjegues, miratuar nga përfaqësues të vendeve anëtarë të Këshillit të Evropës dhe të dy shoqatave ndërkombëtare të gjyqtarëve në Strasburg, 8 - 10 korrik 1998;</w:t>
      </w:r>
    </w:p>
    <w:p w14:paraId="3234B47C" w14:textId="77777777" w:rsidR="003E0FB5" w:rsidRPr="003E0FB5" w:rsidRDefault="003E0FB5" w:rsidP="003E0FB5">
      <w:pPr>
        <w:widowControl w:val="0"/>
        <w:numPr>
          <w:ilvl w:val="0"/>
          <w:numId w:val="17"/>
        </w:numPr>
        <w:autoSpaceDE w:val="0"/>
        <w:autoSpaceDN w:val="0"/>
        <w:spacing w:after="0" w:line="240" w:lineRule="auto"/>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lastRenderedPageBreak/>
        <w:t>Rekomandimi CM/Rec (2010)12 i Komitetit të Ministrave të Këshillit të Evropës për gjyqtarët në lidhje me pavarësinë, efiçencën dhe përgjegjësitë;</w:t>
      </w:r>
    </w:p>
    <w:p w14:paraId="2AFCC9AC" w14:textId="77777777" w:rsidR="003E0FB5" w:rsidRPr="003E0FB5" w:rsidRDefault="003E0FB5" w:rsidP="003E0FB5">
      <w:pPr>
        <w:widowControl w:val="0"/>
        <w:numPr>
          <w:ilvl w:val="0"/>
          <w:numId w:val="17"/>
        </w:numPr>
        <w:autoSpaceDE w:val="0"/>
        <w:autoSpaceDN w:val="0"/>
        <w:spacing w:after="0" w:line="240" w:lineRule="auto"/>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MAGNA CARTA e Gjyqtarëve, e Këshillit Konsultativ të Gjyqtarëve Evropian Strasburg, 17 nëntor 2010;</w:t>
      </w:r>
    </w:p>
    <w:p w14:paraId="3ED1900B" w14:textId="77777777" w:rsidR="003E0FB5" w:rsidRPr="003E0FB5" w:rsidRDefault="003E0FB5" w:rsidP="003E0FB5">
      <w:pPr>
        <w:widowControl w:val="0"/>
        <w:numPr>
          <w:ilvl w:val="0"/>
          <w:numId w:val="17"/>
        </w:numPr>
        <w:autoSpaceDE w:val="0"/>
        <w:autoSpaceDN w:val="0"/>
        <w:spacing w:after="0" w:line="240" w:lineRule="auto"/>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 xml:space="preserve">Modeli i Kodit të Sjelljes Gjyqësore, miratuar nga Shoqata e Avokatëve Amerikanë më 7 gusht 1990; </w:t>
      </w:r>
    </w:p>
    <w:p w14:paraId="088FD78E" w14:textId="77777777" w:rsidR="003E0FB5" w:rsidRPr="003E0FB5" w:rsidRDefault="003E0FB5" w:rsidP="003E0FB5">
      <w:pPr>
        <w:widowControl w:val="0"/>
        <w:numPr>
          <w:ilvl w:val="0"/>
          <w:numId w:val="17"/>
        </w:numPr>
        <w:autoSpaceDE w:val="0"/>
        <w:autoSpaceDN w:val="0"/>
        <w:spacing w:after="0" w:line="240" w:lineRule="auto"/>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Parimet e Bangalore për Sjelljen Gjyqësore, miratuar nga Grupi Gjyqësor për Forcimin e Integritetit Gjyqësor më 25-25 nëntor 2002;</w:t>
      </w:r>
    </w:p>
    <w:p w14:paraId="114D2919" w14:textId="77777777" w:rsidR="003E0FB5" w:rsidRPr="003E0FB5" w:rsidRDefault="003E0FB5" w:rsidP="003E0FB5">
      <w:pPr>
        <w:widowControl w:val="0"/>
        <w:numPr>
          <w:ilvl w:val="0"/>
          <w:numId w:val="17"/>
        </w:numPr>
        <w:autoSpaceDE w:val="0"/>
        <w:autoSpaceDN w:val="0"/>
        <w:spacing w:after="0" w:line="240" w:lineRule="auto"/>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Karta e Gjyqtarëve në Evropë, miratuar nga Shoqata e Gjyqtarëve Evropianë më 1997;</w:t>
      </w:r>
    </w:p>
    <w:p w14:paraId="582E54A2" w14:textId="77777777" w:rsidR="003E0FB5" w:rsidRPr="003E0FB5" w:rsidRDefault="003E0FB5" w:rsidP="003E0FB5">
      <w:pPr>
        <w:widowControl w:val="0"/>
        <w:numPr>
          <w:ilvl w:val="0"/>
          <w:numId w:val="17"/>
        </w:numPr>
        <w:autoSpaceDE w:val="0"/>
        <w:autoSpaceDN w:val="0"/>
        <w:spacing w:after="0" w:line="240" w:lineRule="auto"/>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Kodi Global i Etikës Gjyqësore i Bolonjës dhe Milanos, miratuar në Konferencën Ndërkombëtare për Pavarësinë Gjyqësore në qershor 2015.</w:t>
      </w:r>
    </w:p>
    <w:p w14:paraId="0471BFAB" w14:textId="77777777" w:rsidR="003E0FB5" w:rsidRPr="003E0FB5" w:rsidRDefault="003E0FB5" w:rsidP="003E0FB5">
      <w:pPr>
        <w:spacing w:after="0"/>
        <w:contextualSpacing/>
        <w:jc w:val="both"/>
        <w:rPr>
          <w:rFonts w:ascii="Times New Roman" w:hAnsi="Times New Roman" w:cs="Times New Roman"/>
          <w:sz w:val="24"/>
          <w:szCs w:val="24"/>
          <w:lang w:val="sq-AL"/>
        </w:rPr>
      </w:pPr>
    </w:p>
    <w:p w14:paraId="1AD2BD6B" w14:textId="77777777" w:rsidR="003E0FB5" w:rsidRPr="003E0FB5" w:rsidRDefault="003E0FB5" w:rsidP="003E0FB5">
      <w:pPr>
        <w:spacing w:after="0"/>
        <w:contextualSpacing/>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Në kuadër të Këshillit Konsultativ të Gjyqtarëve Evropian janë shqyrtuar dhe marrë në konsideratë edhe këto opinione të përgatitura nga ky Këshill për Komitetin e Ministrave të Këshillit të Evropës:</w:t>
      </w:r>
    </w:p>
    <w:p w14:paraId="21B9717D" w14:textId="77777777" w:rsidR="003E0FB5" w:rsidRPr="003E0FB5" w:rsidRDefault="003E0FB5" w:rsidP="003E0FB5">
      <w:pPr>
        <w:widowControl w:val="0"/>
        <w:numPr>
          <w:ilvl w:val="0"/>
          <w:numId w:val="16"/>
        </w:numPr>
        <w:autoSpaceDE w:val="0"/>
        <w:autoSpaceDN w:val="0"/>
        <w:spacing w:after="0" w:line="240" w:lineRule="auto"/>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Opinioni Nr. 1 (2001) Për Standardet në Lidhje me Pavarësinë e Gjyqësorit dhe Pazëvendësueshmërinë e Gjyqtarëve;</w:t>
      </w:r>
    </w:p>
    <w:p w14:paraId="6243840D" w14:textId="77777777" w:rsidR="003E0FB5" w:rsidRPr="003E0FB5" w:rsidRDefault="003E0FB5" w:rsidP="003E0FB5">
      <w:pPr>
        <w:widowControl w:val="0"/>
        <w:numPr>
          <w:ilvl w:val="0"/>
          <w:numId w:val="16"/>
        </w:numPr>
        <w:autoSpaceDE w:val="0"/>
        <w:autoSpaceDN w:val="0"/>
        <w:spacing w:after="0" w:line="240" w:lineRule="auto"/>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Opinioni Nr. 3 (2002) Mbi Parimet dhe Rregullat që Rregullojnë Sjelljen Profesionale të Gjyqtarëve, në Veçanti Etikën, Sjelljen e Papajtueshme dhe Paanësinë;</w:t>
      </w:r>
    </w:p>
    <w:p w14:paraId="532DD70A" w14:textId="77777777" w:rsidR="003E0FB5" w:rsidRPr="003E0FB5" w:rsidRDefault="003E0FB5" w:rsidP="003E0FB5">
      <w:pPr>
        <w:widowControl w:val="0"/>
        <w:numPr>
          <w:ilvl w:val="0"/>
          <w:numId w:val="16"/>
        </w:numPr>
        <w:autoSpaceDE w:val="0"/>
        <w:autoSpaceDN w:val="0"/>
        <w:spacing w:after="0" w:line="240" w:lineRule="auto"/>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Opinioni Nr. 4 (2003) Për Trajnimin e Duhur Fillestar dhe Gjatë Shërbimit për Gjyqtarët në Nivel Kombëtar dhe Evropian;</w:t>
      </w:r>
    </w:p>
    <w:p w14:paraId="209F7F30" w14:textId="77777777" w:rsidR="003E0FB5" w:rsidRPr="003E0FB5" w:rsidRDefault="003E0FB5" w:rsidP="003E0FB5">
      <w:pPr>
        <w:widowControl w:val="0"/>
        <w:numPr>
          <w:ilvl w:val="0"/>
          <w:numId w:val="16"/>
        </w:numPr>
        <w:autoSpaceDE w:val="0"/>
        <w:autoSpaceDN w:val="0"/>
        <w:spacing w:after="0" w:line="240" w:lineRule="auto"/>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Opinioni Nr. 7 (2005) Për Drejtësinë dhe Shoqërinë;</w:t>
      </w:r>
    </w:p>
    <w:p w14:paraId="21DF2523" w14:textId="77777777" w:rsidR="003E0FB5" w:rsidRPr="003E0FB5" w:rsidRDefault="003E0FB5" w:rsidP="003E0FB5">
      <w:pPr>
        <w:widowControl w:val="0"/>
        <w:numPr>
          <w:ilvl w:val="0"/>
          <w:numId w:val="16"/>
        </w:numPr>
        <w:autoSpaceDE w:val="0"/>
        <w:autoSpaceDN w:val="0"/>
        <w:spacing w:after="0" w:line="240" w:lineRule="auto"/>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Opinioni Nr. 10 (2007) Mbi Këshillin për Gjyqësorin në Shërbim të Shoqërisë;</w:t>
      </w:r>
    </w:p>
    <w:p w14:paraId="08A07B3F" w14:textId="77777777" w:rsidR="003E0FB5" w:rsidRPr="003E0FB5" w:rsidRDefault="003E0FB5" w:rsidP="003E0FB5">
      <w:pPr>
        <w:widowControl w:val="0"/>
        <w:numPr>
          <w:ilvl w:val="0"/>
          <w:numId w:val="16"/>
        </w:numPr>
        <w:autoSpaceDE w:val="0"/>
        <w:autoSpaceDN w:val="0"/>
        <w:spacing w:after="0" w:line="240" w:lineRule="auto"/>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Opinioni Nr. 11 (2008) Për Cilësinë e Vendimeve Gjyqësore;</w:t>
      </w:r>
    </w:p>
    <w:p w14:paraId="0FA4D6F6" w14:textId="77777777" w:rsidR="003E0FB5" w:rsidRPr="003E0FB5" w:rsidRDefault="003E0FB5" w:rsidP="003E0FB5">
      <w:pPr>
        <w:widowControl w:val="0"/>
        <w:numPr>
          <w:ilvl w:val="0"/>
          <w:numId w:val="16"/>
        </w:numPr>
        <w:autoSpaceDE w:val="0"/>
        <w:autoSpaceDN w:val="0"/>
        <w:spacing w:after="0" w:line="240" w:lineRule="auto"/>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Opinioni Nr. 15 (2012) Për Specializimin e Gjyqtarëve;</w:t>
      </w:r>
    </w:p>
    <w:p w14:paraId="41D76240" w14:textId="77777777" w:rsidR="003E0FB5" w:rsidRPr="003E0FB5" w:rsidRDefault="003E0FB5" w:rsidP="003E0FB5">
      <w:pPr>
        <w:widowControl w:val="0"/>
        <w:numPr>
          <w:ilvl w:val="0"/>
          <w:numId w:val="16"/>
        </w:numPr>
        <w:autoSpaceDE w:val="0"/>
        <w:autoSpaceDN w:val="0"/>
        <w:spacing w:after="0" w:line="240" w:lineRule="auto"/>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Opinioni Nr. 16 (2013) Për Marrëdhëniet midis Gjyqtarëve dhe Avokatëve.</w:t>
      </w:r>
    </w:p>
    <w:p w14:paraId="7EE104A4" w14:textId="77777777" w:rsidR="003E0FB5" w:rsidRPr="003E0FB5" w:rsidRDefault="003E0FB5" w:rsidP="003E0FB5">
      <w:pPr>
        <w:spacing w:line="240" w:lineRule="auto"/>
        <w:contextualSpacing/>
        <w:jc w:val="both"/>
        <w:rPr>
          <w:rFonts w:ascii="Times New Roman" w:hAnsi="Times New Roman" w:cs="Times New Roman"/>
          <w:sz w:val="24"/>
          <w:szCs w:val="24"/>
          <w:lang w:val="sq-AL"/>
        </w:rPr>
      </w:pPr>
    </w:p>
    <w:p w14:paraId="261FA358" w14:textId="3A65BF3E" w:rsidR="003E0FB5" w:rsidRDefault="003E0FB5" w:rsidP="003E0FB5">
      <w:pPr>
        <w:spacing w:line="240" w:lineRule="auto"/>
        <w:jc w:val="both"/>
        <w:rPr>
          <w:rFonts w:ascii="Times New Roman" w:hAnsi="Times New Roman" w:cs="Times New Roman"/>
          <w:sz w:val="24"/>
          <w:szCs w:val="24"/>
          <w:lang w:val="sq-AL"/>
        </w:rPr>
      </w:pPr>
    </w:p>
    <w:p w14:paraId="6C66906D" w14:textId="038F0359" w:rsidR="003D65E2" w:rsidRPr="003E0FB5" w:rsidRDefault="003D65E2" w:rsidP="003E0FB5">
      <w:pPr>
        <w:spacing w:line="240" w:lineRule="auto"/>
        <w:jc w:val="both"/>
        <w:rPr>
          <w:rFonts w:ascii="Times New Roman" w:hAnsi="Times New Roman" w:cs="Times New Roman"/>
          <w:b/>
          <w:i/>
          <w:sz w:val="24"/>
          <w:szCs w:val="24"/>
          <w:lang w:val="sq-AL"/>
        </w:rPr>
      </w:pPr>
      <w:r w:rsidRPr="003D65E2">
        <w:rPr>
          <w:rFonts w:ascii="Times New Roman" w:hAnsi="Times New Roman" w:cs="Times New Roman"/>
          <w:b/>
          <w:i/>
          <w:sz w:val="24"/>
          <w:szCs w:val="24"/>
          <w:lang w:val="sq-AL"/>
        </w:rPr>
        <w:t>N</w:t>
      </w:r>
      <w:r>
        <w:rPr>
          <w:rFonts w:ascii="Times New Roman" w:hAnsi="Times New Roman" w:cs="Times New Roman"/>
          <w:b/>
          <w:i/>
          <w:sz w:val="24"/>
          <w:szCs w:val="24"/>
          <w:lang w:val="sq-AL"/>
        </w:rPr>
        <w:t>ë</w:t>
      </w:r>
      <w:r w:rsidRPr="003D65E2">
        <w:rPr>
          <w:rFonts w:ascii="Times New Roman" w:hAnsi="Times New Roman" w:cs="Times New Roman"/>
          <w:b/>
          <w:i/>
          <w:sz w:val="24"/>
          <w:szCs w:val="24"/>
          <w:lang w:val="sq-AL"/>
        </w:rPr>
        <w:t xml:space="preserve"> lidhje me p</w:t>
      </w:r>
      <w:r>
        <w:rPr>
          <w:rFonts w:ascii="Times New Roman" w:hAnsi="Times New Roman" w:cs="Times New Roman"/>
          <w:b/>
          <w:i/>
          <w:sz w:val="24"/>
          <w:szCs w:val="24"/>
          <w:lang w:val="sq-AL"/>
        </w:rPr>
        <w:t>ë</w:t>
      </w:r>
      <w:r w:rsidRPr="003D65E2">
        <w:rPr>
          <w:rFonts w:ascii="Times New Roman" w:hAnsi="Times New Roman" w:cs="Times New Roman"/>
          <w:b/>
          <w:i/>
          <w:sz w:val="24"/>
          <w:szCs w:val="24"/>
          <w:lang w:val="sq-AL"/>
        </w:rPr>
        <w:t>rmbajtjen e K</w:t>
      </w:r>
      <w:r w:rsidR="00D67B33">
        <w:rPr>
          <w:rFonts w:ascii="Times New Roman" w:hAnsi="Times New Roman" w:cs="Times New Roman"/>
          <w:b/>
          <w:i/>
          <w:sz w:val="24"/>
          <w:szCs w:val="24"/>
          <w:lang w:val="sq-AL"/>
        </w:rPr>
        <w:t>od</w:t>
      </w:r>
      <w:r w:rsidRPr="003D65E2">
        <w:rPr>
          <w:rFonts w:ascii="Times New Roman" w:hAnsi="Times New Roman" w:cs="Times New Roman"/>
          <w:b/>
          <w:i/>
          <w:sz w:val="24"/>
          <w:szCs w:val="24"/>
          <w:lang w:val="sq-AL"/>
        </w:rPr>
        <w:t>it t</w:t>
      </w:r>
      <w:r>
        <w:rPr>
          <w:rFonts w:ascii="Times New Roman" w:hAnsi="Times New Roman" w:cs="Times New Roman"/>
          <w:b/>
          <w:i/>
          <w:sz w:val="24"/>
          <w:szCs w:val="24"/>
          <w:lang w:val="sq-AL"/>
        </w:rPr>
        <w:t>ë</w:t>
      </w:r>
      <w:r w:rsidRPr="003D65E2">
        <w:rPr>
          <w:rFonts w:ascii="Times New Roman" w:hAnsi="Times New Roman" w:cs="Times New Roman"/>
          <w:b/>
          <w:i/>
          <w:sz w:val="24"/>
          <w:szCs w:val="24"/>
          <w:lang w:val="sq-AL"/>
        </w:rPr>
        <w:t xml:space="preserve"> Etik</w:t>
      </w:r>
      <w:r>
        <w:rPr>
          <w:rFonts w:ascii="Times New Roman" w:hAnsi="Times New Roman" w:cs="Times New Roman"/>
          <w:b/>
          <w:i/>
          <w:sz w:val="24"/>
          <w:szCs w:val="24"/>
          <w:lang w:val="sq-AL"/>
        </w:rPr>
        <w:t>ë</w:t>
      </w:r>
      <w:r w:rsidRPr="003D65E2">
        <w:rPr>
          <w:rFonts w:ascii="Times New Roman" w:hAnsi="Times New Roman" w:cs="Times New Roman"/>
          <w:b/>
          <w:i/>
          <w:sz w:val="24"/>
          <w:szCs w:val="24"/>
          <w:lang w:val="sq-AL"/>
        </w:rPr>
        <w:t>s</w:t>
      </w:r>
    </w:p>
    <w:p w14:paraId="380E17E8" w14:textId="77777777" w:rsidR="003E0FB5" w:rsidRPr="003E0FB5" w:rsidRDefault="003E0FB5" w:rsidP="003E0FB5">
      <w:pPr>
        <w:spacing w:line="240" w:lineRule="auto"/>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 xml:space="preserve">Kodi i Etikës përcakton standardet e sjelljes etike që priten nga gjykata. Një Kod i tillë shërben për një numër qëllimesh: </w:t>
      </w:r>
    </w:p>
    <w:p w14:paraId="0FB7F347" w14:textId="77777777" w:rsidR="003E0FB5" w:rsidRPr="003E0FB5" w:rsidRDefault="003E0FB5" w:rsidP="003E0FB5">
      <w:pPr>
        <w:numPr>
          <w:ilvl w:val="0"/>
          <w:numId w:val="18"/>
        </w:numPr>
        <w:spacing w:line="240" w:lineRule="auto"/>
        <w:contextualSpacing/>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 xml:space="preserve">siguron udhëzime për anëtarët e gjykatës; </w:t>
      </w:r>
    </w:p>
    <w:p w14:paraId="1EFCB606" w14:textId="77777777" w:rsidR="003E0FB5" w:rsidRPr="003E0FB5" w:rsidRDefault="003E0FB5" w:rsidP="003E0FB5">
      <w:pPr>
        <w:numPr>
          <w:ilvl w:val="0"/>
          <w:numId w:val="18"/>
        </w:numPr>
        <w:spacing w:line="240" w:lineRule="auto"/>
        <w:contextualSpacing/>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 xml:space="preserve">informon përdoruesit e gjykatës për standardet që ata në mënyrë të arsyeshme mund të presin nga gjyqtarët e saj; </w:t>
      </w:r>
    </w:p>
    <w:p w14:paraId="5FDFC5BE" w14:textId="77777777" w:rsidR="003E0FB5" w:rsidRPr="003E0FB5" w:rsidRDefault="003E0FB5" w:rsidP="003E0FB5">
      <w:pPr>
        <w:numPr>
          <w:ilvl w:val="0"/>
          <w:numId w:val="18"/>
        </w:numPr>
        <w:spacing w:line="240" w:lineRule="auto"/>
        <w:contextualSpacing/>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i shpjegon publikut se si sillen gjyqtarët dhe ndihmon për të siguruar respektin dhe mbështetjen e publikut për gjyqësorin.</w:t>
      </w:r>
    </w:p>
    <w:p w14:paraId="1E82D097" w14:textId="77777777" w:rsidR="00464C64" w:rsidRDefault="00464C64" w:rsidP="003E0FB5">
      <w:pPr>
        <w:spacing w:line="240" w:lineRule="auto"/>
        <w:jc w:val="both"/>
        <w:rPr>
          <w:rFonts w:ascii="Times New Roman" w:hAnsi="Times New Roman" w:cs="Times New Roman"/>
          <w:sz w:val="24"/>
          <w:szCs w:val="24"/>
          <w:lang w:val="sq-AL"/>
        </w:rPr>
      </w:pPr>
    </w:p>
    <w:p w14:paraId="26B1E164" w14:textId="1819529B" w:rsidR="003E0FB5" w:rsidRPr="003E0FB5" w:rsidRDefault="003E0FB5" w:rsidP="003E0FB5">
      <w:pPr>
        <w:spacing w:line="240" w:lineRule="auto"/>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Kodi i Etikës përcakton standardet e etikës dhe rregullat e sjelljes së gjyqtarëve dhe punonjësve të tjerë të gjykatës dhe i përkthen ato në pritshmëri dhe kërkesa specifike dhe të qarta të sjelljes. Ai identifikon kufijtë midis sjelljes së dëshirueshme dhe të padëshirueshme.</w:t>
      </w:r>
    </w:p>
    <w:p w14:paraId="11208B3A" w14:textId="77777777" w:rsidR="003E0FB5" w:rsidRPr="003E0FB5" w:rsidRDefault="003E0FB5" w:rsidP="003E0FB5">
      <w:pPr>
        <w:spacing w:line="240" w:lineRule="auto"/>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Standardet e Kodit të Etikës theksojnë rëndësinë e roleve të ndërmarra nga gjyqtarët dhe punonjësit e tjerë të gjykatës. Ato inkurajojnë ndjenjën e tyre të përkushtimit profesional, shërbimit ndaj publikut dhe përgjegjësisë ndaj pushtetit dhe mundësive të funksionit të tyre. Ato përcaktojnë vlerat thelbësore të sjelljes që priten nga gjyqtarët, duke përfshirë sjelljen e ligjshme, ndershmërinë, integritetin, paanshmërinë, procesin e drejtë, drejtësinë, dhe profesionalizmin.</w:t>
      </w:r>
    </w:p>
    <w:p w14:paraId="11A17DF3" w14:textId="1A9CC701" w:rsidR="003E0FB5" w:rsidRPr="003E0FB5" w:rsidRDefault="003E0FB5" w:rsidP="003E0FB5">
      <w:pPr>
        <w:spacing w:line="240" w:lineRule="auto"/>
        <w:contextualSpacing/>
        <w:rPr>
          <w:rFonts w:ascii="Times New Roman" w:hAnsi="Times New Roman" w:cs="Times New Roman"/>
          <w:sz w:val="24"/>
          <w:szCs w:val="24"/>
          <w:lang w:val="sq-AL"/>
        </w:rPr>
      </w:pPr>
    </w:p>
    <w:p w14:paraId="7B6994B0" w14:textId="77777777" w:rsidR="003E0FB5" w:rsidRPr="003E0FB5" w:rsidRDefault="003E0FB5" w:rsidP="003E0FB5">
      <w:pPr>
        <w:spacing w:line="240" w:lineRule="auto"/>
        <w:contextualSpacing/>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 xml:space="preserve">Kodi i Etikës është i organizuar në tre pjesë, të cilat paraprihen nga një preambulë e cila parashtron kontekstin, filozofinë dhe qëllimin e Kodit të Etikës. Në pjesën e parë ka dispozita me karakter të përgjithshëm që përcaktojnë objektin e rregullimit dhe subjektet të cilëve u drejtohet. </w:t>
      </w:r>
    </w:p>
    <w:p w14:paraId="1C7A13BC" w14:textId="77777777" w:rsidR="003E0FB5" w:rsidRPr="003E0FB5" w:rsidRDefault="003E0FB5" w:rsidP="003E0FB5">
      <w:pPr>
        <w:spacing w:line="240" w:lineRule="auto"/>
        <w:contextualSpacing/>
        <w:jc w:val="both"/>
        <w:rPr>
          <w:rFonts w:ascii="Times New Roman" w:hAnsi="Times New Roman" w:cs="Times New Roman"/>
          <w:sz w:val="24"/>
          <w:szCs w:val="24"/>
          <w:lang w:val="sq-AL"/>
        </w:rPr>
      </w:pPr>
    </w:p>
    <w:p w14:paraId="1253C713" w14:textId="77777777" w:rsidR="003E0FB5" w:rsidRPr="003E0FB5" w:rsidRDefault="003E0FB5" w:rsidP="003E0FB5">
      <w:pPr>
        <w:spacing w:line="240" w:lineRule="auto"/>
        <w:contextualSpacing/>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 xml:space="preserve">Në pjesën e dytë, e cila përbën dhe thelbin e Kodit të Etikës, përshkruhen </w:t>
      </w:r>
      <w:r w:rsidRPr="003E0FB5">
        <w:rPr>
          <w:rFonts w:ascii="Times New Roman" w:hAnsi="Times New Roman" w:cs="Times New Roman"/>
          <w:b/>
          <w:i/>
          <w:sz w:val="24"/>
          <w:szCs w:val="24"/>
          <w:lang w:val="sq-AL"/>
        </w:rPr>
        <w:t>parimet të cilat përcaktojnë standardet e etikës mbi të cilat është ndërtuar Kodi</w:t>
      </w:r>
      <w:r w:rsidRPr="003E0FB5">
        <w:rPr>
          <w:rFonts w:ascii="Times New Roman" w:hAnsi="Times New Roman" w:cs="Times New Roman"/>
          <w:sz w:val="24"/>
          <w:szCs w:val="24"/>
          <w:lang w:val="sq-AL"/>
        </w:rPr>
        <w:t>. Çdo parim, zbërthehet më tej nga një sërë rregullash sjelljeje që kërkohen nga subjektet e Kodit të Etikës, zbatimi i të cilave  mundëson dhe arritjen e standardeve të etikës. Më konkretisht, parimet mbi të cilat ngrihet Kodi i Etikës janë:</w:t>
      </w:r>
    </w:p>
    <w:p w14:paraId="3308EB16" w14:textId="77777777" w:rsidR="003E0FB5" w:rsidRPr="003E0FB5" w:rsidRDefault="003E0FB5" w:rsidP="003E0FB5">
      <w:pPr>
        <w:spacing w:line="240" w:lineRule="auto"/>
        <w:contextualSpacing/>
        <w:jc w:val="both"/>
        <w:rPr>
          <w:rFonts w:ascii="Times New Roman" w:hAnsi="Times New Roman" w:cs="Times New Roman"/>
          <w:sz w:val="24"/>
          <w:szCs w:val="24"/>
          <w:lang w:val="sq-AL"/>
        </w:rPr>
      </w:pPr>
    </w:p>
    <w:p w14:paraId="782F73E5" w14:textId="77777777" w:rsidR="003E0FB5" w:rsidRPr="003E0FB5" w:rsidRDefault="003E0FB5" w:rsidP="003E0FB5">
      <w:pPr>
        <w:numPr>
          <w:ilvl w:val="0"/>
          <w:numId w:val="19"/>
        </w:numPr>
        <w:spacing w:line="240" w:lineRule="auto"/>
        <w:contextualSpacing/>
        <w:jc w:val="both"/>
        <w:rPr>
          <w:rFonts w:ascii="Times New Roman" w:hAnsi="Times New Roman" w:cs="Times New Roman"/>
          <w:b/>
          <w:sz w:val="24"/>
          <w:szCs w:val="24"/>
          <w:lang w:val="sq-AL"/>
        </w:rPr>
      </w:pPr>
      <w:r w:rsidRPr="003E0FB5">
        <w:rPr>
          <w:rFonts w:ascii="Times New Roman" w:hAnsi="Times New Roman" w:cs="Times New Roman"/>
          <w:b/>
          <w:sz w:val="24"/>
          <w:szCs w:val="24"/>
          <w:lang w:val="sq-AL"/>
        </w:rPr>
        <w:t>Parimi i pavarësisë</w:t>
      </w:r>
      <w:r w:rsidRPr="003E0FB5">
        <w:rPr>
          <w:rFonts w:ascii="Times New Roman" w:hAnsi="Times New Roman" w:cs="Times New Roman"/>
          <w:b/>
          <w:sz w:val="24"/>
          <w:szCs w:val="24"/>
          <w:lang w:val="sq-AL"/>
        </w:rPr>
        <w:tab/>
      </w:r>
    </w:p>
    <w:p w14:paraId="4F7E0E47" w14:textId="77777777" w:rsidR="003E0FB5" w:rsidRPr="003E0FB5" w:rsidRDefault="003E0FB5" w:rsidP="003E0FB5">
      <w:pPr>
        <w:spacing w:line="240" w:lineRule="auto"/>
        <w:ind w:left="720"/>
        <w:contextualSpacing/>
        <w:jc w:val="both"/>
        <w:rPr>
          <w:rFonts w:ascii="Times New Roman" w:eastAsia="ArialMT" w:hAnsi="Times New Roman" w:cs="Times New Roman"/>
          <w:sz w:val="24"/>
          <w:szCs w:val="24"/>
          <w:lang w:val="sq-AL"/>
        </w:rPr>
      </w:pPr>
      <w:r w:rsidRPr="003E0FB5">
        <w:rPr>
          <w:rFonts w:ascii="Times New Roman" w:eastAsia="ArialMT" w:hAnsi="Times New Roman" w:cs="Times New Roman"/>
          <w:sz w:val="24"/>
          <w:szCs w:val="24"/>
          <w:lang w:val="sq-AL"/>
        </w:rPr>
        <w:t xml:space="preserve">Nuk është e rastësishme që parimi i renditur i pari është ai i që e udhëheq gjyqtarin drejt pavarësisë së. Ky parim kërkon që gjyqtari  të përgjigjet vetëm përpara ligjit dhe të përmbushë detyrat i lirë nga çdo ndikim i jashtëm dhe i pavarur nga pushtetet e tjera, nga grupet e interesit dhe nga palët gjatë gjykimit të një çështjeje. </w:t>
      </w:r>
    </w:p>
    <w:p w14:paraId="31F69DD3" w14:textId="77777777" w:rsidR="003E0FB5" w:rsidRPr="003E0FB5" w:rsidRDefault="003E0FB5" w:rsidP="003E0FB5">
      <w:pPr>
        <w:spacing w:line="240" w:lineRule="auto"/>
        <w:ind w:left="720"/>
        <w:contextualSpacing/>
        <w:jc w:val="both"/>
        <w:rPr>
          <w:rFonts w:ascii="Times New Roman" w:hAnsi="Times New Roman" w:cs="Times New Roman"/>
          <w:sz w:val="24"/>
          <w:szCs w:val="24"/>
          <w:lang w:val="sq-AL"/>
        </w:rPr>
      </w:pPr>
    </w:p>
    <w:p w14:paraId="5D116DEF" w14:textId="77777777" w:rsidR="003E0FB5" w:rsidRPr="003E0FB5" w:rsidRDefault="003E0FB5" w:rsidP="003E0FB5">
      <w:pPr>
        <w:numPr>
          <w:ilvl w:val="0"/>
          <w:numId w:val="19"/>
        </w:numPr>
        <w:spacing w:line="240" w:lineRule="auto"/>
        <w:contextualSpacing/>
        <w:jc w:val="both"/>
        <w:rPr>
          <w:rFonts w:ascii="Times New Roman" w:hAnsi="Times New Roman" w:cs="Times New Roman"/>
          <w:b/>
          <w:sz w:val="24"/>
          <w:szCs w:val="24"/>
          <w:lang w:val="sq-AL"/>
        </w:rPr>
      </w:pPr>
      <w:r w:rsidRPr="003E0FB5">
        <w:rPr>
          <w:rFonts w:ascii="Times New Roman" w:hAnsi="Times New Roman" w:cs="Times New Roman"/>
          <w:b/>
          <w:sz w:val="24"/>
          <w:szCs w:val="24"/>
          <w:lang w:val="sq-AL"/>
        </w:rPr>
        <w:t>Parimi i paanshmërisë</w:t>
      </w:r>
    </w:p>
    <w:p w14:paraId="00B35234" w14:textId="77777777" w:rsidR="003E0FB5" w:rsidRPr="003E0FB5" w:rsidRDefault="003E0FB5" w:rsidP="003E0FB5">
      <w:pPr>
        <w:spacing w:line="240" w:lineRule="auto"/>
        <w:ind w:left="720"/>
        <w:contextualSpacing/>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Në kryerjen e detyrave gjyqësore gjyqtari është i paanshëm dhe duhet të duket i tillë. Besimi i publikut te drejtësia lidhet ngushtësisht me gjykimin me paanësi, të lirë nga çdo lidhje, prirje ose paragjykim që ndikon, ose mund të duket se ndikon, në aftësinë e gjyqtarit për të gjykuar në mënyrë të paanshme. Ky parim e vë theksin në faktin se paanësia duhet të jetë e dukshme gjatë ushtrimit të funksioneve gjyqësore të gjyqtarit edhe aktiviteteve të tjera të tij në jetën private.</w:t>
      </w:r>
    </w:p>
    <w:p w14:paraId="7A654956" w14:textId="77777777" w:rsidR="003E0FB5" w:rsidRPr="003E0FB5" w:rsidRDefault="003E0FB5" w:rsidP="003E0FB5">
      <w:pPr>
        <w:spacing w:line="240" w:lineRule="auto"/>
        <w:ind w:left="720"/>
        <w:contextualSpacing/>
        <w:jc w:val="both"/>
        <w:rPr>
          <w:rFonts w:ascii="Times New Roman" w:hAnsi="Times New Roman" w:cs="Times New Roman"/>
          <w:sz w:val="24"/>
          <w:szCs w:val="24"/>
          <w:lang w:val="sq-AL"/>
        </w:rPr>
      </w:pPr>
    </w:p>
    <w:p w14:paraId="1ABB6E25" w14:textId="77777777" w:rsidR="003E0FB5" w:rsidRPr="003E0FB5" w:rsidRDefault="003E0FB5" w:rsidP="003E0FB5">
      <w:pPr>
        <w:numPr>
          <w:ilvl w:val="0"/>
          <w:numId w:val="19"/>
        </w:numPr>
        <w:spacing w:line="240" w:lineRule="auto"/>
        <w:contextualSpacing/>
        <w:jc w:val="both"/>
        <w:rPr>
          <w:rFonts w:ascii="Times New Roman" w:hAnsi="Times New Roman" w:cs="Times New Roman"/>
          <w:b/>
          <w:sz w:val="24"/>
          <w:szCs w:val="24"/>
          <w:lang w:val="sq-AL"/>
        </w:rPr>
      </w:pPr>
      <w:r w:rsidRPr="003E0FB5">
        <w:rPr>
          <w:rFonts w:ascii="Times New Roman" w:hAnsi="Times New Roman" w:cs="Times New Roman"/>
          <w:b/>
          <w:sz w:val="24"/>
          <w:szCs w:val="24"/>
          <w:lang w:val="sq-AL"/>
        </w:rPr>
        <w:t>Parimi i integritetit</w:t>
      </w:r>
    </w:p>
    <w:p w14:paraId="237D30E0" w14:textId="77777777" w:rsidR="003E0FB5" w:rsidRPr="003E0FB5" w:rsidRDefault="003E0FB5" w:rsidP="003E0FB5">
      <w:pPr>
        <w:spacing w:line="240" w:lineRule="auto"/>
        <w:ind w:left="720"/>
        <w:contextualSpacing/>
        <w:jc w:val="both"/>
        <w:rPr>
          <w:rFonts w:ascii="Times New Roman" w:eastAsia="ArialMT" w:hAnsi="Times New Roman" w:cs="Times New Roman"/>
          <w:sz w:val="24"/>
          <w:szCs w:val="24"/>
          <w:lang w:val="sq-AL"/>
        </w:rPr>
      </w:pPr>
      <w:r w:rsidRPr="003E0FB5">
        <w:rPr>
          <w:rFonts w:ascii="Times New Roman" w:eastAsia="ArialMT" w:hAnsi="Times New Roman" w:cs="Times New Roman"/>
          <w:sz w:val="24"/>
          <w:szCs w:val="24"/>
          <w:lang w:val="sq-AL"/>
        </w:rPr>
        <w:t>Ky parim ka si tipar dallues kërkesën që gjyqtari të sillet gjithmonë në mënyrë të tillë që të mbrojë dinjitetin, të përmbushë përgjegjësitë funksionale dhe të garantojë paanshmërinë e pavarësinë e gjyqësorit. Sjellja dhe qëndrimi i gjyqtarit duhet të rikonfirmojë besimin e qytetarëve tek integriteti i gjyqësorit.</w:t>
      </w:r>
    </w:p>
    <w:p w14:paraId="14C8B408" w14:textId="77777777" w:rsidR="003E0FB5" w:rsidRPr="003E0FB5" w:rsidRDefault="003E0FB5" w:rsidP="003E0FB5">
      <w:pPr>
        <w:spacing w:line="240" w:lineRule="auto"/>
        <w:ind w:left="720"/>
        <w:contextualSpacing/>
        <w:jc w:val="both"/>
        <w:rPr>
          <w:rFonts w:ascii="Times New Roman" w:eastAsia="ArialMT" w:hAnsi="Times New Roman" w:cs="Times New Roman"/>
          <w:sz w:val="24"/>
          <w:szCs w:val="24"/>
          <w:lang w:val="sq-AL"/>
        </w:rPr>
      </w:pPr>
    </w:p>
    <w:p w14:paraId="72AF4249" w14:textId="77777777" w:rsidR="003E0FB5" w:rsidRPr="003E0FB5" w:rsidRDefault="003E0FB5" w:rsidP="003E0FB5">
      <w:pPr>
        <w:spacing w:line="240" w:lineRule="auto"/>
        <w:jc w:val="both"/>
        <w:rPr>
          <w:rFonts w:ascii="Times New Roman" w:hAnsi="Times New Roman" w:cs="Times New Roman"/>
          <w:b/>
          <w:sz w:val="24"/>
          <w:szCs w:val="24"/>
          <w:lang w:val="sq-AL"/>
        </w:rPr>
      </w:pPr>
      <w:r w:rsidRPr="003E0FB5">
        <w:rPr>
          <w:rFonts w:ascii="Times New Roman" w:hAnsi="Times New Roman" w:cs="Times New Roman"/>
          <w:b/>
          <w:sz w:val="24"/>
          <w:szCs w:val="24"/>
          <w:lang w:val="sq-AL"/>
        </w:rPr>
        <w:t xml:space="preserve">     ç.      Parimi i sjelljes së hijshme dhe me vetëpërmbajtje</w:t>
      </w:r>
    </w:p>
    <w:p w14:paraId="488EF13E" w14:textId="77777777" w:rsidR="003E0FB5" w:rsidRPr="003E0FB5" w:rsidRDefault="003E0FB5" w:rsidP="003E0FB5">
      <w:pPr>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Shmangia e sjelljes së pahijshme dhe shfaqja e saj në të gjitha aktivitetet e gjyqtarit është një tjetër kërkesë për të garantuar një sjellje etike. Gjyqtari është subjekt i vëzhgimit të vazhdueshëm publik, prandaj ai/ajo duhet të pranojë kufizime personale që mund të shihen si të paarsyeshme për një qytetar të thjeshtë, megjithatë ai nxitet ta bëjë këtë lirshëm dhe me dëshirë.</w:t>
      </w:r>
      <w:r w:rsidRPr="003E0FB5">
        <w:rPr>
          <w:rFonts w:ascii="Times New Roman" w:eastAsia="ArialMT" w:hAnsi="Times New Roman" w:cs="Times New Roman"/>
          <w:sz w:val="24"/>
          <w:szCs w:val="24"/>
          <w:lang w:val="sq-AL"/>
        </w:rPr>
        <w:t xml:space="preserve"> Ky parim kërkon që gjyqtari të shmangë çdo sjellje, e cila krijon dyshimin e arsyeshëm se vendimet nxiten nga motive të tjera, përtej zbatimit të drejtë të ligjit. Sjellja me vetëpërmbajtje synon arritjen e një balance mes të drejtave të tij si qytetar dhe kufizimeve që lidhen me funksionin e tij.</w:t>
      </w:r>
    </w:p>
    <w:p w14:paraId="2EC9A1C7" w14:textId="77777777" w:rsidR="003E0FB5" w:rsidRPr="003E0FB5" w:rsidRDefault="003E0FB5" w:rsidP="003E0FB5">
      <w:pPr>
        <w:numPr>
          <w:ilvl w:val="0"/>
          <w:numId w:val="19"/>
        </w:numPr>
        <w:ind w:left="284"/>
        <w:contextualSpacing/>
        <w:jc w:val="both"/>
        <w:rPr>
          <w:rFonts w:ascii="Times New Roman" w:hAnsi="Times New Roman" w:cs="Times New Roman"/>
          <w:b/>
          <w:sz w:val="24"/>
          <w:szCs w:val="24"/>
          <w:lang w:val="sq-AL"/>
        </w:rPr>
      </w:pPr>
      <w:r w:rsidRPr="003E0FB5">
        <w:rPr>
          <w:rFonts w:ascii="Times New Roman" w:hAnsi="Times New Roman" w:cs="Times New Roman"/>
          <w:b/>
          <w:sz w:val="24"/>
          <w:szCs w:val="24"/>
          <w:lang w:val="sq-AL"/>
        </w:rPr>
        <w:t>Parimi i kujdesit të duhur dhe profesionalizmit</w:t>
      </w:r>
    </w:p>
    <w:p w14:paraId="0850295C" w14:textId="77777777" w:rsidR="003E0FB5" w:rsidRPr="003E0FB5" w:rsidRDefault="003E0FB5" w:rsidP="003E0FB5">
      <w:pPr>
        <w:jc w:val="both"/>
        <w:rPr>
          <w:rFonts w:ascii="Times New Roman" w:hAnsi="Times New Roman" w:cs="Times New Roman"/>
          <w:sz w:val="24"/>
          <w:szCs w:val="24"/>
          <w:lang w:val="sq-AL"/>
        </w:rPr>
      </w:pPr>
      <w:r w:rsidRPr="003E0FB5">
        <w:rPr>
          <w:rFonts w:ascii="Times New Roman" w:hAnsi="Times New Roman" w:cs="Times New Roman"/>
          <w:bCs/>
          <w:iCs/>
          <w:sz w:val="24"/>
          <w:szCs w:val="24"/>
          <w:lang w:val="sq-AL"/>
        </w:rPr>
        <w:t>Ky parim kombinon dy kërkesa të rëndësishme.</w:t>
      </w:r>
      <w:r w:rsidRPr="003E0FB5">
        <w:rPr>
          <w:rFonts w:ascii="Times New Roman" w:eastAsia="ArialMT" w:hAnsi="Times New Roman" w:cs="Times New Roman"/>
          <w:sz w:val="24"/>
          <w:szCs w:val="24"/>
          <w:lang w:val="sq-AL"/>
        </w:rPr>
        <w:t xml:space="preserve"> </w:t>
      </w:r>
      <w:r w:rsidRPr="003E0FB5">
        <w:rPr>
          <w:rFonts w:ascii="Times New Roman" w:hAnsi="Times New Roman" w:cs="Times New Roman"/>
          <w:bCs/>
          <w:iCs/>
          <w:sz w:val="24"/>
          <w:szCs w:val="24"/>
          <w:lang w:val="sq-AL"/>
        </w:rPr>
        <w:t xml:space="preserve">Kryerja me kujdes dhe efikasitet i detyrave, në kohë dhe pa </w:t>
      </w:r>
      <w:r w:rsidRPr="003E0FB5">
        <w:rPr>
          <w:rFonts w:ascii="Times New Roman" w:hAnsi="Times New Roman" w:cs="Times New Roman"/>
          <w:sz w:val="24"/>
          <w:szCs w:val="24"/>
          <w:lang w:val="sq-AL"/>
        </w:rPr>
        <w:t xml:space="preserve">vonesë, si dhe </w:t>
      </w:r>
      <w:r w:rsidRPr="003E0FB5">
        <w:rPr>
          <w:rFonts w:ascii="Times New Roman" w:eastAsia="ArialMT" w:hAnsi="Times New Roman" w:cs="Times New Roman"/>
          <w:sz w:val="24"/>
          <w:szCs w:val="24"/>
          <w:lang w:val="sq-AL"/>
        </w:rPr>
        <w:t xml:space="preserve">ushtrimi e funksioneve gjyqësore me nivelin më të lartë të </w:t>
      </w:r>
      <w:r w:rsidRPr="003E0FB5">
        <w:rPr>
          <w:rFonts w:ascii="Times New Roman" w:hAnsi="Times New Roman" w:cs="Times New Roman"/>
          <w:sz w:val="24"/>
          <w:szCs w:val="24"/>
          <w:lang w:val="sq-AL"/>
        </w:rPr>
        <w:t>aftësive</w:t>
      </w:r>
      <w:r w:rsidRPr="003E0FB5">
        <w:rPr>
          <w:rFonts w:ascii="Times New Roman" w:eastAsia="ArialMT" w:hAnsi="Times New Roman" w:cs="Times New Roman"/>
          <w:sz w:val="24"/>
          <w:szCs w:val="24"/>
          <w:lang w:val="sq-AL"/>
        </w:rPr>
        <w:t xml:space="preserve"> profesionale. Profesionalizmi, sikundër edhe kujdesi i duhur, janë parakushte për kryerjen e detyrave gjyqësore. </w:t>
      </w:r>
      <w:r w:rsidRPr="003E0FB5">
        <w:rPr>
          <w:rFonts w:ascii="Times New Roman" w:hAnsi="Times New Roman" w:cs="Times New Roman"/>
          <w:bCs/>
          <w:iCs/>
          <w:sz w:val="24"/>
          <w:szCs w:val="24"/>
          <w:lang w:val="sq-AL"/>
        </w:rPr>
        <w:t>Ushtrimi i funksioneve nga ana e gjyqtarit ka përparësi mbi të gjitha aktivitetet e tjera.</w:t>
      </w:r>
    </w:p>
    <w:p w14:paraId="064F6EA4" w14:textId="77777777" w:rsidR="003E0FB5" w:rsidRPr="003E0FB5" w:rsidRDefault="003E0FB5" w:rsidP="003E0FB5">
      <w:pPr>
        <w:jc w:val="both"/>
        <w:rPr>
          <w:rFonts w:ascii="Times New Roman" w:hAnsi="Times New Roman" w:cs="Times New Roman"/>
          <w:b/>
          <w:sz w:val="24"/>
          <w:szCs w:val="24"/>
          <w:lang w:val="sq-AL"/>
        </w:rPr>
      </w:pPr>
      <w:r w:rsidRPr="003E0FB5">
        <w:rPr>
          <w:rFonts w:ascii="Times New Roman" w:hAnsi="Times New Roman" w:cs="Times New Roman"/>
          <w:b/>
          <w:sz w:val="24"/>
          <w:szCs w:val="24"/>
          <w:lang w:val="sq-AL"/>
        </w:rPr>
        <w:lastRenderedPageBreak/>
        <w:t>dh. Parimi i respektit dhe aftësisë për të dëgjuar</w:t>
      </w:r>
    </w:p>
    <w:p w14:paraId="3054303E" w14:textId="77777777" w:rsidR="003E0FB5" w:rsidRPr="003E0FB5" w:rsidRDefault="003E0FB5" w:rsidP="003E0FB5">
      <w:pPr>
        <w:jc w:val="both"/>
        <w:rPr>
          <w:rFonts w:ascii="Times New Roman" w:hAnsi="Times New Roman" w:cs="Times New Roman"/>
          <w:sz w:val="24"/>
          <w:szCs w:val="24"/>
          <w:lang w:val="sq-AL"/>
        </w:rPr>
      </w:pPr>
      <w:r w:rsidRPr="003E0FB5">
        <w:rPr>
          <w:rFonts w:ascii="Times New Roman" w:hAnsi="Times New Roman" w:cs="Times New Roman"/>
          <w:sz w:val="24"/>
          <w:szCs w:val="24"/>
          <w:lang w:val="sq-AL"/>
        </w:rPr>
        <w:t xml:space="preserve">Gjyqtari duhet të tregojë respekt dhe vëmendje ndaj personave dhe dinjitetit të tyre. Ai duhet t'i kushtojë vëmendje prezantimit të fakteve dhe arsyetimit ligjor të paraqitur nga palët dhe mbrojtësit e tyre. Ky parim e orienton gjyqtarin drejt sjelljes dinjitoze, korrekte, të respektueshme dhe mirëkuptuese në marrëdhëniet e tij me përdoruesit e gjykatës si dhe gjyqtarët e tjerë apo personelin e gjykatës. </w:t>
      </w:r>
    </w:p>
    <w:p w14:paraId="28CB89E0" w14:textId="77777777" w:rsidR="003E0FB5" w:rsidRPr="003E0FB5" w:rsidRDefault="003E0FB5" w:rsidP="003E0FB5">
      <w:pPr>
        <w:numPr>
          <w:ilvl w:val="0"/>
          <w:numId w:val="19"/>
        </w:numPr>
        <w:autoSpaceDE w:val="0"/>
        <w:autoSpaceDN w:val="0"/>
        <w:adjustRightInd w:val="0"/>
        <w:ind w:left="426"/>
        <w:contextualSpacing/>
        <w:jc w:val="both"/>
        <w:rPr>
          <w:rFonts w:ascii="Times New Roman" w:hAnsi="Times New Roman" w:cs="Times New Roman"/>
          <w:b/>
          <w:sz w:val="24"/>
          <w:szCs w:val="24"/>
          <w:lang w:val="sq-AL"/>
        </w:rPr>
      </w:pPr>
      <w:r w:rsidRPr="003E0FB5">
        <w:rPr>
          <w:rFonts w:ascii="Times New Roman" w:hAnsi="Times New Roman" w:cs="Times New Roman"/>
          <w:b/>
          <w:sz w:val="24"/>
          <w:szCs w:val="24"/>
          <w:lang w:val="sq-AL"/>
        </w:rPr>
        <w:t>Parimi i trajtimit të barabartë</w:t>
      </w:r>
    </w:p>
    <w:p w14:paraId="6F135B6A" w14:textId="77777777" w:rsidR="003660B9" w:rsidRDefault="003660B9" w:rsidP="003E0FB5">
      <w:pPr>
        <w:autoSpaceDE w:val="0"/>
        <w:autoSpaceDN w:val="0"/>
        <w:adjustRightInd w:val="0"/>
        <w:contextualSpacing/>
        <w:jc w:val="both"/>
        <w:rPr>
          <w:rFonts w:ascii="Times New Roman" w:eastAsia="ArialMT" w:hAnsi="Times New Roman" w:cs="Times New Roman"/>
          <w:sz w:val="24"/>
          <w:szCs w:val="24"/>
          <w:lang w:val="sq-AL"/>
        </w:rPr>
      </w:pPr>
    </w:p>
    <w:p w14:paraId="23751791" w14:textId="54E84E5E" w:rsidR="003E0FB5" w:rsidRPr="003E0FB5" w:rsidRDefault="003E0FB5" w:rsidP="003E0FB5">
      <w:pPr>
        <w:autoSpaceDE w:val="0"/>
        <w:autoSpaceDN w:val="0"/>
        <w:adjustRightInd w:val="0"/>
        <w:contextualSpacing/>
        <w:jc w:val="both"/>
        <w:rPr>
          <w:rFonts w:ascii="Times New Roman" w:hAnsi="Times New Roman" w:cs="Times New Roman"/>
          <w:sz w:val="24"/>
          <w:szCs w:val="24"/>
          <w:lang w:val="sq-AL"/>
        </w:rPr>
      </w:pPr>
      <w:r w:rsidRPr="003E0FB5">
        <w:rPr>
          <w:rFonts w:ascii="Times New Roman" w:eastAsia="ArialMT" w:hAnsi="Times New Roman" w:cs="Times New Roman"/>
          <w:sz w:val="24"/>
          <w:szCs w:val="24"/>
          <w:lang w:val="sq-AL"/>
        </w:rPr>
        <w:t xml:space="preserve">Trajtimi i barabartë i qytetarëve nga gjykata është thelbësor për performancën e duhur të sistemit </w:t>
      </w:r>
      <w:r w:rsidRPr="003E0FB5">
        <w:rPr>
          <w:rFonts w:ascii="Times New Roman" w:hAnsi="Times New Roman" w:cs="Times New Roman"/>
          <w:sz w:val="24"/>
          <w:szCs w:val="24"/>
          <w:lang w:val="sq-AL"/>
        </w:rPr>
        <w:t xml:space="preserve">gjyqësor. Ky parim kërkon mes të tjerash që gjyqtari të </w:t>
      </w:r>
      <w:r w:rsidRPr="003E0FB5">
        <w:rPr>
          <w:rFonts w:ascii="Times New Roman" w:hAnsi="Times New Roman" w:cs="Times New Roman"/>
          <w:bCs/>
          <w:iCs/>
          <w:sz w:val="24"/>
          <w:szCs w:val="24"/>
          <w:lang w:val="sq-AL"/>
        </w:rPr>
        <w:t xml:space="preserve">shmangë çdo paragjykim dhe sjellje diskriminuese, duke siguruar që çdo palë të dëgjohet në seancë në mënyrë të ekuilibruar. Një raport i veçantë bashkëpunues është parashikuar me gjyqtarin e medias, të cilit gjyqtari duhet ti transmetojë në mënyrë transparente dhe jodiskriminuese të gjitha informacionet që çmohen të ndahen me median dhe publikun. </w:t>
      </w:r>
    </w:p>
    <w:p w14:paraId="5E15CA33" w14:textId="77777777" w:rsidR="003E0FB5" w:rsidRPr="003E0FB5" w:rsidRDefault="003E0FB5" w:rsidP="003E0FB5">
      <w:pPr>
        <w:autoSpaceDE w:val="0"/>
        <w:autoSpaceDN w:val="0"/>
        <w:adjustRightInd w:val="0"/>
        <w:spacing w:after="0" w:line="240" w:lineRule="auto"/>
        <w:ind w:left="1080"/>
        <w:contextualSpacing/>
        <w:jc w:val="both"/>
        <w:rPr>
          <w:rFonts w:ascii="Times New Roman" w:hAnsi="Times New Roman" w:cs="Times New Roman"/>
          <w:bCs/>
          <w:iCs/>
          <w:sz w:val="24"/>
          <w:szCs w:val="24"/>
          <w:lang w:val="sq-AL"/>
        </w:rPr>
      </w:pPr>
    </w:p>
    <w:p w14:paraId="04FAED08" w14:textId="77777777" w:rsidR="003E0FB5" w:rsidRPr="003E0FB5" w:rsidRDefault="003E0FB5" w:rsidP="003E0FB5">
      <w:pPr>
        <w:autoSpaceDE w:val="0"/>
        <w:autoSpaceDN w:val="0"/>
        <w:adjustRightInd w:val="0"/>
        <w:spacing w:after="0" w:line="240" w:lineRule="auto"/>
        <w:jc w:val="both"/>
        <w:rPr>
          <w:b/>
          <w:lang w:val="sq-AL"/>
        </w:rPr>
      </w:pPr>
      <w:r w:rsidRPr="003E0FB5">
        <w:rPr>
          <w:rFonts w:ascii="Times New Roman" w:hAnsi="Times New Roman" w:cs="Times New Roman"/>
          <w:b/>
          <w:sz w:val="24"/>
          <w:szCs w:val="24"/>
          <w:lang w:val="sq-AL"/>
        </w:rPr>
        <w:t>ë. Parimi i transparencës</w:t>
      </w:r>
    </w:p>
    <w:p w14:paraId="1D82B60F" w14:textId="77777777" w:rsidR="003660B9" w:rsidRDefault="003660B9" w:rsidP="003E0FB5">
      <w:pPr>
        <w:autoSpaceDE w:val="0"/>
        <w:autoSpaceDN w:val="0"/>
        <w:adjustRightInd w:val="0"/>
        <w:spacing w:after="0" w:line="240" w:lineRule="auto"/>
        <w:jc w:val="both"/>
        <w:rPr>
          <w:rFonts w:ascii="Times New Roman" w:eastAsia="ArialMT" w:hAnsi="Times New Roman" w:cs="Times New Roman"/>
          <w:sz w:val="24"/>
          <w:szCs w:val="24"/>
          <w:lang w:val="sq-AL"/>
        </w:rPr>
      </w:pPr>
    </w:p>
    <w:p w14:paraId="296411F7" w14:textId="00AA3A14" w:rsidR="003E0FB5" w:rsidRPr="003E0FB5" w:rsidRDefault="003E0FB5" w:rsidP="003E0FB5">
      <w:pPr>
        <w:autoSpaceDE w:val="0"/>
        <w:autoSpaceDN w:val="0"/>
        <w:adjustRightInd w:val="0"/>
        <w:spacing w:after="0" w:line="240" w:lineRule="auto"/>
        <w:jc w:val="both"/>
        <w:rPr>
          <w:lang w:val="sq-AL"/>
        </w:rPr>
      </w:pPr>
      <w:r w:rsidRPr="003E0FB5">
        <w:rPr>
          <w:rFonts w:ascii="Times New Roman" w:eastAsia="ArialMT" w:hAnsi="Times New Roman" w:cs="Times New Roman"/>
          <w:sz w:val="24"/>
          <w:szCs w:val="24"/>
          <w:lang w:val="sq-AL"/>
        </w:rPr>
        <w:t xml:space="preserve">Publiku ka besim më të lartë tek sistemi gjyqësor nëse ai informohet mbi funksionimin e sistemit gjyqësor dhe në këtë drejtim gjyqtarët kanë kontributin e tyre të pazëvendësueshëm. Ky parim e vë theksin tek nevoja për një qasje të balancuar në raport me transparencën. Nga njëra anë kërkon qartësi dhe kuptueshmëri të vendimeve gjyqësore, si dhe </w:t>
      </w:r>
      <w:r w:rsidRPr="003E0FB5" w:rsidDel="0010620F">
        <w:rPr>
          <w:rFonts w:ascii="Times New Roman" w:eastAsia="ArialMT" w:hAnsi="Times New Roman" w:cs="Times New Roman"/>
          <w:sz w:val="24"/>
          <w:szCs w:val="24"/>
          <w:lang w:val="sq-AL"/>
        </w:rPr>
        <w:t xml:space="preserve"> </w:t>
      </w:r>
      <w:r w:rsidRPr="003E0FB5">
        <w:rPr>
          <w:rFonts w:ascii="Times New Roman" w:eastAsia="ArialMT" w:hAnsi="Times New Roman" w:cs="Times New Roman"/>
          <w:sz w:val="24"/>
          <w:szCs w:val="24"/>
          <w:lang w:val="sq-AL"/>
        </w:rPr>
        <w:t xml:space="preserve">transparencë përmes seancave publike, në ruajtje të konfidencialitetit dhe respektimit të privatësisë ose rendit publik, ndërsa nga ana tjetër, parimi kërkon që gjyqtari të mos abuzojë me kërkesën për transparencë për ta shndërruar ushtrimin e funksionit në një shfaqje publike.  </w:t>
      </w:r>
    </w:p>
    <w:p w14:paraId="7F120432" w14:textId="77777777" w:rsidR="003E0FB5" w:rsidRPr="003E0FB5" w:rsidRDefault="003E0FB5" w:rsidP="003E0FB5">
      <w:pPr>
        <w:spacing w:line="240" w:lineRule="auto"/>
        <w:contextualSpacing/>
        <w:jc w:val="both"/>
        <w:rPr>
          <w:rFonts w:ascii="Times New Roman" w:hAnsi="Times New Roman" w:cs="Times New Roman"/>
          <w:sz w:val="24"/>
          <w:szCs w:val="24"/>
          <w:lang w:val="sq-AL"/>
        </w:rPr>
      </w:pPr>
    </w:p>
    <w:p w14:paraId="7137FFB3" w14:textId="77777777" w:rsidR="003E0FB5" w:rsidRPr="003E0FB5" w:rsidRDefault="003E0FB5" w:rsidP="003E0FB5">
      <w:pPr>
        <w:spacing w:after="0" w:line="240" w:lineRule="auto"/>
        <w:jc w:val="both"/>
        <w:rPr>
          <w:rFonts w:ascii="Times New Roman" w:eastAsia="Times New Roman" w:hAnsi="Times New Roman" w:cs="Times New Roman"/>
          <w:sz w:val="24"/>
          <w:szCs w:val="24"/>
          <w:lang w:val="sq-AL"/>
        </w:rPr>
      </w:pPr>
      <w:r w:rsidRPr="003E0FB5">
        <w:rPr>
          <w:rFonts w:ascii="Times New Roman" w:eastAsia="Times New Roman" w:hAnsi="Times New Roman" w:cs="Times New Roman"/>
          <w:sz w:val="24"/>
          <w:szCs w:val="24"/>
          <w:lang w:val="sq-AL"/>
        </w:rPr>
        <w:t xml:space="preserve">Pjesa e tretë dhe e fundit rregullon çështje që kanë të bëjnë me mbikëqyrjen e zbatimit të Kodit. Në këtë pjesë saktësohet roli i Këshilltarit të Etikës në dhënien e opinioneve këshillimore për çështje të diskutueshme të etikës dhe vlerën e interpretimit të Këshilltarit të Etikës në rastet e procedimit disiplinor ndaj gjyqtarit, si dhe roli i kryetarit të gjykatës në mbikëqyrjen e respektimit të etikës gjyqësore dhe raportimit të problematikave në Këshillin e Lartë Gjyqësor. Në këtë pjesë sanksionohet gjithashtu parimi detyrues i vet rregullimit të sjelljes gjyqësore e asaj jashtëgjyqësore të gjyqtarëve sipas standardeve dhe rregullave te parashikuara në këtë Kod, shkelja e te cilave në rastet kur nuk përbën shkak për përgjegjësi disiplinore, merret në konsideratë në kuadër të vlerësimit etik dhe profesional të gjyqtarit. </w:t>
      </w:r>
    </w:p>
    <w:p w14:paraId="053E58CA" w14:textId="77777777" w:rsidR="004B6B2F" w:rsidRDefault="004B6B2F" w:rsidP="008A6652">
      <w:pPr>
        <w:jc w:val="both"/>
        <w:rPr>
          <w:rFonts w:ascii="Times New Roman" w:hAnsi="Times New Roman" w:cs="Times New Roman"/>
          <w:sz w:val="24"/>
          <w:szCs w:val="24"/>
          <w:lang w:val="sq-AL"/>
        </w:rPr>
      </w:pPr>
    </w:p>
    <w:p w14:paraId="6BA85B08" w14:textId="3783DAB4" w:rsidR="00CD1D61" w:rsidRPr="00510D41" w:rsidRDefault="00510D41" w:rsidP="008A6652">
      <w:pPr>
        <w:jc w:val="both"/>
        <w:rPr>
          <w:rFonts w:ascii="Times New Roman" w:hAnsi="Times New Roman" w:cs="Times New Roman"/>
          <w:b/>
          <w:i/>
          <w:iCs/>
          <w:sz w:val="24"/>
          <w:szCs w:val="24"/>
          <w:lang w:val="sq-AL"/>
        </w:rPr>
      </w:pPr>
      <w:r w:rsidRPr="00510D41">
        <w:rPr>
          <w:rFonts w:ascii="Times New Roman" w:hAnsi="Times New Roman" w:cs="Times New Roman"/>
          <w:b/>
          <w:i/>
          <w:iCs/>
          <w:sz w:val="24"/>
          <w:szCs w:val="24"/>
          <w:lang w:val="sq-AL"/>
        </w:rPr>
        <w:t>N</w:t>
      </w:r>
      <w:r w:rsidR="00CC3B60">
        <w:rPr>
          <w:rFonts w:ascii="Times New Roman" w:hAnsi="Times New Roman" w:cs="Times New Roman"/>
          <w:b/>
          <w:i/>
          <w:iCs/>
          <w:sz w:val="24"/>
          <w:szCs w:val="24"/>
          <w:lang w:val="sq-AL"/>
        </w:rPr>
        <w:t>ë</w:t>
      </w:r>
      <w:r w:rsidRPr="00510D41">
        <w:rPr>
          <w:rFonts w:ascii="Times New Roman" w:hAnsi="Times New Roman" w:cs="Times New Roman"/>
          <w:b/>
          <w:i/>
          <w:iCs/>
          <w:sz w:val="24"/>
          <w:szCs w:val="24"/>
          <w:lang w:val="sq-AL"/>
        </w:rPr>
        <w:t xml:space="preserve"> lidhje me K</w:t>
      </w:r>
      <w:r w:rsidR="00CC3B60">
        <w:rPr>
          <w:rFonts w:ascii="Times New Roman" w:hAnsi="Times New Roman" w:cs="Times New Roman"/>
          <w:b/>
          <w:i/>
          <w:iCs/>
          <w:sz w:val="24"/>
          <w:szCs w:val="24"/>
          <w:lang w:val="sq-AL"/>
        </w:rPr>
        <w:t>ë</w:t>
      </w:r>
      <w:r w:rsidRPr="00510D41">
        <w:rPr>
          <w:rFonts w:ascii="Times New Roman" w:hAnsi="Times New Roman" w:cs="Times New Roman"/>
          <w:b/>
          <w:i/>
          <w:iCs/>
          <w:sz w:val="24"/>
          <w:szCs w:val="24"/>
          <w:lang w:val="sq-AL"/>
        </w:rPr>
        <w:t>shilltarin e Etik</w:t>
      </w:r>
      <w:r w:rsidR="00CC3B60">
        <w:rPr>
          <w:rFonts w:ascii="Times New Roman" w:hAnsi="Times New Roman" w:cs="Times New Roman"/>
          <w:b/>
          <w:i/>
          <w:iCs/>
          <w:sz w:val="24"/>
          <w:szCs w:val="24"/>
          <w:lang w:val="sq-AL"/>
        </w:rPr>
        <w:t>ë</w:t>
      </w:r>
      <w:r w:rsidRPr="00510D41">
        <w:rPr>
          <w:rFonts w:ascii="Times New Roman" w:hAnsi="Times New Roman" w:cs="Times New Roman"/>
          <w:b/>
          <w:i/>
          <w:iCs/>
          <w:sz w:val="24"/>
          <w:szCs w:val="24"/>
          <w:lang w:val="sq-AL"/>
        </w:rPr>
        <w:t>s</w:t>
      </w:r>
    </w:p>
    <w:p w14:paraId="19C060C5" w14:textId="774BCF1C" w:rsidR="00510D41" w:rsidRDefault="00510D41" w:rsidP="00510D41">
      <w:pPr>
        <w:pStyle w:val="NoSpacing"/>
        <w:spacing w:line="276" w:lineRule="auto"/>
        <w:jc w:val="both"/>
        <w:rPr>
          <w:rFonts w:ascii="Times New Roman" w:hAnsi="Times New Roman" w:cs="Times New Roman"/>
          <w:sz w:val="24"/>
          <w:szCs w:val="24"/>
          <w:lang w:val="sq-AL"/>
        </w:rPr>
      </w:pPr>
      <w:r>
        <w:rPr>
          <w:rFonts w:ascii="Times New Roman" w:hAnsi="Times New Roman" w:cs="Times New Roman"/>
          <w:sz w:val="24"/>
          <w:szCs w:val="24"/>
          <w:lang w:val="sq-AL"/>
        </w:rPr>
        <w:t>Siçe cituam m</w:t>
      </w:r>
      <w:r w:rsidR="00CC3B60">
        <w:rPr>
          <w:rFonts w:ascii="Times New Roman" w:hAnsi="Times New Roman" w:cs="Times New Roman"/>
          <w:sz w:val="24"/>
          <w:szCs w:val="24"/>
          <w:lang w:val="sq-AL"/>
        </w:rPr>
        <w:t>ë</w:t>
      </w:r>
      <w:r>
        <w:rPr>
          <w:rFonts w:ascii="Times New Roman" w:hAnsi="Times New Roman" w:cs="Times New Roman"/>
          <w:sz w:val="24"/>
          <w:szCs w:val="24"/>
          <w:lang w:val="sq-AL"/>
        </w:rPr>
        <w:t xml:space="preserve"> lart, aktualisht,</w:t>
      </w:r>
      <w:r w:rsidRPr="008A6652">
        <w:rPr>
          <w:rFonts w:ascii="Times New Roman" w:hAnsi="Times New Roman" w:cs="Times New Roman"/>
          <w:sz w:val="24"/>
          <w:szCs w:val="24"/>
          <w:lang w:val="sq-AL"/>
        </w:rPr>
        <w:t xml:space="preserve"> nga Këshilltari i Etikës janë publikuar </w:t>
      </w:r>
      <w:r w:rsidRPr="008A6652">
        <w:rPr>
          <w:rFonts w:ascii="Times New Roman" w:hAnsi="Times New Roman" w:cs="Times New Roman"/>
          <w:i/>
          <w:iCs/>
          <w:sz w:val="24"/>
          <w:szCs w:val="24"/>
          <w:lang w:val="sq-AL"/>
        </w:rPr>
        <w:t>dy opinione për standardet etike të zbatueshme, në rastin e përdorimit të mediave sociale nga gjyqtarët dhe për përdorimin e telefonit celular nga gjyqtari në seancë gjyqësore</w:t>
      </w:r>
      <w:r>
        <w:rPr>
          <w:rFonts w:ascii="Times New Roman" w:hAnsi="Times New Roman" w:cs="Times New Roman"/>
          <w:sz w:val="24"/>
          <w:szCs w:val="24"/>
          <w:lang w:val="sq-AL"/>
        </w:rPr>
        <w:t>.</w:t>
      </w:r>
    </w:p>
    <w:p w14:paraId="2D8739F9" w14:textId="44DB764C" w:rsidR="00510D41" w:rsidRDefault="00510D41" w:rsidP="00510D41">
      <w:pPr>
        <w:pStyle w:val="NoSpacing"/>
        <w:spacing w:line="276" w:lineRule="auto"/>
        <w:jc w:val="both"/>
        <w:rPr>
          <w:rFonts w:ascii="Times New Roman" w:hAnsi="Times New Roman" w:cs="Times New Roman"/>
          <w:sz w:val="24"/>
          <w:szCs w:val="24"/>
          <w:lang w:val="sq-AL"/>
        </w:rPr>
      </w:pPr>
    </w:p>
    <w:p w14:paraId="3CA529AB" w14:textId="104D0F24" w:rsidR="00510D41" w:rsidRPr="008A6652" w:rsidRDefault="00510D41" w:rsidP="00510D41">
      <w:pPr>
        <w:jc w:val="both"/>
        <w:rPr>
          <w:rFonts w:ascii="Times New Roman" w:hAnsi="Times New Roman" w:cs="Times New Roman"/>
          <w:sz w:val="24"/>
          <w:szCs w:val="24"/>
          <w:lang w:val="sq-AL"/>
        </w:rPr>
      </w:pPr>
      <w:r>
        <w:rPr>
          <w:rFonts w:ascii="Times New Roman" w:hAnsi="Times New Roman" w:cs="Times New Roman"/>
          <w:sz w:val="24"/>
          <w:szCs w:val="24"/>
          <w:lang w:val="sq-AL"/>
        </w:rPr>
        <w:t>K</w:t>
      </w:r>
      <w:r w:rsidR="00CC3B60">
        <w:rPr>
          <w:rFonts w:ascii="Times New Roman" w:hAnsi="Times New Roman" w:cs="Times New Roman"/>
          <w:sz w:val="24"/>
          <w:szCs w:val="24"/>
          <w:lang w:val="sq-AL"/>
        </w:rPr>
        <w:t>ë</w:t>
      </w:r>
      <w:r>
        <w:rPr>
          <w:rFonts w:ascii="Times New Roman" w:hAnsi="Times New Roman" w:cs="Times New Roman"/>
          <w:sz w:val="24"/>
          <w:szCs w:val="24"/>
          <w:lang w:val="sq-AL"/>
        </w:rPr>
        <w:t>shtu,</w:t>
      </w:r>
      <w:r w:rsidRPr="008A6652">
        <w:rPr>
          <w:rFonts w:ascii="Times New Roman" w:hAnsi="Times New Roman" w:cs="Times New Roman"/>
          <w:sz w:val="24"/>
          <w:szCs w:val="24"/>
          <w:lang w:val="sq-AL"/>
        </w:rPr>
        <w:t xml:space="preserve"> në opinionin e dh</w:t>
      </w:r>
      <w:r>
        <w:rPr>
          <w:rFonts w:ascii="Times New Roman" w:hAnsi="Times New Roman" w:cs="Times New Roman"/>
          <w:sz w:val="24"/>
          <w:szCs w:val="24"/>
          <w:lang w:val="sq-AL"/>
        </w:rPr>
        <w:t>ë</w:t>
      </w:r>
      <w:r w:rsidRPr="008A6652">
        <w:rPr>
          <w:rFonts w:ascii="Times New Roman" w:hAnsi="Times New Roman" w:cs="Times New Roman"/>
          <w:sz w:val="24"/>
          <w:szCs w:val="24"/>
          <w:lang w:val="sq-AL"/>
        </w:rPr>
        <w:t>në nga Këshilltari i Etikës, në lidhje me</w:t>
      </w:r>
      <w:r>
        <w:rPr>
          <w:rFonts w:ascii="Times New Roman" w:hAnsi="Times New Roman" w:cs="Times New Roman"/>
          <w:sz w:val="24"/>
          <w:szCs w:val="24"/>
          <w:lang w:val="sq-AL"/>
        </w:rPr>
        <w:t xml:space="preserve"> kufijtë e</w:t>
      </w:r>
      <w:r w:rsidRPr="008A6652">
        <w:rPr>
          <w:rFonts w:ascii="Times New Roman" w:hAnsi="Times New Roman" w:cs="Times New Roman"/>
          <w:sz w:val="24"/>
          <w:szCs w:val="24"/>
          <w:lang w:val="sq-AL"/>
        </w:rPr>
        <w:t xml:space="preserve"> pë</w:t>
      </w:r>
      <w:r>
        <w:rPr>
          <w:rFonts w:ascii="Times New Roman" w:hAnsi="Times New Roman" w:cs="Times New Roman"/>
          <w:sz w:val="24"/>
          <w:szCs w:val="24"/>
          <w:lang w:val="sq-AL"/>
        </w:rPr>
        <w:t>rdorimit të</w:t>
      </w:r>
      <w:r w:rsidRPr="008A6652">
        <w:rPr>
          <w:rFonts w:ascii="Times New Roman" w:hAnsi="Times New Roman" w:cs="Times New Roman"/>
          <w:sz w:val="24"/>
          <w:szCs w:val="24"/>
          <w:lang w:val="sq-AL"/>
        </w:rPr>
        <w:t xml:space="preserve"> </w:t>
      </w:r>
      <w:r>
        <w:rPr>
          <w:rFonts w:ascii="Times New Roman" w:hAnsi="Times New Roman" w:cs="Times New Roman"/>
          <w:sz w:val="24"/>
          <w:szCs w:val="24"/>
          <w:lang w:val="sq-AL"/>
        </w:rPr>
        <w:t>rrjeteve/</w:t>
      </w:r>
      <w:r w:rsidRPr="008A6652">
        <w:rPr>
          <w:rFonts w:ascii="Times New Roman" w:hAnsi="Times New Roman" w:cs="Times New Roman"/>
          <w:sz w:val="24"/>
          <w:szCs w:val="24"/>
          <w:lang w:val="sq-AL"/>
        </w:rPr>
        <w:t xml:space="preserve">mediave sociale nga gjyqtarët citohet se: </w:t>
      </w:r>
    </w:p>
    <w:p w14:paraId="273C64F5" w14:textId="77777777" w:rsidR="00510D41" w:rsidRPr="00DF5DBB" w:rsidRDefault="00510D41" w:rsidP="00510D41">
      <w:pPr>
        <w:ind w:left="14" w:right="14"/>
        <w:jc w:val="both"/>
        <w:rPr>
          <w:rFonts w:ascii="Times New Roman" w:hAnsi="Times New Roman" w:cs="Times New Roman"/>
          <w:i/>
          <w:iCs/>
          <w:sz w:val="24"/>
          <w:szCs w:val="24"/>
        </w:rPr>
      </w:pPr>
      <w:r w:rsidRPr="00DF5DBB">
        <w:rPr>
          <w:rFonts w:ascii="Times New Roman" w:eastAsia="Times New Roman" w:hAnsi="Times New Roman" w:cs="Times New Roman"/>
          <w:i/>
          <w:iCs/>
          <w:sz w:val="24"/>
          <w:szCs w:val="24"/>
        </w:rPr>
        <w:t>“</w:t>
      </w:r>
      <w:r>
        <w:rPr>
          <w:rFonts w:ascii="Times New Roman" w:eastAsia="Times New Roman" w:hAnsi="Times New Roman" w:cs="Times New Roman"/>
          <w:i/>
          <w:iCs/>
          <w:sz w:val="24"/>
          <w:szCs w:val="24"/>
        </w:rPr>
        <w:t xml:space="preserve">- </w:t>
      </w:r>
      <w:r w:rsidRPr="00DF5DBB">
        <w:rPr>
          <w:rFonts w:ascii="Times New Roman" w:eastAsia="Times New Roman" w:hAnsi="Times New Roman" w:cs="Times New Roman"/>
          <w:i/>
          <w:iCs/>
          <w:sz w:val="24"/>
          <w:szCs w:val="24"/>
        </w:rPr>
        <w:t xml:space="preserve">Kodi i Etikës Gjyqësore nuk ndalon përdorimin e mediave/rrjeteve sociale, por kërkon nga gjyqtarët të tregojnë vetëpërmbajtje (pika 9, shkronja 'k'). Kjo do të thotë se, gjyqtarët mund të përdorin mediat/rrjetet sociale </w:t>
      </w:r>
      <w:bookmarkStart w:id="0" w:name="_GoBack"/>
      <w:bookmarkEnd w:id="0"/>
      <w:r w:rsidRPr="00DF5DBB">
        <w:rPr>
          <w:rFonts w:ascii="Times New Roman" w:eastAsia="Times New Roman" w:hAnsi="Times New Roman" w:cs="Times New Roman"/>
          <w:i/>
          <w:iCs/>
          <w:sz w:val="24"/>
          <w:szCs w:val="24"/>
        </w:rPr>
        <w:t xml:space="preserve">për të bërë deklarata në lidhje me ligjin, sistemin ligjor ose </w:t>
      </w:r>
      <w:r w:rsidRPr="00DF5DBB">
        <w:rPr>
          <w:rFonts w:ascii="Times New Roman" w:eastAsia="Times New Roman" w:hAnsi="Times New Roman" w:cs="Times New Roman"/>
          <w:i/>
          <w:iCs/>
          <w:sz w:val="24"/>
          <w:szCs w:val="24"/>
        </w:rPr>
        <w:lastRenderedPageBreak/>
        <w:t>administrimin e drejtësisë, por duhet të marrin në konsideratë sa më poshtë kur postojnë një koment apo nëse komunikojnë virtualisht me persona të tjerë në internet:</w:t>
      </w:r>
    </w:p>
    <w:p w14:paraId="52F9CAB1" w14:textId="77777777" w:rsidR="00510D41" w:rsidRPr="00DF5DBB" w:rsidRDefault="00510D41" w:rsidP="00510D41">
      <w:pPr>
        <w:pStyle w:val="ListParagraph"/>
        <w:numPr>
          <w:ilvl w:val="0"/>
          <w:numId w:val="12"/>
        </w:numPr>
        <w:ind w:right="14"/>
        <w:jc w:val="both"/>
        <w:rPr>
          <w:rFonts w:ascii="Times New Roman" w:hAnsi="Times New Roman" w:cs="Times New Roman"/>
          <w:i/>
          <w:iCs/>
          <w:sz w:val="24"/>
          <w:szCs w:val="24"/>
        </w:rPr>
      </w:pPr>
      <w:r w:rsidRPr="008A2965">
        <w:rPr>
          <w:rFonts w:ascii="Times New Roman" w:eastAsia="Times New Roman" w:hAnsi="Times New Roman" w:cs="Times New Roman"/>
          <w:b/>
          <w:i/>
          <w:iCs/>
          <w:sz w:val="24"/>
          <w:szCs w:val="24"/>
        </w:rPr>
        <w:t xml:space="preserve">të njëjtat standarde </w:t>
      </w:r>
      <w:r w:rsidRPr="00DF5DBB">
        <w:rPr>
          <w:rFonts w:ascii="Times New Roman" w:eastAsia="Times New Roman" w:hAnsi="Times New Roman" w:cs="Times New Roman"/>
          <w:i/>
          <w:iCs/>
          <w:sz w:val="24"/>
          <w:szCs w:val="24"/>
        </w:rPr>
        <w:t xml:space="preserve">për komunikimet gjyqësore që zbatohen gjatë ushtrimit të funksionit, duhet </w:t>
      </w:r>
      <w:r w:rsidRPr="00DF5DBB">
        <w:rPr>
          <w:i/>
          <w:iCs/>
          <w:noProof/>
          <w:lang w:val="en-US"/>
        </w:rPr>
        <w:drawing>
          <wp:inline distT="0" distB="0" distL="0" distR="0" wp14:anchorId="3E4DA6F5" wp14:editId="440AE5E3">
            <wp:extent cx="3048" cy="3048"/>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9217" name="Picture 19217"/>
                    <pic:cNvPicPr/>
                  </pic:nvPicPr>
                  <pic:blipFill>
                    <a:blip r:embed="rId8"/>
                    <a:stretch>
                      <a:fillRect/>
                    </a:stretch>
                  </pic:blipFill>
                  <pic:spPr>
                    <a:xfrm>
                      <a:off x="0" y="0"/>
                      <a:ext cx="3048" cy="3048"/>
                    </a:xfrm>
                    <a:prstGeom prst="rect">
                      <a:avLst/>
                    </a:prstGeom>
                  </pic:spPr>
                </pic:pic>
              </a:graphicData>
            </a:graphic>
          </wp:inline>
        </w:drawing>
      </w:r>
      <w:r w:rsidRPr="00DF5DBB">
        <w:rPr>
          <w:rFonts w:ascii="Times New Roman" w:eastAsia="Times New Roman" w:hAnsi="Times New Roman" w:cs="Times New Roman"/>
          <w:i/>
          <w:iCs/>
          <w:sz w:val="24"/>
          <w:szCs w:val="24"/>
        </w:rPr>
        <w:t>të zbatohen me të njëjtën forcë edhe për deklaratat/komentet/komunikimet në internet dhe postimet në mediat sociale;</w:t>
      </w:r>
    </w:p>
    <w:p w14:paraId="53E1D146" w14:textId="77777777" w:rsidR="00510D41" w:rsidRPr="00DF5DBB" w:rsidRDefault="00510D41" w:rsidP="00510D41">
      <w:pPr>
        <w:numPr>
          <w:ilvl w:val="0"/>
          <w:numId w:val="12"/>
        </w:numPr>
        <w:ind w:right="14"/>
        <w:jc w:val="both"/>
        <w:rPr>
          <w:rFonts w:ascii="Times New Roman" w:hAnsi="Times New Roman" w:cs="Times New Roman"/>
          <w:i/>
          <w:iCs/>
          <w:sz w:val="24"/>
          <w:szCs w:val="24"/>
        </w:rPr>
      </w:pPr>
      <w:r w:rsidRPr="00DF5DBB">
        <w:rPr>
          <w:rFonts w:ascii="Times New Roman" w:eastAsia="Times New Roman" w:hAnsi="Times New Roman" w:cs="Times New Roman"/>
          <w:i/>
          <w:iCs/>
          <w:sz w:val="24"/>
          <w:szCs w:val="24"/>
        </w:rPr>
        <w:t xml:space="preserve">për shkak të mungesës së kontrollit mbi shpërndarjen dhe qëndrueshmërinë e deklaratave/komenteve/komunikimeve në internet, </w:t>
      </w:r>
      <w:r w:rsidRPr="008A2965">
        <w:rPr>
          <w:rFonts w:ascii="Times New Roman" w:eastAsia="Times New Roman" w:hAnsi="Times New Roman" w:cs="Times New Roman"/>
          <w:b/>
          <w:i/>
          <w:iCs/>
          <w:sz w:val="24"/>
          <w:szCs w:val="24"/>
        </w:rPr>
        <w:t>gjyqtarët duhet të tregojnë kujdes e vetëpërmbajtje,</w:t>
      </w:r>
      <w:r w:rsidRPr="00DF5DBB">
        <w:rPr>
          <w:rFonts w:ascii="Times New Roman" w:eastAsia="Times New Roman" w:hAnsi="Times New Roman" w:cs="Times New Roman"/>
          <w:i/>
          <w:iCs/>
          <w:sz w:val="24"/>
          <w:szCs w:val="24"/>
        </w:rPr>
        <w:t xml:space="preserve"> si dhe duhet të marrin në konsideratë përhapjen e gjerë që informacioni mund të ketë në internet, që jo domosdoshmërisht mund të përfshijë vetëm 'miqtë virtualë' e gjyqtarit (pavarësisht kushteve të privatësisë që gjyqtari mund të ketë vënë);</w:t>
      </w:r>
    </w:p>
    <w:p w14:paraId="192656A1" w14:textId="77777777" w:rsidR="00510D41" w:rsidRPr="00DF5DBB" w:rsidRDefault="00510D41" w:rsidP="00510D41">
      <w:pPr>
        <w:numPr>
          <w:ilvl w:val="0"/>
          <w:numId w:val="12"/>
        </w:numPr>
        <w:ind w:right="14"/>
        <w:jc w:val="both"/>
        <w:rPr>
          <w:rFonts w:ascii="Times New Roman" w:hAnsi="Times New Roman" w:cs="Times New Roman"/>
          <w:i/>
          <w:iCs/>
          <w:sz w:val="24"/>
          <w:szCs w:val="24"/>
        </w:rPr>
      </w:pPr>
      <w:r w:rsidRPr="00DF5DBB">
        <w:rPr>
          <w:rFonts w:ascii="Times New Roman" w:eastAsia="Times New Roman" w:hAnsi="Times New Roman" w:cs="Times New Roman"/>
          <w:i/>
          <w:iCs/>
          <w:sz w:val="24"/>
          <w:szCs w:val="24"/>
        </w:rPr>
        <w:t xml:space="preserve">ndërsa deklaratat në lidhje me ligjin, sistemin ligjor ose administrimin e drejtësisë janë përgjithësisht të lejueshme, gjyqtarët </w:t>
      </w:r>
      <w:r w:rsidRPr="000A16F3">
        <w:rPr>
          <w:rFonts w:ascii="Times New Roman" w:eastAsia="Times New Roman" w:hAnsi="Times New Roman" w:cs="Times New Roman"/>
          <w:b/>
          <w:i/>
          <w:iCs/>
          <w:sz w:val="24"/>
          <w:szCs w:val="24"/>
        </w:rPr>
        <w:t xml:space="preserve">nuk mund të përfshihen në komente të ndaluara shoqërore </w:t>
      </w:r>
      <w:r w:rsidRPr="000A16F3">
        <w:rPr>
          <w:rFonts w:ascii="Times New Roman" w:hAnsi="Times New Roman" w:cs="Times New Roman"/>
          <w:b/>
          <w:i/>
          <w:iCs/>
          <w:noProof/>
          <w:sz w:val="24"/>
          <w:szCs w:val="24"/>
          <w:lang w:val="en-US"/>
        </w:rPr>
        <w:drawing>
          <wp:inline distT="0" distB="0" distL="0" distR="0" wp14:anchorId="712209FB" wp14:editId="41E5DE31">
            <wp:extent cx="3048" cy="3049"/>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9220" name="Picture 19220"/>
                    <pic:cNvPicPr/>
                  </pic:nvPicPr>
                  <pic:blipFill>
                    <a:blip r:embed="rId9"/>
                    <a:stretch>
                      <a:fillRect/>
                    </a:stretch>
                  </pic:blipFill>
                  <pic:spPr>
                    <a:xfrm>
                      <a:off x="0" y="0"/>
                      <a:ext cx="3048" cy="3049"/>
                    </a:xfrm>
                    <a:prstGeom prst="rect">
                      <a:avLst/>
                    </a:prstGeom>
                  </pic:spPr>
                </pic:pic>
              </a:graphicData>
            </a:graphic>
          </wp:inline>
        </w:drawing>
      </w:r>
      <w:r w:rsidRPr="000A16F3">
        <w:rPr>
          <w:rFonts w:ascii="Times New Roman" w:eastAsia="Times New Roman" w:hAnsi="Times New Roman" w:cs="Times New Roman"/>
          <w:b/>
          <w:i/>
          <w:iCs/>
          <w:sz w:val="24"/>
          <w:szCs w:val="24"/>
        </w:rPr>
        <w:t>ose politike në mediat sociale;</w:t>
      </w:r>
      <w:r w:rsidRPr="00DF5DBB">
        <w:rPr>
          <w:rFonts w:ascii="Times New Roman" w:eastAsia="Times New Roman" w:hAnsi="Times New Roman" w:cs="Times New Roman"/>
          <w:i/>
          <w:iCs/>
          <w:sz w:val="24"/>
          <w:szCs w:val="24"/>
        </w:rPr>
        <w:t xml:space="preserve"> dhe</w:t>
      </w:r>
    </w:p>
    <w:p w14:paraId="6ED61D0D" w14:textId="77777777" w:rsidR="00510D41" w:rsidRPr="002636C8" w:rsidRDefault="00510D41" w:rsidP="00510D41">
      <w:pPr>
        <w:numPr>
          <w:ilvl w:val="0"/>
          <w:numId w:val="12"/>
        </w:numPr>
        <w:spacing w:after="285"/>
        <w:ind w:right="14"/>
        <w:jc w:val="both"/>
        <w:rPr>
          <w:rFonts w:ascii="Times New Roman" w:hAnsi="Times New Roman" w:cs="Times New Roman"/>
          <w:i/>
          <w:iCs/>
          <w:sz w:val="24"/>
          <w:szCs w:val="24"/>
        </w:rPr>
      </w:pPr>
      <w:r w:rsidRPr="00DF5DBB">
        <w:rPr>
          <w:rFonts w:ascii="Times New Roman" w:eastAsia="Times New Roman" w:hAnsi="Times New Roman" w:cs="Times New Roman"/>
          <w:i/>
          <w:iCs/>
          <w:sz w:val="24"/>
          <w:szCs w:val="24"/>
        </w:rPr>
        <w:t xml:space="preserve">gjyqtarët duhet të </w:t>
      </w:r>
      <w:r w:rsidRPr="000A16F3">
        <w:rPr>
          <w:rFonts w:ascii="Times New Roman" w:eastAsia="Times New Roman" w:hAnsi="Times New Roman" w:cs="Times New Roman"/>
          <w:b/>
          <w:i/>
          <w:iCs/>
          <w:sz w:val="24"/>
          <w:szCs w:val="24"/>
        </w:rPr>
        <w:t>vlerësojnë me kujdes se çfarë synojnë të postojnë dhe të monitorojnë vazhdimisht komunikimet dhe postimet</w:t>
      </w:r>
      <w:r w:rsidRPr="00DF5DBB">
        <w:rPr>
          <w:rFonts w:ascii="Times New Roman" w:eastAsia="Times New Roman" w:hAnsi="Times New Roman" w:cs="Times New Roman"/>
          <w:i/>
          <w:iCs/>
          <w:sz w:val="24"/>
          <w:szCs w:val="24"/>
        </w:rPr>
        <w:t xml:space="preserve"> e tyre në media sociale, për të siguruar besimin e publikut në integritetin, pavarësinë dhe paanësinë e gjyqësorit.</w:t>
      </w:r>
    </w:p>
    <w:p w14:paraId="27256F44" w14:textId="77777777" w:rsidR="00510D41" w:rsidRPr="002636C8" w:rsidRDefault="00510D41" w:rsidP="00510D41">
      <w:pPr>
        <w:pStyle w:val="ListParagraph"/>
        <w:numPr>
          <w:ilvl w:val="0"/>
          <w:numId w:val="14"/>
        </w:numPr>
        <w:spacing w:after="226"/>
        <w:ind w:right="14"/>
        <w:jc w:val="both"/>
        <w:rPr>
          <w:rFonts w:ascii="Times New Roman" w:eastAsia="Times New Roman" w:hAnsi="Times New Roman" w:cs="Times New Roman"/>
          <w:i/>
          <w:iCs/>
          <w:sz w:val="24"/>
          <w:szCs w:val="24"/>
        </w:rPr>
      </w:pPr>
      <w:r w:rsidRPr="00DF5DBB">
        <w:rPr>
          <w:noProof/>
          <w:lang w:val="en-US"/>
        </w:rPr>
        <w:drawing>
          <wp:anchor distT="0" distB="0" distL="114300" distR="114300" simplePos="0" relativeHeight="251659264" behindDoc="0" locked="0" layoutInCell="1" allowOverlap="0" wp14:anchorId="2A89C8F5" wp14:editId="02EF199A">
            <wp:simplePos x="0" y="0"/>
            <wp:positionH relativeFrom="page">
              <wp:posOffset>3081528</wp:posOffset>
            </wp:positionH>
            <wp:positionV relativeFrom="page">
              <wp:posOffset>533487</wp:posOffset>
            </wp:positionV>
            <wp:extent cx="3049" cy="3049"/>
            <wp:effectExtent l="0" t="0" r="0" b="0"/>
            <wp:wrapTopAndBottom/>
            <wp:docPr id="3" name="Picture 3"/>
            <wp:cNvGraphicFramePr/>
            <a:graphic xmlns:a="http://schemas.openxmlformats.org/drawingml/2006/main">
              <a:graphicData uri="http://schemas.openxmlformats.org/drawingml/2006/picture">
                <pic:pic xmlns:pic="http://schemas.openxmlformats.org/drawingml/2006/picture">
                  <pic:nvPicPr>
                    <pic:cNvPr id="19214" name="Picture 19214"/>
                    <pic:cNvPicPr/>
                  </pic:nvPicPr>
                  <pic:blipFill>
                    <a:blip r:embed="rId10"/>
                    <a:stretch>
                      <a:fillRect/>
                    </a:stretch>
                  </pic:blipFill>
                  <pic:spPr>
                    <a:xfrm>
                      <a:off x="0" y="0"/>
                      <a:ext cx="3049" cy="3049"/>
                    </a:xfrm>
                    <a:prstGeom prst="rect">
                      <a:avLst/>
                    </a:prstGeom>
                  </pic:spPr>
                </pic:pic>
              </a:graphicData>
            </a:graphic>
          </wp:anchor>
        </w:drawing>
      </w:r>
      <w:r w:rsidRPr="00DF5DBB">
        <w:rPr>
          <w:noProof/>
          <w:lang w:val="en-US"/>
        </w:rPr>
        <w:drawing>
          <wp:anchor distT="0" distB="0" distL="114300" distR="114300" simplePos="0" relativeHeight="251660288" behindDoc="0" locked="0" layoutInCell="1" allowOverlap="0" wp14:anchorId="29B5DE12" wp14:editId="41152A10">
            <wp:simplePos x="0" y="0"/>
            <wp:positionH relativeFrom="page">
              <wp:posOffset>6751320</wp:posOffset>
            </wp:positionH>
            <wp:positionV relativeFrom="page">
              <wp:posOffset>1996766</wp:posOffset>
            </wp:positionV>
            <wp:extent cx="3049" cy="3049"/>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19216" name="Picture 19216"/>
                    <pic:cNvPicPr/>
                  </pic:nvPicPr>
                  <pic:blipFill>
                    <a:blip r:embed="rId11"/>
                    <a:stretch>
                      <a:fillRect/>
                    </a:stretch>
                  </pic:blipFill>
                  <pic:spPr>
                    <a:xfrm>
                      <a:off x="0" y="0"/>
                      <a:ext cx="3049" cy="3049"/>
                    </a:xfrm>
                    <a:prstGeom prst="rect">
                      <a:avLst/>
                    </a:prstGeom>
                  </pic:spPr>
                </pic:pic>
              </a:graphicData>
            </a:graphic>
          </wp:anchor>
        </w:drawing>
      </w:r>
      <w:r w:rsidRPr="00DF5DBB">
        <w:rPr>
          <w:noProof/>
          <w:lang w:val="en-US"/>
        </w:rPr>
        <w:drawing>
          <wp:anchor distT="0" distB="0" distL="114300" distR="114300" simplePos="0" relativeHeight="251661312" behindDoc="0" locked="0" layoutInCell="1" allowOverlap="0" wp14:anchorId="63FB8A44" wp14:editId="43F44678">
            <wp:simplePos x="0" y="0"/>
            <wp:positionH relativeFrom="page">
              <wp:posOffset>6757416</wp:posOffset>
            </wp:positionH>
            <wp:positionV relativeFrom="page">
              <wp:posOffset>3880738</wp:posOffset>
            </wp:positionV>
            <wp:extent cx="3048" cy="3049"/>
            <wp:effectExtent l="0" t="0" r="0"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19219" name="Picture 19219"/>
                    <pic:cNvPicPr/>
                  </pic:nvPicPr>
                  <pic:blipFill>
                    <a:blip r:embed="rId12"/>
                    <a:stretch>
                      <a:fillRect/>
                    </a:stretch>
                  </pic:blipFill>
                  <pic:spPr>
                    <a:xfrm>
                      <a:off x="0" y="0"/>
                      <a:ext cx="3048" cy="3049"/>
                    </a:xfrm>
                    <a:prstGeom prst="rect">
                      <a:avLst/>
                    </a:prstGeom>
                  </pic:spPr>
                </pic:pic>
              </a:graphicData>
            </a:graphic>
          </wp:anchor>
        </w:drawing>
      </w:r>
      <w:r w:rsidRPr="00DF5DBB">
        <w:rPr>
          <w:noProof/>
          <w:lang w:val="en-US"/>
        </w:rPr>
        <w:drawing>
          <wp:anchor distT="0" distB="0" distL="114300" distR="114300" simplePos="0" relativeHeight="251662336" behindDoc="0" locked="0" layoutInCell="1" allowOverlap="0" wp14:anchorId="0D40356D" wp14:editId="734E432D">
            <wp:simplePos x="0" y="0"/>
            <wp:positionH relativeFrom="page">
              <wp:posOffset>6760464</wp:posOffset>
            </wp:positionH>
            <wp:positionV relativeFrom="page">
              <wp:posOffset>3295426</wp:posOffset>
            </wp:positionV>
            <wp:extent cx="3048" cy="3049"/>
            <wp:effectExtent l="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19218" name="Picture 19218"/>
                    <pic:cNvPicPr/>
                  </pic:nvPicPr>
                  <pic:blipFill>
                    <a:blip r:embed="rId13"/>
                    <a:stretch>
                      <a:fillRect/>
                    </a:stretch>
                  </pic:blipFill>
                  <pic:spPr>
                    <a:xfrm>
                      <a:off x="0" y="0"/>
                      <a:ext cx="3048" cy="3049"/>
                    </a:xfrm>
                    <a:prstGeom prst="rect">
                      <a:avLst/>
                    </a:prstGeom>
                  </pic:spPr>
                </pic:pic>
              </a:graphicData>
            </a:graphic>
          </wp:anchor>
        </w:drawing>
      </w:r>
      <w:r w:rsidRPr="00DF5DBB">
        <w:rPr>
          <w:noProof/>
          <w:lang w:val="en-US"/>
        </w:rPr>
        <w:drawing>
          <wp:anchor distT="0" distB="0" distL="114300" distR="114300" simplePos="0" relativeHeight="251663360" behindDoc="0" locked="0" layoutInCell="1" allowOverlap="0" wp14:anchorId="1C74187A" wp14:editId="2CDBAF01">
            <wp:simplePos x="0" y="0"/>
            <wp:positionH relativeFrom="page">
              <wp:posOffset>6751320</wp:posOffset>
            </wp:positionH>
            <wp:positionV relativeFrom="page">
              <wp:posOffset>5350114</wp:posOffset>
            </wp:positionV>
            <wp:extent cx="3049" cy="3049"/>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19221" name="Picture 19221"/>
                    <pic:cNvPicPr/>
                  </pic:nvPicPr>
                  <pic:blipFill>
                    <a:blip r:embed="rId14"/>
                    <a:stretch>
                      <a:fillRect/>
                    </a:stretch>
                  </pic:blipFill>
                  <pic:spPr>
                    <a:xfrm>
                      <a:off x="0" y="0"/>
                      <a:ext cx="3049" cy="3049"/>
                    </a:xfrm>
                    <a:prstGeom prst="rect">
                      <a:avLst/>
                    </a:prstGeom>
                  </pic:spPr>
                </pic:pic>
              </a:graphicData>
            </a:graphic>
          </wp:anchor>
        </w:drawing>
      </w:r>
      <w:r w:rsidRPr="00DF5DBB">
        <w:rPr>
          <w:noProof/>
          <w:lang w:val="en-US"/>
        </w:rPr>
        <w:drawing>
          <wp:anchor distT="0" distB="0" distL="114300" distR="114300" simplePos="0" relativeHeight="251664384" behindDoc="0" locked="0" layoutInCell="1" allowOverlap="0" wp14:anchorId="02D57310" wp14:editId="51ABDB0B">
            <wp:simplePos x="0" y="0"/>
            <wp:positionH relativeFrom="page">
              <wp:posOffset>990600</wp:posOffset>
            </wp:positionH>
            <wp:positionV relativeFrom="page">
              <wp:posOffset>6685356</wp:posOffset>
            </wp:positionV>
            <wp:extent cx="3048" cy="3049"/>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19222" name="Picture 19222"/>
                    <pic:cNvPicPr/>
                  </pic:nvPicPr>
                  <pic:blipFill>
                    <a:blip r:embed="rId15"/>
                    <a:stretch>
                      <a:fillRect/>
                    </a:stretch>
                  </pic:blipFill>
                  <pic:spPr>
                    <a:xfrm>
                      <a:off x="0" y="0"/>
                      <a:ext cx="3048" cy="3049"/>
                    </a:xfrm>
                    <a:prstGeom prst="rect">
                      <a:avLst/>
                    </a:prstGeom>
                  </pic:spPr>
                </pic:pic>
              </a:graphicData>
            </a:graphic>
          </wp:anchor>
        </w:drawing>
      </w:r>
      <w:r w:rsidRPr="00DF5DBB">
        <w:rPr>
          <w:noProof/>
          <w:lang w:val="en-US"/>
        </w:rPr>
        <w:drawing>
          <wp:anchor distT="0" distB="0" distL="114300" distR="114300" simplePos="0" relativeHeight="251665408" behindDoc="0" locked="0" layoutInCell="1" allowOverlap="0" wp14:anchorId="48FF119C" wp14:editId="7C536BA1">
            <wp:simplePos x="0" y="0"/>
            <wp:positionH relativeFrom="page">
              <wp:posOffset>6769608</wp:posOffset>
            </wp:positionH>
            <wp:positionV relativeFrom="page">
              <wp:posOffset>6715841</wp:posOffset>
            </wp:positionV>
            <wp:extent cx="3049" cy="3049"/>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19223" name="Picture 19223"/>
                    <pic:cNvPicPr/>
                  </pic:nvPicPr>
                  <pic:blipFill>
                    <a:blip r:embed="rId13"/>
                    <a:stretch>
                      <a:fillRect/>
                    </a:stretch>
                  </pic:blipFill>
                  <pic:spPr>
                    <a:xfrm>
                      <a:off x="0" y="0"/>
                      <a:ext cx="3049" cy="3049"/>
                    </a:xfrm>
                    <a:prstGeom prst="rect">
                      <a:avLst/>
                    </a:prstGeom>
                  </pic:spPr>
                </pic:pic>
              </a:graphicData>
            </a:graphic>
          </wp:anchor>
        </w:drawing>
      </w:r>
      <w:r w:rsidRPr="00DF5DBB">
        <w:rPr>
          <w:noProof/>
          <w:lang w:val="en-US"/>
        </w:rPr>
        <w:drawing>
          <wp:anchor distT="0" distB="0" distL="114300" distR="114300" simplePos="0" relativeHeight="251666432" behindDoc="0" locked="0" layoutInCell="1" allowOverlap="0" wp14:anchorId="2754F727" wp14:editId="019A49CB">
            <wp:simplePos x="0" y="0"/>
            <wp:positionH relativeFrom="page">
              <wp:posOffset>6766560</wp:posOffset>
            </wp:positionH>
            <wp:positionV relativeFrom="page">
              <wp:posOffset>7584663</wp:posOffset>
            </wp:positionV>
            <wp:extent cx="3048" cy="3048"/>
            <wp:effectExtent l="0" t="0" r="0" b="0"/>
            <wp:wrapSquare wrapText="bothSides"/>
            <wp:docPr id="10" name="Picture 10"/>
            <wp:cNvGraphicFramePr/>
            <a:graphic xmlns:a="http://schemas.openxmlformats.org/drawingml/2006/main">
              <a:graphicData uri="http://schemas.openxmlformats.org/drawingml/2006/picture">
                <pic:pic xmlns:pic="http://schemas.openxmlformats.org/drawingml/2006/picture">
                  <pic:nvPicPr>
                    <pic:cNvPr id="19224" name="Picture 19224"/>
                    <pic:cNvPicPr/>
                  </pic:nvPicPr>
                  <pic:blipFill>
                    <a:blip r:embed="rId8"/>
                    <a:stretch>
                      <a:fillRect/>
                    </a:stretch>
                  </pic:blipFill>
                  <pic:spPr>
                    <a:xfrm>
                      <a:off x="0" y="0"/>
                      <a:ext cx="3048" cy="3048"/>
                    </a:xfrm>
                    <a:prstGeom prst="rect">
                      <a:avLst/>
                    </a:prstGeom>
                  </pic:spPr>
                </pic:pic>
              </a:graphicData>
            </a:graphic>
          </wp:anchor>
        </w:drawing>
      </w:r>
      <w:r w:rsidRPr="00DF5DBB">
        <w:rPr>
          <w:noProof/>
          <w:lang w:val="en-US"/>
        </w:rPr>
        <w:drawing>
          <wp:anchor distT="0" distB="0" distL="114300" distR="114300" simplePos="0" relativeHeight="251667456" behindDoc="0" locked="0" layoutInCell="1" allowOverlap="0" wp14:anchorId="170DB42F" wp14:editId="03C634D6">
            <wp:simplePos x="0" y="0"/>
            <wp:positionH relativeFrom="page">
              <wp:posOffset>6781800</wp:posOffset>
            </wp:positionH>
            <wp:positionV relativeFrom="page">
              <wp:posOffset>8340690</wp:posOffset>
            </wp:positionV>
            <wp:extent cx="3048" cy="3048"/>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9225" name="Picture 19225"/>
                    <pic:cNvPicPr/>
                  </pic:nvPicPr>
                  <pic:blipFill>
                    <a:blip r:embed="rId16"/>
                    <a:stretch>
                      <a:fillRect/>
                    </a:stretch>
                  </pic:blipFill>
                  <pic:spPr>
                    <a:xfrm>
                      <a:off x="0" y="0"/>
                      <a:ext cx="3048" cy="3048"/>
                    </a:xfrm>
                    <a:prstGeom prst="rect">
                      <a:avLst/>
                    </a:prstGeom>
                  </pic:spPr>
                </pic:pic>
              </a:graphicData>
            </a:graphic>
          </wp:anchor>
        </w:drawing>
      </w:r>
      <w:r w:rsidRPr="002636C8">
        <w:rPr>
          <w:rFonts w:ascii="Times New Roman" w:eastAsia="Times New Roman" w:hAnsi="Times New Roman" w:cs="Times New Roman"/>
          <w:i/>
          <w:iCs/>
          <w:sz w:val="24"/>
          <w:szCs w:val="24"/>
        </w:rPr>
        <w:t>Mediat sociale janë bërë një formë e përhapur e komunikimit dhe socializimit në jetën e</w:t>
      </w:r>
      <w:r w:rsidRPr="002636C8">
        <w:rPr>
          <w:rFonts w:ascii="Times New Roman" w:hAnsi="Times New Roman" w:cs="Times New Roman"/>
          <w:i/>
          <w:iCs/>
          <w:sz w:val="24"/>
          <w:szCs w:val="24"/>
        </w:rPr>
        <w:t xml:space="preserve"> </w:t>
      </w:r>
      <w:r w:rsidRPr="002636C8">
        <w:rPr>
          <w:rFonts w:ascii="Times New Roman" w:eastAsia="Times New Roman" w:hAnsi="Times New Roman" w:cs="Times New Roman"/>
          <w:i/>
          <w:iCs/>
          <w:sz w:val="24"/>
          <w:szCs w:val="24"/>
        </w:rPr>
        <w:t xml:space="preserve">përditshme. Mediat sociale përdoren zakonisht për të shkëmbyer informacione, për t'u lidhur me rrjetin, për t'u lidhur me miqtë dhe për të shprehur mendimet. Gjyqtarët nuk bëjnë përjashtim dhe as nuk mund t'ju kërkohet ndalimi i përdorimit të rrjeteve sociale, si në aspektin profesional ashtu edhe në atë personal. Por, duhet mbajtur në konsideratë fakti se, përdorimi i mediave apo rrjeteve sociale, rregullohet nga të njëjtat rregulla që rregullojnë deklaratat apo komunikimet e bëra në çdo kontekst tjetër. </w:t>
      </w:r>
      <w:r w:rsidRPr="002636C8">
        <w:rPr>
          <w:rFonts w:ascii="Times New Roman" w:eastAsia="Times New Roman" w:hAnsi="Times New Roman" w:cs="Times New Roman"/>
          <w:b/>
          <w:i/>
          <w:iCs/>
          <w:sz w:val="24"/>
          <w:szCs w:val="24"/>
        </w:rPr>
        <w:t>Kjo do të thotë se Kodi i Etikës do të gjejë të njëjtin zbatim si për sjelljen apo komunikimet 'tradicionale' (sjellja e tij zyrtare apo private), ashtu edhe për sjelljen apo komunikimet në internet</w:t>
      </w:r>
      <w:r w:rsidRPr="002636C8">
        <w:rPr>
          <w:rFonts w:ascii="Times New Roman" w:eastAsia="Times New Roman" w:hAnsi="Times New Roman" w:cs="Times New Roman"/>
          <w:i/>
          <w:iCs/>
          <w:sz w:val="24"/>
          <w:szCs w:val="24"/>
        </w:rPr>
        <w:t xml:space="preserve">. Në këtë vështrim, gjyqtari duhet të ruajë dinjitetin, të garantojë pavarësinë e gjyqësorit dhe paanësinë e tij, të ketë në konsideratë përgjegjësitë e funksionit që ushtron, të shmangë çdo sjellje të pahijshme dhe të tregojë vetëpërmbajtje në aktivitetet e tij — edhe gjatë komunikimeve në internet apo në </w:t>
      </w:r>
      <w:proofErr w:type="gramStart"/>
      <w:r w:rsidRPr="002636C8">
        <w:rPr>
          <w:rFonts w:ascii="Times New Roman" w:eastAsia="Times New Roman" w:hAnsi="Times New Roman" w:cs="Times New Roman"/>
          <w:i/>
          <w:iCs/>
          <w:sz w:val="24"/>
          <w:szCs w:val="24"/>
        </w:rPr>
        <w:t>përdorimin  e</w:t>
      </w:r>
      <w:proofErr w:type="gramEnd"/>
      <w:r w:rsidRPr="002636C8">
        <w:rPr>
          <w:rFonts w:ascii="Times New Roman" w:eastAsia="Times New Roman" w:hAnsi="Times New Roman" w:cs="Times New Roman"/>
          <w:i/>
          <w:iCs/>
          <w:sz w:val="24"/>
          <w:szCs w:val="24"/>
        </w:rPr>
        <w:t xml:space="preserve"> mediave/rrjeteve sociale.</w:t>
      </w:r>
    </w:p>
    <w:p w14:paraId="622A3AC6" w14:textId="77777777" w:rsidR="00510D41" w:rsidRPr="00DF5DBB" w:rsidRDefault="00510D41" w:rsidP="00510D41">
      <w:pPr>
        <w:pStyle w:val="ListParagraph"/>
        <w:spacing w:after="0" w:line="278" w:lineRule="auto"/>
        <w:ind w:left="14"/>
        <w:jc w:val="both"/>
        <w:rPr>
          <w:rFonts w:ascii="Times New Roman" w:eastAsia="Times New Roman" w:hAnsi="Times New Roman" w:cs="Times New Roman"/>
          <w:i/>
          <w:iCs/>
          <w:sz w:val="24"/>
          <w:szCs w:val="24"/>
        </w:rPr>
      </w:pPr>
    </w:p>
    <w:p w14:paraId="091DAB2E" w14:textId="77777777" w:rsidR="00510D41" w:rsidRPr="002C691C" w:rsidRDefault="00510D41" w:rsidP="00510D41">
      <w:pPr>
        <w:pStyle w:val="ListParagraph"/>
        <w:numPr>
          <w:ilvl w:val="0"/>
          <w:numId w:val="14"/>
        </w:numPr>
        <w:spacing w:after="286"/>
        <w:ind w:right="14"/>
        <w:jc w:val="both"/>
        <w:rPr>
          <w:rFonts w:ascii="Times New Roman" w:hAnsi="Times New Roman" w:cs="Times New Roman"/>
          <w:i/>
          <w:iCs/>
          <w:sz w:val="24"/>
          <w:szCs w:val="24"/>
        </w:rPr>
      </w:pPr>
      <w:r w:rsidRPr="002636C8">
        <w:rPr>
          <w:rFonts w:ascii="Times New Roman" w:eastAsia="Times New Roman" w:hAnsi="Times New Roman" w:cs="Times New Roman"/>
          <w:i/>
          <w:iCs/>
          <w:sz w:val="24"/>
          <w:szCs w:val="24"/>
        </w:rPr>
        <w:t xml:space="preserve">Mediat sociale janë një mjet i fuqishëm për krijimin dhe mbajtjen e lidhjeve personale dhe profesionale, krijon mundësi për gjyqësorin të jetë i aksesueshëm nga shoqëria, ndaj duhet </w:t>
      </w:r>
      <w:r w:rsidRPr="00C66BE8">
        <w:rPr>
          <w:rFonts w:ascii="Times New Roman" w:eastAsia="Times New Roman" w:hAnsi="Times New Roman" w:cs="Times New Roman"/>
          <w:b/>
          <w:i/>
          <w:iCs/>
          <w:sz w:val="24"/>
          <w:szCs w:val="24"/>
        </w:rPr>
        <w:t>parë edhe si një mundësi e mirë për rritjen e besimit të publikut tek gjyqësori në përgjithësi</w:t>
      </w:r>
      <w:r w:rsidRPr="002636C8">
        <w:rPr>
          <w:rFonts w:ascii="Times New Roman" w:eastAsia="Times New Roman" w:hAnsi="Times New Roman" w:cs="Times New Roman"/>
          <w:i/>
          <w:iCs/>
          <w:sz w:val="24"/>
          <w:szCs w:val="24"/>
        </w:rPr>
        <w:t>. Pra, gjyqtarët nuk mund dhe nuk duhet të izolohen në jetën e tyre private apo nga komunikimi virtual. Por, nga ana tjetër, gjyqtarët duhet të presin që të jenë subjekt i vëzhgimit të vazhdueshëm publik dhe për këtë arsye duhet të pranojnë kufizime në sjelljen e tyre që mund të shihen si të rënda.</w:t>
      </w:r>
      <w:r>
        <w:rPr>
          <w:rFonts w:ascii="Times New Roman" w:eastAsia="Times New Roman" w:hAnsi="Times New Roman" w:cs="Times New Roman"/>
          <w:i/>
          <w:iCs/>
          <w:sz w:val="24"/>
          <w:szCs w:val="24"/>
        </w:rPr>
        <w:t xml:space="preserve"> </w:t>
      </w:r>
      <w:r w:rsidRPr="00DF5DBB">
        <w:rPr>
          <w:noProof/>
          <w:lang w:val="en-US"/>
        </w:rPr>
        <w:drawing>
          <wp:anchor distT="0" distB="0" distL="114300" distR="114300" simplePos="0" relativeHeight="251668480" behindDoc="0" locked="0" layoutInCell="1" allowOverlap="0" wp14:anchorId="65E5B8D7" wp14:editId="38F0F00D">
            <wp:simplePos x="0" y="0"/>
            <wp:positionH relativeFrom="page">
              <wp:posOffset>1088136</wp:posOffset>
            </wp:positionH>
            <wp:positionV relativeFrom="page">
              <wp:posOffset>9024815</wp:posOffset>
            </wp:positionV>
            <wp:extent cx="3048" cy="3049"/>
            <wp:effectExtent l="0" t="0" r="0" b="0"/>
            <wp:wrapSquare wrapText="bothSides"/>
            <wp:docPr id="12" name="Picture 12"/>
            <wp:cNvGraphicFramePr/>
            <a:graphic xmlns:a="http://schemas.openxmlformats.org/drawingml/2006/main">
              <a:graphicData uri="http://schemas.openxmlformats.org/drawingml/2006/picture">
                <pic:pic xmlns:pic="http://schemas.openxmlformats.org/drawingml/2006/picture">
                  <pic:nvPicPr>
                    <pic:cNvPr id="23374" name="Picture 23374"/>
                    <pic:cNvPicPr/>
                  </pic:nvPicPr>
                  <pic:blipFill>
                    <a:blip r:embed="rId17"/>
                    <a:stretch>
                      <a:fillRect/>
                    </a:stretch>
                  </pic:blipFill>
                  <pic:spPr>
                    <a:xfrm>
                      <a:off x="0" y="0"/>
                      <a:ext cx="3048" cy="3049"/>
                    </a:xfrm>
                    <a:prstGeom prst="rect">
                      <a:avLst/>
                    </a:prstGeom>
                  </pic:spPr>
                </pic:pic>
              </a:graphicData>
            </a:graphic>
          </wp:anchor>
        </w:drawing>
      </w:r>
      <w:r w:rsidRPr="002C691C">
        <w:rPr>
          <w:rFonts w:ascii="Times New Roman" w:eastAsia="Times New Roman" w:hAnsi="Times New Roman" w:cs="Times New Roman"/>
          <w:i/>
          <w:iCs/>
          <w:sz w:val="24"/>
          <w:szCs w:val="24"/>
        </w:rPr>
        <w:t xml:space="preserve">Thënë kjo, gjyqtarët duhet të kenë kujdes dhe të </w:t>
      </w:r>
      <w:r w:rsidRPr="002C691C">
        <w:rPr>
          <w:rFonts w:ascii="Times New Roman" w:eastAsia="Times New Roman" w:hAnsi="Times New Roman" w:cs="Times New Roman"/>
          <w:b/>
          <w:i/>
          <w:iCs/>
          <w:sz w:val="24"/>
          <w:szCs w:val="24"/>
        </w:rPr>
        <w:t>analizojnë mënyrën se si publiku mund ta perceptojë aktivitetin e tyre në mediat/rrjetet sociale</w:t>
      </w:r>
      <w:r w:rsidRPr="002C691C">
        <w:rPr>
          <w:rFonts w:ascii="Times New Roman" w:eastAsia="Times New Roman" w:hAnsi="Times New Roman" w:cs="Times New Roman"/>
          <w:i/>
          <w:iCs/>
          <w:sz w:val="24"/>
          <w:szCs w:val="24"/>
        </w:rPr>
        <w:t xml:space="preserve"> dhe të për</w:t>
      </w:r>
      <w:r>
        <w:rPr>
          <w:rFonts w:ascii="Times New Roman" w:eastAsia="Times New Roman" w:hAnsi="Times New Roman" w:cs="Times New Roman"/>
          <w:i/>
          <w:iCs/>
          <w:sz w:val="24"/>
          <w:szCs w:val="24"/>
        </w:rPr>
        <w:t>mbahen nga c</w:t>
      </w:r>
      <w:r w:rsidRPr="002C691C">
        <w:rPr>
          <w:rFonts w:ascii="Times New Roman" w:eastAsia="Times New Roman" w:hAnsi="Times New Roman" w:cs="Times New Roman"/>
          <w:i/>
          <w:iCs/>
          <w:sz w:val="24"/>
          <w:szCs w:val="24"/>
        </w:rPr>
        <w:t xml:space="preserve">do deklaratë apo komunikim në internet që vë në dyshim paanësinë e gjyqësorit apo të ketë sjellje të papërshtatshme, që mund të krijojnë dyshime të arsyeshme në lidhje me integritetin, paanshmërinë ose kompetencën e tij në trajtimin e çështjeve të caktuara. Nga ky këndvështrim, gjyqtarët duhet të konsiderojnë me kujdes nëse </w:t>
      </w:r>
      <w:r w:rsidRPr="002C691C">
        <w:rPr>
          <w:rFonts w:ascii="Times New Roman" w:eastAsia="Times New Roman" w:hAnsi="Times New Roman" w:cs="Times New Roman"/>
          <w:i/>
          <w:iCs/>
          <w:sz w:val="24"/>
          <w:szCs w:val="24"/>
        </w:rPr>
        <w:lastRenderedPageBreak/>
        <w:t xml:space="preserve">miqësitë në internet ose pjesëmarrja në grupe ose forume të caktuara në internet, mund të krijojnë dyshime apo mund të sugjerojnë që ata kanë lejuar 'familjen, shoqërinë, politikën ose marrëdhëniet ndër-personale', për të ndikuar në gjykimin e tyre ose për të dhënë përshtypjen se dikush është në një pozitë të veęantë për të ndikuar tek ata. Kujdes i veçantë </w:t>
      </w:r>
      <w:r w:rsidRPr="00DF5DBB">
        <w:rPr>
          <w:noProof/>
          <w:lang w:val="en-US"/>
        </w:rPr>
        <w:drawing>
          <wp:inline distT="0" distB="0" distL="0" distR="0" wp14:anchorId="0E360016" wp14:editId="48AE0BE8">
            <wp:extent cx="3048" cy="3049"/>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23373" name="Picture 23373"/>
                    <pic:cNvPicPr/>
                  </pic:nvPicPr>
                  <pic:blipFill>
                    <a:blip r:embed="rId18"/>
                    <a:stretch>
                      <a:fillRect/>
                    </a:stretch>
                  </pic:blipFill>
                  <pic:spPr>
                    <a:xfrm>
                      <a:off x="0" y="0"/>
                      <a:ext cx="3048" cy="3049"/>
                    </a:xfrm>
                    <a:prstGeom prst="rect">
                      <a:avLst/>
                    </a:prstGeom>
                  </pic:spPr>
                </pic:pic>
              </a:graphicData>
            </a:graphic>
          </wp:inline>
        </w:drawing>
      </w:r>
      <w:r w:rsidRPr="002C691C">
        <w:rPr>
          <w:rFonts w:ascii="Times New Roman" w:eastAsia="Times New Roman" w:hAnsi="Times New Roman" w:cs="Times New Roman"/>
          <w:i/>
          <w:iCs/>
          <w:sz w:val="24"/>
          <w:szCs w:val="24"/>
        </w:rPr>
        <w:t>duhet treguar me 'miqësitë virtuale' në internet, veęanërisht me avokatët në çështje të cilat gjyqtari i ka në gjykim apo në pritje për tu gjykuar. Gjyqtarët duhet të tregojnë kujdes edhe nëse 'pëlqejnë' një postim, një deklaratë apo reklamimet e produkteve të një biznesi.</w:t>
      </w:r>
    </w:p>
    <w:p w14:paraId="523CB0BE" w14:textId="77777777" w:rsidR="00510D41" w:rsidRPr="002C691C" w:rsidRDefault="00510D41" w:rsidP="00510D41">
      <w:pPr>
        <w:pStyle w:val="ListParagraph"/>
        <w:numPr>
          <w:ilvl w:val="0"/>
          <w:numId w:val="14"/>
        </w:numPr>
        <w:jc w:val="both"/>
        <w:rPr>
          <w:rFonts w:ascii="Times New Roman" w:eastAsia="Times New Roman" w:hAnsi="Times New Roman" w:cs="Times New Roman"/>
          <w:i/>
          <w:iCs/>
          <w:sz w:val="24"/>
          <w:szCs w:val="24"/>
        </w:rPr>
      </w:pPr>
      <w:r w:rsidRPr="002C691C">
        <w:rPr>
          <w:rFonts w:ascii="Times New Roman" w:eastAsia="Times New Roman" w:hAnsi="Times New Roman" w:cs="Times New Roman"/>
          <w:i/>
          <w:iCs/>
          <w:sz w:val="24"/>
          <w:szCs w:val="24"/>
        </w:rPr>
        <w:t xml:space="preserve">Gjyqtarët duhet të kenë në konsideratë se komunikimet apo deklaratat e tyre në rrjetet apo mediat sociale mund të kenë një përhapje dhe audiencë më të gjerë, pavarësisht nga kufizimet e privatësisë që një gjyqtar mund të ketë zbatuar. Kjo për shkak të natyrës dhe mënyrës sesi funksionon teknologjia, ku për përdoruesit e mediave/rrjeteve sociale nganjëherë është shumë e vështirë të kuptohen ndryshimet që ato realizojnë me kalimin e kohës. Standardet ndërkombëtare kanë vënë theksin në faktin se, </w:t>
      </w:r>
      <w:r w:rsidRPr="002C691C">
        <w:rPr>
          <w:rFonts w:ascii="Times New Roman" w:eastAsia="Times New Roman" w:hAnsi="Times New Roman" w:cs="Times New Roman"/>
          <w:b/>
          <w:i/>
          <w:iCs/>
          <w:sz w:val="24"/>
          <w:szCs w:val="24"/>
        </w:rPr>
        <w:t>qëllimi i gjyqtarit për të mbajtur komentet private në mediat/rrjetet sociale nuk justifikon sjelljen e pahijshme</w:t>
      </w:r>
      <w:r w:rsidRPr="002C691C">
        <w:rPr>
          <w:rFonts w:ascii="Times New Roman" w:eastAsia="Times New Roman" w:hAnsi="Times New Roman" w:cs="Times New Roman"/>
          <w:i/>
          <w:iCs/>
          <w:sz w:val="24"/>
          <w:szCs w:val="24"/>
        </w:rPr>
        <w:t xml:space="preserve"> sociale, ndërkohë që edhe </w:t>
      </w:r>
      <w:r w:rsidRPr="002C691C">
        <w:rPr>
          <w:rFonts w:ascii="Times New Roman" w:eastAsia="Times New Roman" w:hAnsi="Times New Roman" w:cs="Times New Roman"/>
          <w:b/>
          <w:i/>
          <w:iCs/>
          <w:sz w:val="24"/>
          <w:szCs w:val="24"/>
        </w:rPr>
        <w:t>mungesa e njohurive të gjyqtarit në lidhje me mënyrën e heqjes së përmbajtjes nga faqja e mediave/rrjeteve sociale nuk justifikon shkeljet e kodit të Etikës.</w:t>
      </w:r>
      <w:r w:rsidRPr="002C691C">
        <w:rPr>
          <w:rFonts w:ascii="Times New Roman" w:eastAsia="Times New Roman" w:hAnsi="Times New Roman" w:cs="Times New Roman"/>
          <w:i/>
          <w:iCs/>
          <w:sz w:val="24"/>
          <w:szCs w:val="24"/>
        </w:rPr>
        <w:t xml:space="preserve"> Këto shkelje janë konstatuar edhe në rastet kur gjyqtarët gabimisht kanë besuar se ata kishin marrë masat e nevojshme për ruajtjen e privatësisë së tyre</w:t>
      </w:r>
      <w:r>
        <w:rPr>
          <w:rFonts w:ascii="Times New Roman" w:eastAsia="Times New Roman" w:hAnsi="Times New Roman" w:cs="Times New Roman"/>
          <w:i/>
          <w:iCs/>
          <w:sz w:val="24"/>
          <w:szCs w:val="24"/>
        </w:rPr>
        <w:t>. Ka pasur raste kur gjyqtarët janë proceduar disiplinarisht edhe kur ato kanë përdorur pseudonime në komunikimet e tyre në internet.</w:t>
      </w:r>
    </w:p>
    <w:p w14:paraId="7D55493A" w14:textId="77777777" w:rsidR="00510D41" w:rsidRPr="00213174" w:rsidRDefault="00510D41" w:rsidP="00510D41">
      <w:pPr>
        <w:pStyle w:val="ListParagraph"/>
        <w:ind w:left="374" w:right="14"/>
        <w:jc w:val="both"/>
        <w:rPr>
          <w:rFonts w:ascii="Times New Roman" w:hAnsi="Times New Roman" w:cs="Times New Roman"/>
          <w:i/>
          <w:iCs/>
          <w:sz w:val="24"/>
          <w:szCs w:val="24"/>
        </w:rPr>
      </w:pPr>
    </w:p>
    <w:p w14:paraId="4BE73EF7" w14:textId="77777777" w:rsidR="00510D41" w:rsidRPr="00213174" w:rsidRDefault="00510D41" w:rsidP="00510D41">
      <w:pPr>
        <w:pStyle w:val="ListParagraph"/>
        <w:numPr>
          <w:ilvl w:val="0"/>
          <w:numId w:val="14"/>
        </w:numPr>
        <w:ind w:right="14"/>
        <w:jc w:val="both"/>
        <w:rPr>
          <w:rFonts w:ascii="Times New Roman" w:hAnsi="Times New Roman" w:cs="Times New Roman"/>
          <w:i/>
          <w:iCs/>
          <w:sz w:val="24"/>
          <w:szCs w:val="24"/>
        </w:rPr>
      </w:pPr>
      <w:r w:rsidRPr="00213174">
        <w:rPr>
          <w:rFonts w:ascii="Times New Roman" w:eastAsia="Times New Roman" w:hAnsi="Times New Roman" w:cs="Times New Roman"/>
          <w:i/>
          <w:iCs/>
          <w:sz w:val="24"/>
          <w:szCs w:val="24"/>
        </w:rPr>
        <w:t xml:space="preserve">Gjyqtarët duhet të kenë në vëmendje faktin se deklaratat që ata bëjnë në mediat/rrjetet sociale </w:t>
      </w:r>
      <w:r w:rsidRPr="00213174">
        <w:rPr>
          <w:rFonts w:ascii="Times New Roman" w:eastAsia="Times New Roman" w:hAnsi="Times New Roman" w:cs="Times New Roman"/>
          <w:b/>
          <w:i/>
          <w:iCs/>
          <w:sz w:val="24"/>
          <w:szCs w:val="24"/>
        </w:rPr>
        <w:t>janë deklarata publike, potencialisht subjekt i shqyrtimit dhe për tu përdorur nga të tretë, ndaj duhet treguar vetëpërmbajtje dhe kujdes i shtuar kur ato aksesojnë apo përdorin internetin.</w:t>
      </w:r>
      <w:r w:rsidRPr="00213174">
        <w:rPr>
          <w:rFonts w:ascii="Times New Roman" w:eastAsia="Times New Roman" w:hAnsi="Times New Roman" w:cs="Times New Roman"/>
          <w:i/>
          <w:iCs/>
          <w:sz w:val="24"/>
          <w:szCs w:val="24"/>
        </w:rPr>
        <w:t xml:space="preserve"> Edhe pëlqimi i një postimi të thjeshtë apo tregimi i një historie gazmore që përfshin për shembull korrupsionin në gjyqësor, mund të ndikojë në krijimin e një perceptimi të gabuar dhe ndikon në besimin e publikut tek drejtësia. Gjyqtari duhet të tregojë kujdes të shtuar, duke pasur në vëmendje se:</w:t>
      </w:r>
    </w:p>
    <w:p w14:paraId="01675E2E" w14:textId="77777777" w:rsidR="00510D41" w:rsidRPr="00DF5DBB" w:rsidRDefault="00510D41" w:rsidP="00510D41">
      <w:pPr>
        <w:pStyle w:val="ListParagraph"/>
        <w:numPr>
          <w:ilvl w:val="0"/>
          <w:numId w:val="11"/>
        </w:numPr>
        <w:ind w:right="14"/>
        <w:jc w:val="both"/>
        <w:rPr>
          <w:rFonts w:ascii="Times New Roman" w:hAnsi="Times New Roman" w:cs="Times New Roman"/>
          <w:i/>
          <w:iCs/>
          <w:sz w:val="24"/>
          <w:szCs w:val="24"/>
        </w:rPr>
      </w:pPr>
      <w:r w:rsidRPr="00DF5DBB">
        <w:rPr>
          <w:rFonts w:ascii="Times New Roman" w:eastAsia="Times New Roman" w:hAnsi="Times New Roman" w:cs="Times New Roman"/>
          <w:i/>
          <w:iCs/>
          <w:sz w:val="24"/>
          <w:szCs w:val="24"/>
        </w:rPr>
        <w:t xml:space="preserve"> këto deklarata apo komente nuk duhet të minojnë besimin e publikut në gjyqësor ose të sugjerojnë paragjykim të ęështjeve të caktuara;</w:t>
      </w:r>
    </w:p>
    <w:p w14:paraId="7594B305" w14:textId="77777777" w:rsidR="00510D41" w:rsidRPr="00DF5DBB" w:rsidRDefault="00510D41" w:rsidP="00510D41">
      <w:pPr>
        <w:pStyle w:val="ListParagraph"/>
        <w:numPr>
          <w:ilvl w:val="0"/>
          <w:numId w:val="11"/>
        </w:numPr>
        <w:spacing w:after="4" w:line="267" w:lineRule="auto"/>
        <w:ind w:right="14"/>
        <w:jc w:val="both"/>
        <w:rPr>
          <w:rFonts w:ascii="Times New Roman" w:hAnsi="Times New Roman" w:cs="Times New Roman"/>
          <w:i/>
          <w:iCs/>
          <w:sz w:val="24"/>
          <w:szCs w:val="24"/>
        </w:rPr>
      </w:pPr>
      <w:r w:rsidRPr="00DF5DBB">
        <w:rPr>
          <w:rFonts w:ascii="Times New Roman" w:eastAsia="Times New Roman" w:hAnsi="Times New Roman" w:cs="Times New Roman"/>
          <w:i/>
          <w:iCs/>
          <w:sz w:val="24"/>
          <w:szCs w:val="24"/>
        </w:rPr>
        <w:t xml:space="preserve">këto deklarata apo komente nuk duhet të kenë të bëjnë me ęështje në pritje ose ęështje të </w:t>
      </w:r>
      <w:r w:rsidRPr="00DF5DBB">
        <w:rPr>
          <w:i/>
          <w:iCs/>
          <w:noProof/>
          <w:lang w:val="en-US"/>
        </w:rPr>
        <w:drawing>
          <wp:inline distT="0" distB="0" distL="0" distR="0" wp14:anchorId="580B9ACC" wp14:editId="503E63F1">
            <wp:extent cx="3048" cy="3049"/>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26773" name="Picture 26773"/>
                    <pic:cNvPicPr/>
                  </pic:nvPicPr>
                  <pic:blipFill>
                    <a:blip r:embed="rId19"/>
                    <a:stretch>
                      <a:fillRect/>
                    </a:stretch>
                  </pic:blipFill>
                  <pic:spPr>
                    <a:xfrm>
                      <a:off x="0" y="0"/>
                      <a:ext cx="3048" cy="3049"/>
                    </a:xfrm>
                    <a:prstGeom prst="rect">
                      <a:avLst/>
                    </a:prstGeom>
                  </pic:spPr>
                </pic:pic>
              </a:graphicData>
            </a:graphic>
          </wp:inline>
        </w:drawing>
      </w:r>
      <w:r w:rsidRPr="00DF5DBB">
        <w:rPr>
          <w:rFonts w:ascii="Times New Roman" w:eastAsia="Times New Roman" w:hAnsi="Times New Roman" w:cs="Times New Roman"/>
          <w:i/>
          <w:iCs/>
          <w:sz w:val="24"/>
          <w:szCs w:val="24"/>
        </w:rPr>
        <w:t>mundshme për gjykim;</w:t>
      </w:r>
    </w:p>
    <w:p w14:paraId="64A4BC61" w14:textId="77777777" w:rsidR="00510D41" w:rsidRPr="00DF5DBB" w:rsidRDefault="00510D41" w:rsidP="00510D41">
      <w:pPr>
        <w:pStyle w:val="ListParagraph"/>
        <w:numPr>
          <w:ilvl w:val="0"/>
          <w:numId w:val="11"/>
        </w:numPr>
        <w:spacing w:after="4" w:line="267" w:lineRule="auto"/>
        <w:ind w:right="14"/>
        <w:jc w:val="both"/>
        <w:rPr>
          <w:rFonts w:ascii="Times New Roman" w:hAnsi="Times New Roman" w:cs="Times New Roman"/>
          <w:i/>
          <w:iCs/>
          <w:sz w:val="24"/>
          <w:szCs w:val="24"/>
        </w:rPr>
      </w:pPr>
      <w:r w:rsidRPr="00DF5DBB">
        <w:rPr>
          <w:rFonts w:ascii="Times New Roman" w:eastAsia="Times New Roman" w:hAnsi="Times New Roman" w:cs="Times New Roman"/>
          <w:i/>
          <w:iCs/>
          <w:sz w:val="24"/>
          <w:szCs w:val="24"/>
        </w:rPr>
        <w:t>këto deklarata apo komente nuk duhet të krijojnë përshtypjen e një veprimtarie të paligjshme ose të ndikojnë në cenimin e integritetit gjyqësor;</w:t>
      </w:r>
    </w:p>
    <w:p w14:paraId="1EDBBA78" w14:textId="77777777" w:rsidR="00510D41" w:rsidRPr="00DF5DBB" w:rsidRDefault="00510D41" w:rsidP="00510D41">
      <w:pPr>
        <w:pStyle w:val="ListParagraph"/>
        <w:numPr>
          <w:ilvl w:val="0"/>
          <w:numId w:val="11"/>
        </w:numPr>
        <w:spacing w:after="4" w:line="267" w:lineRule="auto"/>
        <w:ind w:right="14"/>
        <w:jc w:val="both"/>
        <w:rPr>
          <w:rFonts w:ascii="Times New Roman" w:hAnsi="Times New Roman" w:cs="Times New Roman"/>
          <w:i/>
          <w:iCs/>
          <w:sz w:val="24"/>
          <w:szCs w:val="24"/>
        </w:rPr>
      </w:pPr>
      <w:r w:rsidRPr="00DF5DBB">
        <w:rPr>
          <w:rFonts w:ascii="Times New Roman" w:eastAsia="Times New Roman" w:hAnsi="Times New Roman" w:cs="Times New Roman"/>
          <w:i/>
          <w:iCs/>
          <w:sz w:val="24"/>
          <w:szCs w:val="24"/>
        </w:rPr>
        <w:t>këto deklarata apo komente nuk duhet të përbëjnë veprimtari të ndaluar politike;</w:t>
      </w:r>
    </w:p>
    <w:p w14:paraId="6E8D5047" w14:textId="77777777" w:rsidR="00510D41" w:rsidRPr="00DF5DBB" w:rsidRDefault="00510D41" w:rsidP="00510D41">
      <w:pPr>
        <w:pStyle w:val="ListParagraph"/>
        <w:numPr>
          <w:ilvl w:val="0"/>
          <w:numId w:val="11"/>
        </w:numPr>
        <w:spacing w:after="314" w:line="267" w:lineRule="auto"/>
        <w:ind w:right="14"/>
        <w:jc w:val="both"/>
        <w:rPr>
          <w:rFonts w:ascii="Times New Roman" w:hAnsi="Times New Roman" w:cs="Times New Roman"/>
          <w:i/>
          <w:iCs/>
          <w:sz w:val="24"/>
          <w:szCs w:val="24"/>
        </w:rPr>
      </w:pPr>
      <w:r w:rsidRPr="00DF5DBB">
        <w:rPr>
          <w:i/>
          <w:iCs/>
          <w:noProof/>
          <w:lang w:val="en-US"/>
        </w:rPr>
        <w:drawing>
          <wp:anchor distT="0" distB="0" distL="114300" distR="114300" simplePos="0" relativeHeight="251669504" behindDoc="0" locked="0" layoutInCell="1" allowOverlap="0" wp14:anchorId="048CFA9B" wp14:editId="2F76CEEC">
            <wp:simplePos x="0" y="0"/>
            <wp:positionH relativeFrom="page">
              <wp:posOffset>6748272</wp:posOffset>
            </wp:positionH>
            <wp:positionV relativeFrom="page">
              <wp:posOffset>1984572</wp:posOffset>
            </wp:positionV>
            <wp:extent cx="3048" cy="3048"/>
            <wp:effectExtent l="0" t="0" r="0" b="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26771" name="Picture 26771"/>
                    <pic:cNvPicPr/>
                  </pic:nvPicPr>
                  <pic:blipFill>
                    <a:blip r:embed="rId20"/>
                    <a:stretch>
                      <a:fillRect/>
                    </a:stretch>
                  </pic:blipFill>
                  <pic:spPr>
                    <a:xfrm>
                      <a:off x="0" y="0"/>
                      <a:ext cx="3048" cy="3048"/>
                    </a:xfrm>
                    <a:prstGeom prst="rect">
                      <a:avLst/>
                    </a:prstGeom>
                  </pic:spPr>
                </pic:pic>
              </a:graphicData>
            </a:graphic>
          </wp:anchor>
        </w:drawing>
      </w:r>
      <w:r w:rsidRPr="00DF5DBB">
        <w:rPr>
          <w:i/>
          <w:iCs/>
          <w:noProof/>
          <w:lang w:val="en-US"/>
        </w:rPr>
        <w:drawing>
          <wp:anchor distT="0" distB="0" distL="114300" distR="114300" simplePos="0" relativeHeight="251670528" behindDoc="0" locked="0" layoutInCell="1" allowOverlap="0" wp14:anchorId="7BECF990" wp14:editId="4D2F149B">
            <wp:simplePos x="0" y="0"/>
            <wp:positionH relativeFrom="page">
              <wp:posOffset>6742176</wp:posOffset>
            </wp:positionH>
            <wp:positionV relativeFrom="page">
              <wp:posOffset>2329052</wp:posOffset>
            </wp:positionV>
            <wp:extent cx="3048" cy="3048"/>
            <wp:effectExtent l="0" t="0" r="0" b="0"/>
            <wp:wrapSquare wrapText="bothSides"/>
            <wp:docPr id="16" name="Picture 16"/>
            <wp:cNvGraphicFramePr/>
            <a:graphic xmlns:a="http://schemas.openxmlformats.org/drawingml/2006/main">
              <a:graphicData uri="http://schemas.openxmlformats.org/drawingml/2006/picture">
                <pic:pic xmlns:pic="http://schemas.openxmlformats.org/drawingml/2006/picture">
                  <pic:nvPicPr>
                    <pic:cNvPr id="26772" name="Picture 26772"/>
                    <pic:cNvPicPr/>
                  </pic:nvPicPr>
                  <pic:blipFill>
                    <a:blip r:embed="rId8"/>
                    <a:stretch>
                      <a:fillRect/>
                    </a:stretch>
                  </pic:blipFill>
                  <pic:spPr>
                    <a:xfrm>
                      <a:off x="0" y="0"/>
                      <a:ext cx="3048" cy="3048"/>
                    </a:xfrm>
                    <a:prstGeom prst="rect">
                      <a:avLst/>
                    </a:prstGeom>
                  </pic:spPr>
                </pic:pic>
              </a:graphicData>
            </a:graphic>
          </wp:anchor>
        </w:drawing>
      </w:r>
      <w:r w:rsidRPr="00DF5DBB">
        <w:rPr>
          <w:i/>
          <w:iCs/>
          <w:noProof/>
          <w:lang w:val="en-US"/>
        </w:rPr>
        <w:drawing>
          <wp:anchor distT="0" distB="0" distL="114300" distR="114300" simplePos="0" relativeHeight="251671552" behindDoc="0" locked="0" layoutInCell="1" allowOverlap="0" wp14:anchorId="22364B90" wp14:editId="17FD9135">
            <wp:simplePos x="0" y="0"/>
            <wp:positionH relativeFrom="page">
              <wp:posOffset>1005840</wp:posOffset>
            </wp:positionH>
            <wp:positionV relativeFrom="page">
              <wp:posOffset>5185495</wp:posOffset>
            </wp:positionV>
            <wp:extent cx="3048" cy="3048"/>
            <wp:effectExtent l="0" t="0" r="0" b="0"/>
            <wp:wrapSquare wrapText="bothSides"/>
            <wp:docPr id="17" name="Picture 17"/>
            <wp:cNvGraphicFramePr/>
            <a:graphic xmlns:a="http://schemas.openxmlformats.org/drawingml/2006/main">
              <a:graphicData uri="http://schemas.openxmlformats.org/drawingml/2006/picture">
                <pic:pic xmlns:pic="http://schemas.openxmlformats.org/drawingml/2006/picture">
                  <pic:nvPicPr>
                    <pic:cNvPr id="26774" name="Picture 26774"/>
                    <pic:cNvPicPr/>
                  </pic:nvPicPr>
                  <pic:blipFill>
                    <a:blip r:embed="rId21"/>
                    <a:stretch>
                      <a:fillRect/>
                    </a:stretch>
                  </pic:blipFill>
                  <pic:spPr>
                    <a:xfrm>
                      <a:off x="0" y="0"/>
                      <a:ext cx="3048" cy="3048"/>
                    </a:xfrm>
                    <a:prstGeom prst="rect">
                      <a:avLst/>
                    </a:prstGeom>
                  </pic:spPr>
                </pic:pic>
              </a:graphicData>
            </a:graphic>
          </wp:anchor>
        </w:drawing>
      </w:r>
      <w:r w:rsidRPr="00DF5DBB">
        <w:rPr>
          <w:i/>
          <w:iCs/>
          <w:noProof/>
          <w:lang w:val="en-US"/>
        </w:rPr>
        <w:drawing>
          <wp:anchor distT="0" distB="0" distL="114300" distR="114300" simplePos="0" relativeHeight="251672576" behindDoc="0" locked="0" layoutInCell="1" allowOverlap="0" wp14:anchorId="75B85313" wp14:editId="3B580247">
            <wp:simplePos x="0" y="0"/>
            <wp:positionH relativeFrom="page">
              <wp:posOffset>6757416</wp:posOffset>
            </wp:positionH>
            <wp:positionV relativeFrom="page">
              <wp:posOffset>5408035</wp:posOffset>
            </wp:positionV>
            <wp:extent cx="3048" cy="3048"/>
            <wp:effectExtent l="0" t="0" r="0" b="0"/>
            <wp:wrapSquare wrapText="bothSides"/>
            <wp:docPr id="18" name="Picture 18"/>
            <wp:cNvGraphicFramePr/>
            <a:graphic xmlns:a="http://schemas.openxmlformats.org/drawingml/2006/main">
              <a:graphicData uri="http://schemas.openxmlformats.org/drawingml/2006/picture">
                <pic:pic xmlns:pic="http://schemas.openxmlformats.org/drawingml/2006/picture">
                  <pic:nvPicPr>
                    <pic:cNvPr id="26775" name="Picture 26775"/>
                    <pic:cNvPicPr/>
                  </pic:nvPicPr>
                  <pic:blipFill>
                    <a:blip r:embed="rId22"/>
                    <a:stretch>
                      <a:fillRect/>
                    </a:stretch>
                  </pic:blipFill>
                  <pic:spPr>
                    <a:xfrm>
                      <a:off x="0" y="0"/>
                      <a:ext cx="3048" cy="3048"/>
                    </a:xfrm>
                    <a:prstGeom prst="rect">
                      <a:avLst/>
                    </a:prstGeom>
                  </pic:spPr>
                </pic:pic>
              </a:graphicData>
            </a:graphic>
          </wp:anchor>
        </w:drawing>
      </w:r>
      <w:r w:rsidRPr="00DF5DBB">
        <w:rPr>
          <w:rFonts w:ascii="Times New Roman" w:eastAsia="Times New Roman" w:hAnsi="Times New Roman" w:cs="Times New Roman"/>
          <w:i/>
          <w:iCs/>
          <w:sz w:val="24"/>
          <w:szCs w:val="24"/>
        </w:rPr>
        <w:t>këto deklarata apo komente nuk duhet të ndërhyjnë në kryerjen e detyrave gjyqë</w:t>
      </w:r>
      <w:r>
        <w:rPr>
          <w:rFonts w:ascii="Times New Roman" w:eastAsia="Times New Roman" w:hAnsi="Times New Roman" w:cs="Times New Roman"/>
          <w:i/>
          <w:iCs/>
          <w:sz w:val="24"/>
          <w:szCs w:val="24"/>
        </w:rPr>
        <w:t>sore.”</w:t>
      </w:r>
    </w:p>
    <w:p w14:paraId="32561C80" w14:textId="77777777" w:rsidR="00510D41" w:rsidRPr="008A6652" w:rsidRDefault="00510D41" w:rsidP="00510D41">
      <w:pPr>
        <w:pStyle w:val="NoSpacing"/>
        <w:spacing w:line="276" w:lineRule="auto"/>
        <w:jc w:val="both"/>
        <w:rPr>
          <w:rFonts w:ascii="Times New Roman" w:hAnsi="Times New Roman" w:cs="Times New Roman"/>
          <w:sz w:val="24"/>
          <w:szCs w:val="24"/>
          <w:lang w:val="sq-AL"/>
        </w:rPr>
      </w:pPr>
    </w:p>
    <w:p w14:paraId="1A331F1E" w14:textId="77777777" w:rsidR="00510D41" w:rsidRPr="00510D41" w:rsidRDefault="00510D41" w:rsidP="008A6652">
      <w:pPr>
        <w:jc w:val="both"/>
        <w:rPr>
          <w:rFonts w:ascii="Times New Roman" w:hAnsi="Times New Roman" w:cs="Times New Roman"/>
          <w:b/>
          <w:iCs/>
          <w:sz w:val="24"/>
          <w:szCs w:val="24"/>
          <w:lang w:val="sq-AL"/>
        </w:rPr>
      </w:pPr>
    </w:p>
    <w:p w14:paraId="0269FD6F" w14:textId="5F642AF9" w:rsidR="006841D0" w:rsidRPr="00F269FE" w:rsidRDefault="00BE4D77" w:rsidP="00F269FE">
      <w:pPr>
        <w:jc w:val="both"/>
        <w:rPr>
          <w:rFonts w:ascii="Times New Roman" w:hAnsi="Times New Roman" w:cs="Times New Roman"/>
          <w:b/>
          <w:bCs/>
          <w:i/>
          <w:iCs/>
          <w:sz w:val="24"/>
          <w:szCs w:val="24"/>
          <w:lang w:val="sq-AL"/>
        </w:rPr>
      </w:pPr>
      <w:r>
        <w:rPr>
          <w:rFonts w:ascii="Times New Roman" w:hAnsi="Times New Roman" w:cs="Times New Roman"/>
          <w:b/>
          <w:bCs/>
          <w:i/>
          <w:iCs/>
          <w:sz w:val="24"/>
          <w:szCs w:val="24"/>
          <w:lang w:val="sq-AL"/>
        </w:rPr>
        <w:t>P</w:t>
      </w:r>
      <w:r w:rsidR="00BA4EC3">
        <w:rPr>
          <w:rFonts w:ascii="Times New Roman" w:hAnsi="Times New Roman" w:cs="Times New Roman"/>
          <w:b/>
          <w:bCs/>
          <w:i/>
          <w:iCs/>
          <w:sz w:val="24"/>
          <w:szCs w:val="24"/>
          <w:lang w:val="sq-AL"/>
        </w:rPr>
        <w:t>ë</w:t>
      </w:r>
      <w:r>
        <w:rPr>
          <w:rFonts w:ascii="Times New Roman" w:hAnsi="Times New Roman" w:cs="Times New Roman"/>
          <w:b/>
          <w:bCs/>
          <w:i/>
          <w:iCs/>
          <w:sz w:val="24"/>
          <w:szCs w:val="24"/>
          <w:lang w:val="sq-AL"/>
        </w:rPr>
        <w:t>rgjegj</w:t>
      </w:r>
      <w:r w:rsidR="00BA4EC3">
        <w:rPr>
          <w:rFonts w:ascii="Times New Roman" w:hAnsi="Times New Roman" w:cs="Times New Roman"/>
          <w:b/>
          <w:bCs/>
          <w:i/>
          <w:iCs/>
          <w:sz w:val="24"/>
          <w:szCs w:val="24"/>
          <w:lang w:val="sq-AL"/>
        </w:rPr>
        <w:t>ë</w:t>
      </w:r>
      <w:r>
        <w:rPr>
          <w:rFonts w:ascii="Times New Roman" w:hAnsi="Times New Roman" w:cs="Times New Roman"/>
          <w:b/>
          <w:bCs/>
          <w:i/>
          <w:iCs/>
          <w:sz w:val="24"/>
          <w:szCs w:val="24"/>
          <w:lang w:val="sq-AL"/>
        </w:rPr>
        <w:t>sia disiplinore dhe p</w:t>
      </w:r>
      <w:r w:rsidRPr="00BE4D77">
        <w:rPr>
          <w:rFonts w:ascii="Times New Roman" w:hAnsi="Times New Roman" w:cs="Times New Roman"/>
          <w:b/>
          <w:bCs/>
          <w:i/>
          <w:iCs/>
          <w:sz w:val="24"/>
          <w:szCs w:val="24"/>
          <w:lang w:val="sq-AL"/>
        </w:rPr>
        <w:t>raktika</w:t>
      </w:r>
      <w:r w:rsidR="001E4B4C">
        <w:rPr>
          <w:rFonts w:ascii="Times New Roman" w:hAnsi="Times New Roman" w:cs="Times New Roman"/>
          <w:b/>
          <w:bCs/>
          <w:i/>
          <w:iCs/>
          <w:sz w:val="24"/>
          <w:szCs w:val="24"/>
          <w:lang w:val="sq-AL"/>
        </w:rPr>
        <w:t xml:space="preserve"> aktuale shqiptare</w:t>
      </w:r>
      <w:r w:rsidRPr="00BE4D77">
        <w:rPr>
          <w:rFonts w:ascii="Times New Roman" w:hAnsi="Times New Roman" w:cs="Times New Roman"/>
          <w:b/>
          <w:bCs/>
          <w:i/>
          <w:iCs/>
          <w:sz w:val="24"/>
          <w:szCs w:val="24"/>
          <w:lang w:val="sq-AL"/>
        </w:rPr>
        <w:t xml:space="preserve"> </w:t>
      </w:r>
    </w:p>
    <w:p w14:paraId="33C61364" w14:textId="5C2D17DD" w:rsidR="006841D0" w:rsidRDefault="006841D0" w:rsidP="006841D0">
      <w:pPr>
        <w:ind w:right="14"/>
        <w:jc w:val="both"/>
        <w:rPr>
          <w:rFonts w:ascii="Times New Roman" w:eastAsia="Times New Roman" w:hAnsi="Times New Roman" w:cs="Times New Roman"/>
        </w:rPr>
      </w:pPr>
      <w:r>
        <w:rPr>
          <w:rFonts w:ascii="Times New Roman" w:eastAsia="Times New Roman" w:hAnsi="Times New Roman" w:cs="Times New Roman"/>
        </w:rPr>
        <w:t>N</w:t>
      </w:r>
      <w:r w:rsidR="00BA4EC3">
        <w:rPr>
          <w:rFonts w:ascii="Times New Roman" w:eastAsia="Times New Roman" w:hAnsi="Times New Roman" w:cs="Times New Roman"/>
        </w:rPr>
        <w:t>ë</w:t>
      </w:r>
      <w:r>
        <w:rPr>
          <w:rFonts w:ascii="Times New Roman" w:eastAsia="Times New Roman" w:hAnsi="Times New Roman" w:cs="Times New Roman"/>
        </w:rPr>
        <w:t xml:space="preserve"> Kodin e Etik</w:t>
      </w:r>
      <w:r w:rsidR="00BA4EC3">
        <w:rPr>
          <w:rFonts w:ascii="Times New Roman" w:eastAsia="Times New Roman" w:hAnsi="Times New Roman" w:cs="Times New Roman"/>
        </w:rPr>
        <w:t>ë</w:t>
      </w:r>
      <w:r>
        <w:rPr>
          <w:rFonts w:ascii="Times New Roman" w:eastAsia="Times New Roman" w:hAnsi="Times New Roman" w:cs="Times New Roman"/>
        </w:rPr>
        <w:t>s Gjyq</w:t>
      </w:r>
      <w:r w:rsidR="00BA4EC3">
        <w:rPr>
          <w:rFonts w:ascii="Times New Roman" w:eastAsia="Times New Roman" w:hAnsi="Times New Roman" w:cs="Times New Roman"/>
        </w:rPr>
        <w:t>ë</w:t>
      </w:r>
      <w:r>
        <w:rPr>
          <w:rFonts w:ascii="Times New Roman" w:eastAsia="Times New Roman" w:hAnsi="Times New Roman" w:cs="Times New Roman"/>
        </w:rPr>
        <w:t>sore parashikohet se shkelja e rregullave të këtij Kodi kur nuk përbën shkak për përgiegiësi disiplinore merret në konsideratë në kuadër të vlerësimit etik dhe profesional të giyqtarit.</w:t>
      </w:r>
    </w:p>
    <w:p w14:paraId="74DBBFFA" w14:textId="04DC1BBF" w:rsidR="006841D0" w:rsidRDefault="006841D0" w:rsidP="006841D0">
      <w:pPr>
        <w:ind w:right="14"/>
        <w:jc w:val="both"/>
        <w:rPr>
          <w:rFonts w:ascii="Times New Roman" w:eastAsia="Times New Roman" w:hAnsi="Times New Roman" w:cs="Times New Roman"/>
        </w:rPr>
      </w:pPr>
      <w:r>
        <w:rPr>
          <w:rFonts w:ascii="Times New Roman" w:eastAsia="Times New Roman" w:hAnsi="Times New Roman" w:cs="Times New Roman"/>
        </w:rPr>
        <w:t>Kur nj</w:t>
      </w:r>
      <w:r w:rsidR="00BA4EC3">
        <w:rPr>
          <w:rFonts w:ascii="Times New Roman" w:eastAsia="Times New Roman" w:hAnsi="Times New Roman" w:cs="Times New Roman"/>
        </w:rPr>
        <w:t>ë</w:t>
      </w:r>
      <w:r>
        <w:rPr>
          <w:rFonts w:ascii="Times New Roman" w:eastAsia="Times New Roman" w:hAnsi="Times New Roman" w:cs="Times New Roman"/>
        </w:rPr>
        <w:t xml:space="preserve"> shkelje e Kodit t</w:t>
      </w:r>
      <w:r w:rsidR="00BA4EC3">
        <w:rPr>
          <w:rFonts w:ascii="Times New Roman" w:eastAsia="Times New Roman" w:hAnsi="Times New Roman" w:cs="Times New Roman"/>
        </w:rPr>
        <w:t>ë</w:t>
      </w:r>
      <w:r>
        <w:rPr>
          <w:rFonts w:ascii="Times New Roman" w:eastAsia="Times New Roman" w:hAnsi="Times New Roman" w:cs="Times New Roman"/>
        </w:rPr>
        <w:t xml:space="preserve"> Etik</w:t>
      </w:r>
      <w:r w:rsidR="00BA4EC3">
        <w:rPr>
          <w:rFonts w:ascii="Times New Roman" w:eastAsia="Times New Roman" w:hAnsi="Times New Roman" w:cs="Times New Roman"/>
        </w:rPr>
        <w:t>ë</w:t>
      </w:r>
      <w:r>
        <w:rPr>
          <w:rFonts w:ascii="Times New Roman" w:eastAsia="Times New Roman" w:hAnsi="Times New Roman" w:cs="Times New Roman"/>
        </w:rPr>
        <w:t>s q</w:t>
      </w:r>
      <w:r w:rsidR="00BA4EC3">
        <w:rPr>
          <w:rFonts w:ascii="Times New Roman" w:eastAsia="Times New Roman" w:hAnsi="Times New Roman" w:cs="Times New Roman"/>
        </w:rPr>
        <w:t>ë</w:t>
      </w:r>
      <w:r>
        <w:rPr>
          <w:rFonts w:ascii="Times New Roman" w:eastAsia="Times New Roman" w:hAnsi="Times New Roman" w:cs="Times New Roman"/>
        </w:rPr>
        <w:t xml:space="preserve"> lidhet me lirin</w:t>
      </w:r>
      <w:r w:rsidR="00BA4EC3">
        <w:rPr>
          <w:rFonts w:ascii="Times New Roman" w:eastAsia="Times New Roman" w:hAnsi="Times New Roman" w:cs="Times New Roman"/>
        </w:rPr>
        <w:t>ë</w:t>
      </w:r>
      <w:r>
        <w:rPr>
          <w:rFonts w:ascii="Times New Roman" w:eastAsia="Times New Roman" w:hAnsi="Times New Roman" w:cs="Times New Roman"/>
        </w:rPr>
        <w:t xml:space="preserve"> e shprehjes s</w:t>
      </w:r>
      <w:r w:rsidR="00BA4EC3">
        <w:rPr>
          <w:rFonts w:ascii="Times New Roman" w:eastAsia="Times New Roman" w:hAnsi="Times New Roman" w:cs="Times New Roman"/>
        </w:rPr>
        <w:t>ë</w:t>
      </w:r>
      <w:r>
        <w:rPr>
          <w:rFonts w:ascii="Times New Roman" w:eastAsia="Times New Roman" w:hAnsi="Times New Roman" w:cs="Times New Roman"/>
        </w:rPr>
        <w:t xml:space="preserve"> gjyqtar</w:t>
      </w:r>
      <w:r w:rsidR="00BA4EC3">
        <w:rPr>
          <w:rFonts w:ascii="Times New Roman" w:eastAsia="Times New Roman" w:hAnsi="Times New Roman" w:cs="Times New Roman"/>
        </w:rPr>
        <w:t>ë</w:t>
      </w:r>
      <w:r>
        <w:rPr>
          <w:rFonts w:ascii="Times New Roman" w:eastAsia="Times New Roman" w:hAnsi="Times New Roman" w:cs="Times New Roman"/>
        </w:rPr>
        <w:t>ve do t</w:t>
      </w:r>
      <w:r w:rsidR="00BA4EC3">
        <w:rPr>
          <w:rFonts w:ascii="Times New Roman" w:eastAsia="Times New Roman" w:hAnsi="Times New Roman" w:cs="Times New Roman"/>
        </w:rPr>
        <w:t>ë</w:t>
      </w:r>
      <w:r>
        <w:rPr>
          <w:rFonts w:ascii="Times New Roman" w:eastAsia="Times New Roman" w:hAnsi="Times New Roman" w:cs="Times New Roman"/>
        </w:rPr>
        <w:t xml:space="preserve"> p</w:t>
      </w:r>
      <w:r w:rsidR="00BA4EC3">
        <w:rPr>
          <w:rFonts w:ascii="Times New Roman" w:eastAsia="Times New Roman" w:hAnsi="Times New Roman" w:cs="Times New Roman"/>
        </w:rPr>
        <w:t>ë</w:t>
      </w:r>
      <w:r>
        <w:rPr>
          <w:rFonts w:ascii="Times New Roman" w:eastAsia="Times New Roman" w:hAnsi="Times New Roman" w:cs="Times New Roman"/>
        </w:rPr>
        <w:t>rb</w:t>
      </w:r>
      <w:r w:rsidR="00BA4EC3">
        <w:rPr>
          <w:rFonts w:ascii="Times New Roman" w:eastAsia="Times New Roman" w:hAnsi="Times New Roman" w:cs="Times New Roman"/>
        </w:rPr>
        <w:t>ë</w:t>
      </w:r>
      <w:r>
        <w:rPr>
          <w:rFonts w:ascii="Times New Roman" w:eastAsia="Times New Roman" w:hAnsi="Times New Roman" w:cs="Times New Roman"/>
        </w:rPr>
        <w:t>nte shkak p</w:t>
      </w:r>
      <w:r w:rsidR="00BA4EC3">
        <w:rPr>
          <w:rFonts w:ascii="Times New Roman" w:eastAsia="Times New Roman" w:hAnsi="Times New Roman" w:cs="Times New Roman"/>
        </w:rPr>
        <w:t>ë</w:t>
      </w:r>
      <w:r>
        <w:rPr>
          <w:rFonts w:ascii="Times New Roman" w:eastAsia="Times New Roman" w:hAnsi="Times New Roman" w:cs="Times New Roman"/>
        </w:rPr>
        <w:t>r p</w:t>
      </w:r>
      <w:r w:rsidR="00BA4EC3">
        <w:rPr>
          <w:rFonts w:ascii="Times New Roman" w:eastAsia="Times New Roman" w:hAnsi="Times New Roman" w:cs="Times New Roman"/>
        </w:rPr>
        <w:t>ë</w:t>
      </w:r>
      <w:r>
        <w:rPr>
          <w:rFonts w:ascii="Times New Roman" w:eastAsia="Times New Roman" w:hAnsi="Times New Roman" w:cs="Times New Roman"/>
        </w:rPr>
        <w:t>rgjegj</w:t>
      </w:r>
      <w:r w:rsidR="00BA4EC3">
        <w:rPr>
          <w:rFonts w:ascii="Times New Roman" w:eastAsia="Times New Roman" w:hAnsi="Times New Roman" w:cs="Times New Roman"/>
        </w:rPr>
        <w:t>ë</w:t>
      </w:r>
      <w:r>
        <w:rPr>
          <w:rFonts w:ascii="Times New Roman" w:eastAsia="Times New Roman" w:hAnsi="Times New Roman" w:cs="Times New Roman"/>
        </w:rPr>
        <w:t>si disiplinore?</w:t>
      </w:r>
      <w:r w:rsidR="00BA4EC3">
        <w:rPr>
          <w:rFonts w:ascii="Times New Roman" w:eastAsia="Times New Roman" w:hAnsi="Times New Roman" w:cs="Times New Roman"/>
        </w:rPr>
        <w:t>?</w:t>
      </w:r>
    </w:p>
    <w:p w14:paraId="0BD49331" w14:textId="3DF09211" w:rsidR="007311DA" w:rsidRDefault="007311DA" w:rsidP="00032B89">
      <w:pPr>
        <w:pStyle w:val="Bodytext20"/>
        <w:shd w:val="clear" w:color="auto" w:fill="auto"/>
        <w:spacing w:before="0" w:after="242"/>
        <w:ind w:firstLine="0"/>
        <w:rPr>
          <w:sz w:val="24"/>
          <w:szCs w:val="24"/>
          <w:lang w:val="sq-AL"/>
        </w:rPr>
      </w:pPr>
      <w:r>
        <w:rPr>
          <w:color w:val="000000"/>
          <w:sz w:val="24"/>
          <w:szCs w:val="24"/>
          <w:lang w:val="sq-AL" w:eastAsia="sq-AL" w:bidi="sq-AL"/>
        </w:rPr>
        <w:lastRenderedPageBreak/>
        <w:t>Vlerësimi i faktit se kur një sjellje e caktuar e gjyqtarit përbën një shkelje të etikës dhe do t</w:t>
      </w:r>
      <w:r w:rsidR="00032B89">
        <w:rPr>
          <w:color w:val="000000"/>
          <w:sz w:val="24"/>
          <w:szCs w:val="24"/>
          <w:lang w:val="sq-AL" w:eastAsia="sq-AL" w:bidi="sq-AL"/>
        </w:rPr>
        <w:t>ë</w:t>
      </w:r>
      <w:r>
        <w:rPr>
          <w:color w:val="000000"/>
          <w:sz w:val="24"/>
          <w:szCs w:val="24"/>
          <w:lang w:val="sq-AL" w:eastAsia="sq-AL" w:bidi="sq-AL"/>
        </w:rPr>
        <w:t xml:space="preserve"> konsiderohet në kuadër të vlerësimit etik dhe profesional të tij dhe kur kjo sjellje mund të cojë në përgjegjësi disiplinore të tij, i takon analizës së cdo rasti konkret. </w:t>
      </w:r>
    </w:p>
    <w:p w14:paraId="070F0DA4" w14:textId="6CED2BD7" w:rsidR="00E0327E" w:rsidRPr="008A6652" w:rsidRDefault="00E0327E" w:rsidP="008A6652">
      <w:pPr>
        <w:spacing w:after="0" w:line="276" w:lineRule="auto"/>
        <w:jc w:val="both"/>
        <w:rPr>
          <w:rFonts w:ascii="Times New Roman" w:eastAsia="MS Mincho" w:hAnsi="Times New Roman" w:cs="Times New Roman"/>
          <w:sz w:val="24"/>
          <w:szCs w:val="24"/>
          <w:lang w:val="sq-AL"/>
        </w:rPr>
      </w:pPr>
      <w:r w:rsidRPr="008A6652">
        <w:rPr>
          <w:rFonts w:ascii="Times New Roman" w:eastAsia="MS Mincho" w:hAnsi="Times New Roman" w:cs="Times New Roman"/>
          <w:sz w:val="24"/>
          <w:szCs w:val="24"/>
          <w:lang w:val="sq-AL"/>
        </w:rPr>
        <w:t xml:space="preserve">Në një nga procedimet disiplinore të filluara nga Inspektori i Lartë i Drejtësisë ndaj një magjistrati, Këshilli nëpërmjet disponimit për rastin konkret, ka vendosur disa standarde të cilat kanë çuar drejt identifikimit të natyrës së veprimeve </w:t>
      </w:r>
      <w:r w:rsidRPr="008A6652">
        <w:rPr>
          <w:rFonts w:ascii="Times New Roman" w:hAnsi="Times New Roman" w:cs="Times New Roman"/>
          <w:sz w:val="24"/>
          <w:szCs w:val="24"/>
          <w:lang w:val="sq-AL"/>
        </w:rPr>
        <w:t xml:space="preserve">që mund të kategorizohen nga institucionet disiplinore si sjellje që rrezikojnë pavarësinë, integritetin dhe paanshmërinë e një gjyqtari, </w:t>
      </w:r>
      <w:r w:rsidR="000F7DFD">
        <w:rPr>
          <w:rFonts w:ascii="Times New Roman" w:hAnsi="Times New Roman" w:cs="Times New Roman"/>
          <w:sz w:val="24"/>
          <w:szCs w:val="24"/>
          <w:lang w:val="sq-AL"/>
        </w:rPr>
        <w:t>q</w:t>
      </w:r>
      <w:r w:rsidR="00BA4EC3">
        <w:rPr>
          <w:rFonts w:ascii="Times New Roman" w:hAnsi="Times New Roman" w:cs="Times New Roman"/>
          <w:sz w:val="24"/>
          <w:szCs w:val="24"/>
          <w:lang w:val="sq-AL"/>
        </w:rPr>
        <w:t>ë</w:t>
      </w:r>
      <w:r w:rsidRPr="008A6652">
        <w:rPr>
          <w:rFonts w:ascii="Times New Roman" w:hAnsi="Times New Roman" w:cs="Times New Roman"/>
          <w:sz w:val="24"/>
          <w:szCs w:val="24"/>
          <w:lang w:val="sq-AL"/>
        </w:rPr>
        <w:t xml:space="preserve"> minojnë besimin e publikut në gjyqësor dhe/ose të çojnë në vendosjen e masave disiplinore ndaj një gjyqtari.</w:t>
      </w:r>
    </w:p>
    <w:p w14:paraId="678AF0C4" w14:textId="77777777" w:rsidR="00E0327E" w:rsidRPr="008A6652" w:rsidRDefault="00E0327E" w:rsidP="008A6652">
      <w:pPr>
        <w:spacing w:after="0" w:line="276" w:lineRule="auto"/>
        <w:jc w:val="both"/>
        <w:rPr>
          <w:rFonts w:ascii="Times New Roman" w:eastAsia="MS Mincho" w:hAnsi="Times New Roman" w:cs="Times New Roman"/>
          <w:sz w:val="24"/>
          <w:szCs w:val="24"/>
          <w:lang w:val="sq-AL"/>
        </w:rPr>
      </w:pPr>
    </w:p>
    <w:p w14:paraId="58438524" w14:textId="041A4E6B" w:rsidR="00296067" w:rsidRPr="008A6652" w:rsidRDefault="00296067" w:rsidP="008A6652">
      <w:pPr>
        <w:pStyle w:val="NoSpacing"/>
        <w:spacing w:line="276" w:lineRule="auto"/>
        <w:jc w:val="both"/>
        <w:rPr>
          <w:rFonts w:ascii="Times New Roman" w:eastAsia="MS Mincho" w:hAnsi="Times New Roman" w:cs="Times New Roman"/>
          <w:sz w:val="24"/>
          <w:szCs w:val="24"/>
          <w:lang w:val="sq-AL"/>
        </w:rPr>
      </w:pPr>
      <w:r w:rsidRPr="008A6652">
        <w:rPr>
          <w:rFonts w:ascii="Times New Roman" w:eastAsia="MS Mincho" w:hAnsi="Times New Roman" w:cs="Times New Roman"/>
          <w:sz w:val="24"/>
          <w:szCs w:val="24"/>
          <w:lang w:val="sq-AL"/>
        </w:rPr>
        <w:t xml:space="preserve">Në rastin konkret, nga ana e gjyqtarit janë publikuar video të imazhit të </w:t>
      </w:r>
      <w:r w:rsidR="000F7DFD">
        <w:rPr>
          <w:rFonts w:ascii="Times New Roman" w:eastAsia="MS Mincho" w:hAnsi="Times New Roman" w:cs="Times New Roman"/>
          <w:sz w:val="24"/>
          <w:szCs w:val="24"/>
          <w:lang w:val="sq-AL"/>
        </w:rPr>
        <w:t xml:space="preserve">tij </w:t>
      </w:r>
      <w:r w:rsidRPr="008A6652">
        <w:rPr>
          <w:rFonts w:ascii="Times New Roman" w:eastAsia="MS Mincho" w:hAnsi="Times New Roman" w:cs="Times New Roman"/>
          <w:sz w:val="24"/>
          <w:szCs w:val="24"/>
          <w:lang w:val="sq-AL"/>
        </w:rPr>
        <w:t xml:space="preserve">personal, me lëvizje dhe sjellje provokuese, të shoqëruar në sfond me muzikë të natyrës jo të hijshme për imazhin e një magjistrati si dhe për të realizuar ato është përdorur ambienti i Zyrës së Kryetarit, si dhe Gjykatës. Videot e realizuara në këto ambiente janë hedhur në rrjetin social “Tik-Tok”, </w:t>
      </w:r>
    </w:p>
    <w:p w14:paraId="31578C2C" w14:textId="77777777" w:rsidR="00296067" w:rsidRPr="008A6652" w:rsidRDefault="00296067" w:rsidP="008A6652">
      <w:pPr>
        <w:spacing w:after="0" w:line="276" w:lineRule="auto"/>
        <w:jc w:val="both"/>
        <w:rPr>
          <w:rFonts w:ascii="Times New Roman" w:eastAsia="MS Mincho" w:hAnsi="Times New Roman" w:cs="Times New Roman"/>
          <w:sz w:val="24"/>
          <w:szCs w:val="24"/>
          <w:lang w:val="sq-AL"/>
        </w:rPr>
      </w:pPr>
    </w:p>
    <w:p w14:paraId="06A94283" w14:textId="77777777" w:rsidR="00296067" w:rsidRPr="008A6652" w:rsidRDefault="00296067" w:rsidP="008A6652">
      <w:pPr>
        <w:spacing w:after="0" w:line="276" w:lineRule="auto"/>
        <w:jc w:val="both"/>
        <w:rPr>
          <w:rFonts w:ascii="Times New Roman" w:eastAsia="MS Mincho" w:hAnsi="Times New Roman" w:cs="Times New Roman"/>
          <w:sz w:val="24"/>
          <w:szCs w:val="24"/>
          <w:lang w:val="sq-AL"/>
        </w:rPr>
      </w:pPr>
      <w:r w:rsidRPr="008A6652">
        <w:rPr>
          <w:rFonts w:ascii="Times New Roman" w:eastAsia="MS Mincho" w:hAnsi="Times New Roman" w:cs="Times New Roman"/>
          <w:sz w:val="24"/>
          <w:szCs w:val="24"/>
          <w:lang w:val="sq-AL"/>
        </w:rPr>
        <w:t xml:space="preserve">Nga këqyrja e pamjeve të videove të publikuara, shihet magjistrati teksa performon në zyrën e tijj, ku ndodhen dosje për shqyrtim, pelerina e gjyqtarit, pjesë e veshjes në funksion të solemnitetit të detyrës. Ai kujdeset të bëjë një panoramim në sfond të ambienteve të zyrës, pjesë të ndryshme të trupit, ndërsa në sfond është kënga “Mafia, Mafia”, mesazhi i të cilës në thelb pranohet se është mbështetje për krimin dhe drogën, ndërsa në tekst, nuk mungojnë as fjalë jo etike. </w:t>
      </w:r>
    </w:p>
    <w:p w14:paraId="26695CDB" w14:textId="77777777" w:rsidR="00B022DE" w:rsidRPr="008A6652" w:rsidRDefault="00B022DE" w:rsidP="008A6652">
      <w:pPr>
        <w:spacing w:after="0" w:line="276" w:lineRule="auto"/>
        <w:jc w:val="both"/>
        <w:rPr>
          <w:rFonts w:ascii="Times New Roman" w:eastAsia="MS Mincho" w:hAnsi="Times New Roman" w:cs="Times New Roman"/>
          <w:sz w:val="24"/>
          <w:szCs w:val="24"/>
          <w:lang w:val="sq-AL"/>
        </w:rPr>
      </w:pPr>
    </w:p>
    <w:p w14:paraId="532E4A1A" w14:textId="77777777" w:rsidR="00296067" w:rsidRPr="008A6652" w:rsidRDefault="00296067" w:rsidP="008A6652">
      <w:pPr>
        <w:spacing w:after="0" w:line="276" w:lineRule="auto"/>
        <w:jc w:val="both"/>
        <w:rPr>
          <w:rFonts w:ascii="Times New Roman" w:eastAsia="MS Mincho" w:hAnsi="Times New Roman" w:cs="Times New Roman"/>
          <w:sz w:val="24"/>
          <w:szCs w:val="24"/>
          <w:lang w:val="sq-AL"/>
        </w:rPr>
      </w:pPr>
    </w:p>
    <w:p w14:paraId="31DDB43E" w14:textId="77777777" w:rsidR="00F45903" w:rsidRPr="008A6652" w:rsidRDefault="00E0327E" w:rsidP="008A6652">
      <w:pPr>
        <w:spacing w:after="0" w:line="276" w:lineRule="auto"/>
        <w:jc w:val="both"/>
        <w:rPr>
          <w:rFonts w:ascii="Times New Roman" w:eastAsia="MS Mincho" w:hAnsi="Times New Roman" w:cs="Times New Roman"/>
          <w:sz w:val="24"/>
          <w:szCs w:val="24"/>
          <w:lang w:val="sq-AL"/>
        </w:rPr>
      </w:pPr>
      <w:r w:rsidRPr="008A6652">
        <w:rPr>
          <w:rFonts w:ascii="Times New Roman" w:eastAsia="MS Mincho" w:hAnsi="Times New Roman" w:cs="Times New Roman"/>
          <w:sz w:val="24"/>
          <w:szCs w:val="24"/>
          <w:lang w:val="sq-AL"/>
        </w:rPr>
        <w:t xml:space="preserve">Kështu, në përfundim të këtij procedimi disiplinor, </w:t>
      </w:r>
      <w:r w:rsidR="00427C99" w:rsidRPr="008A6652">
        <w:rPr>
          <w:rFonts w:ascii="Times New Roman" w:eastAsia="MS Mincho" w:hAnsi="Times New Roman" w:cs="Times New Roman"/>
          <w:sz w:val="24"/>
          <w:szCs w:val="24"/>
          <w:lang w:val="sq-AL"/>
        </w:rPr>
        <w:t xml:space="preserve">nga Këshilli i Lartë Gjyqësor </w:t>
      </w:r>
      <w:r w:rsidRPr="008A6652">
        <w:rPr>
          <w:rFonts w:ascii="Times New Roman" w:eastAsia="MS Mincho" w:hAnsi="Times New Roman" w:cs="Times New Roman"/>
          <w:sz w:val="24"/>
          <w:szCs w:val="24"/>
          <w:lang w:val="sq-AL"/>
        </w:rPr>
        <w:t xml:space="preserve">është vlerësuar si i drejtë qëndrimi i sjellë nga Inspektori i Lartë i Drejtësisë se gjyqtari  për shkak të funksionit që ai ka, duhet të ushtrojë kujdes në ruajtjen e integritetit të tij, si gjatë ashtu edhe jashtë ushtrimit të funksionit. Ky kujdes nuk duhet të tregohet vetëm gjatë ushtrimit të detyrës, brenda orarit zyrtar, por dhe jashtë tij, edhe në jetën private, në ambiente private, sikundër mund të jetë edhe automjeti. </w:t>
      </w:r>
    </w:p>
    <w:p w14:paraId="21587E79" w14:textId="77777777" w:rsidR="00F45903" w:rsidRPr="008A6652" w:rsidRDefault="00F45903" w:rsidP="008A6652">
      <w:pPr>
        <w:spacing w:after="0" w:line="276" w:lineRule="auto"/>
        <w:jc w:val="both"/>
        <w:rPr>
          <w:rFonts w:ascii="Times New Roman" w:eastAsia="MS Mincho" w:hAnsi="Times New Roman" w:cs="Times New Roman"/>
          <w:sz w:val="24"/>
          <w:szCs w:val="24"/>
          <w:lang w:val="sq-AL"/>
        </w:rPr>
      </w:pPr>
    </w:p>
    <w:p w14:paraId="5AF8BA87" w14:textId="7BF0CA05" w:rsidR="00E0327E" w:rsidRPr="008A6652" w:rsidRDefault="00E0327E" w:rsidP="008A6652">
      <w:pPr>
        <w:spacing w:after="0" w:line="276" w:lineRule="auto"/>
        <w:jc w:val="both"/>
        <w:rPr>
          <w:rFonts w:ascii="Times New Roman" w:eastAsia="MS Mincho" w:hAnsi="Times New Roman" w:cs="Times New Roman"/>
          <w:sz w:val="24"/>
          <w:szCs w:val="24"/>
          <w:lang w:val="sq-AL"/>
        </w:rPr>
      </w:pPr>
      <w:r w:rsidRPr="008A6652">
        <w:rPr>
          <w:rFonts w:ascii="Times New Roman" w:eastAsia="MS Mincho" w:hAnsi="Times New Roman" w:cs="Times New Roman"/>
          <w:sz w:val="24"/>
          <w:szCs w:val="24"/>
          <w:lang w:val="sq-AL"/>
        </w:rPr>
        <w:t xml:space="preserve">Kryerja dhe publikimi më pas </w:t>
      </w:r>
      <w:r w:rsidR="000F7DFD">
        <w:rPr>
          <w:rFonts w:ascii="Times New Roman" w:eastAsia="MS Mincho" w:hAnsi="Times New Roman" w:cs="Times New Roman"/>
          <w:sz w:val="24"/>
          <w:szCs w:val="24"/>
          <w:lang w:val="sq-AL"/>
        </w:rPr>
        <w:t>n</w:t>
      </w:r>
      <w:r w:rsidR="00BA4EC3">
        <w:rPr>
          <w:rFonts w:ascii="Times New Roman" w:eastAsia="MS Mincho" w:hAnsi="Times New Roman" w:cs="Times New Roman"/>
          <w:sz w:val="24"/>
          <w:szCs w:val="24"/>
          <w:lang w:val="sq-AL"/>
        </w:rPr>
        <w:t>ë</w:t>
      </w:r>
      <w:r w:rsidR="000F7DFD">
        <w:rPr>
          <w:rFonts w:ascii="Times New Roman" w:eastAsia="MS Mincho" w:hAnsi="Times New Roman" w:cs="Times New Roman"/>
          <w:sz w:val="24"/>
          <w:szCs w:val="24"/>
          <w:lang w:val="sq-AL"/>
        </w:rPr>
        <w:t xml:space="preserve"> </w:t>
      </w:r>
      <w:r w:rsidRPr="008A6652">
        <w:rPr>
          <w:rFonts w:ascii="Times New Roman" w:eastAsia="MS Mincho" w:hAnsi="Times New Roman" w:cs="Times New Roman"/>
          <w:sz w:val="24"/>
          <w:szCs w:val="24"/>
          <w:lang w:val="sq-AL"/>
        </w:rPr>
        <w:t xml:space="preserve">media sociale, i sjelljeve të tilla jo të hijshme, u vlerësua si shkelje </w:t>
      </w:r>
      <w:r w:rsidR="000F7DFD">
        <w:rPr>
          <w:rFonts w:ascii="Times New Roman" w:eastAsia="MS Mincho" w:hAnsi="Times New Roman" w:cs="Times New Roman"/>
          <w:sz w:val="24"/>
          <w:szCs w:val="24"/>
          <w:lang w:val="sq-AL"/>
        </w:rPr>
        <w:t xml:space="preserve">e </w:t>
      </w:r>
      <w:r w:rsidRPr="008A6652">
        <w:rPr>
          <w:rFonts w:ascii="Times New Roman" w:eastAsia="MS Mincho" w:hAnsi="Times New Roman" w:cs="Times New Roman"/>
          <w:sz w:val="24"/>
          <w:szCs w:val="24"/>
          <w:lang w:val="sq-AL"/>
        </w:rPr>
        <w:t xml:space="preserve"> “Parimit të integritetit” dhe “Parimit të sjelljes së hijshme dhe me vetëpërmbajtje” të parashikuar në Kodin e Etikës Gjyqësore</w:t>
      </w:r>
      <w:r w:rsidRPr="008A6652">
        <w:rPr>
          <w:rStyle w:val="FootnoteReference"/>
          <w:rFonts w:ascii="Times New Roman" w:eastAsia="MS Mincho" w:hAnsi="Times New Roman" w:cs="Times New Roman"/>
          <w:sz w:val="24"/>
          <w:szCs w:val="24"/>
          <w:lang w:val="sq-AL"/>
        </w:rPr>
        <w:footnoteReference w:id="8"/>
      </w:r>
      <w:r w:rsidRPr="008A6652">
        <w:rPr>
          <w:rFonts w:ascii="Times New Roman" w:eastAsia="MS Mincho" w:hAnsi="Times New Roman" w:cs="Times New Roman"/>
          <w:sz w:val="24"/>
          <w:szCs w:val="24"/>
          <w:lang w:val="sq-AL"/>
        </w:rPr>
        <w:t xml:space="preserve">. </w:t>
      </w:r>
    </w:p>
    <w:p w14:paraId="1318AD54" w14:textId="77777777" w:rsidR="00E0327E" w:rsidRPr="008A6652" w:rsidRDefault="00E0327E" w:rsidP="008A6652">
      <w:pPr>
        <w:spacing w:after="0" w:line="276" w:lineRule="auto"/>
        <w:jc w:val="both"/>
        <w:rPr>
          <w:rFonts w:ascii="Times New Roman" w:eastAsia="MS Mincho" w:hAnsi="Times New Roman" w:cs="Times New Roman"/>
          <w:sz w:val="24"/>
          <w:szCs w:val="24"/>
          <w:lang w:val="sq-AL"/>
        </w:rPr>
      </w:pPr>
    </w:p>
    <w:p w14:paraId="34BE32A7" w14:textId="77777777" w:rsidR="00E0327E" w:rsidRPr="001169C2" w:rsidRDefault="00E0327E" w:rsidP="008A6652">
      <w:pPr>
        <w:spacing w:after="0" w:line="276" w:lineRule="auto"/>
        <w:jc w:val="both"/>
        <w:rPr>
          <w:rFonts w:ascii="Times New Roman" w:eastAsia="MS Mincho" w:hAnsi="Times New Roman" w:cs="Times New Roman"/>
          <w:b/>
          <w:i/>
          <w:sz w:val="24"/>
          <w:szCs w:val="24"/>
          <w:lang w:val="sq-AL"/>
        </w:rPr>
      </w:pPr>
      <w:r w:rsidRPr="008A6652">
        <w:rPr>
          <w:rFonts w:ascii="Times New Roman" w:eastAsia="MS Mincho" w:hAnsi="Times New Roman" w:cs="Times New Roman"/>
          <w:sz w:val="24"/>
          <w:szCs w:val="24"/>
          <w:lang w:val="sq-AL"/>
        </w:rPr>
        <w:lastRenderedPageBreak/>
        <w:t>Pamjet e publikuara, të cilat janë realizuar si nga vetë magjistrat</w:t>
      </w:r>
      <w:r w:rsidR="00427C99" w:rsidRPr="008A6652">
        <w:rPr>
          <w:rFonts w:ascii="Times New Roman" w:eastAsia="MS Mincho" w:hAnsi="Times New Roman" w:cs="Times New Roman"/>
          <w:sz w:val="24"/>
          <w:szCs w:val="24"/>
          <w:lang w:val="sq-AL"/>
        </w:rPr>
        <w:t>i</w:t>
      </w:r>
      <w:r w:rsidRPr="008A6652">
        <w:rPr>
          <w:rFonts w:ascii="Times New Roman" w:eastAsia="MS Mincho" w:hAnsi="Times New Roman" w:cs="Times New Roman"/>
          <w:sz w:val="24"/>
          <w:szCs w:val="24"/>
          <w:lang w:val="sq-AL"/>
        </w:rPr>
        <w:t xml:space="preserve">, apo dhe nga të tjerë, si në ambientet e zyrës, në ambientet e tjera të gjykatës, si dhe në automjet, </w:t>
      </w:r>
      <w:r w:rsidRPr="001169C2">
        <w:rPr>
          <w:rFonts w:ascii="Times New Roman" w:eastAsia="MS Mincho" w:hAnsi="Times New Roman" w:cs="Times New Roman"/>
          <w:b/>
          <w:i/>
          <w:sz w:val="24"/>
          <w:szCs w:val="24"/>
          <w:lang w:val="sq-AL"/>
        </w:rPr>
        <w:t>u vlerësuan si jo dinjitoze në sytë e një vëzhguesi të arsyeshëm dhe konfirmonin një sjellje të pahijshme të magjistrat</w:t>
      </w:r>
      <w:r w:rsidR="00427C99" w:rsidRPr="001169C2">
        <w:rPr>
          <w:rFonts w:ascii="Times New Roman" w:eastAsia="MS Mincho" w:hAnsi="Times New Roman" w:cs="Times New Roman"/>
          <w:b/>
          <w:i/>
          <w:sz w:val="24"/>
          <w:szCs w:val="24"/>
          <w:lang w:val="sq-AL"/>
        </w:rPr>
        <w:t>it</w:t>
      </w:r>
      <w:r w:rsidRPr="001169C2">
        <w:rPr>
          <w:rFonts w:ascii="Times New Roman" w:eastAsia="MS Mincho" w:hAnsi="Times New Roman" w:cs="Times New Roman"/>
          <w:b/>
          <w:i/>
          <w:sz w:val="24"/>
          <w:szCs w:val="24"/>
          <w:lang w:val="sq-AL"/>
        </w:rPr>
        <w:t>, të realizuar me dashje direkte.</w:t>
      </w:r>
      <w:r w:rsidRPr="008A6652">
        <w:rPr>
          <w:rFonts w:ascii="Times New Roman" w:eastAsia="MS Mincho" w:hAnsi="Times New Roman" w:cs="Times New Roman"/>
          <w:sz w:val="24"/>
          <w:szCs w:val="24"/>
          <w:lang w:val="sq-AL"/>
        </w:rPr>
        <w:t xml:space="preserve"> Sjellja e magjistratit në video, referuar edhe tekstit të këngës që këndonte në zyrën ku ushtronte veprimtarinë e tij, </w:t>
      </w:r>
      <w:r w:rsidRPr="001169C2">
        <w:rPr>
          <w:rFonts w:ascii="Times New Roman" w:eastAsia="MS Mincho" w:hAnsi="Times New Roman" w:cs="Times New Roman"/>
          <w:b/>
          <w:i/>
          <w:sz w:val="24"/>
          <w:szCs w:val="24"/>
          <w:lang w:val="sq-AL"/>
        </w:rPr>
        <w:t xml:space="preserve">u konkludua se është perceptuar nga publiku i gjerë si sjellje aspak e denjë për funksionin që magjistrati ushtron, pozicionin që përfaqëson, apo si sjellje që dëmtojnë besimin e publikut në sistemin gjyqësor. </w:t>
      </w:r>
    </w:p>
    <w:p w14:paraId="7FAA00EA" w14:textId="77777777" w:rsidR="00B022DE" w:rsidRPr="008A6652" w:rsidRDefault="00B022DE" w:rsidP="008A6652">
      <w:pPr>
        <w:spacing w:after="0" w:line="276" w:lineRule="auto"/>
        <w:jc w:val="both"/>
        <w:rPr>
          <w:rFonts w:ascii="Times New Roman" w:eastAsia="MS Mincho" w:hAnsi="Times New Roman" w:cs="Times New Roman"/>
          <w:sz w:val="24"/>
          <w:szCs w:val="24"/>
          <w:lang w:val="sq-AL"/>
        </w:rPr>
      </w:pPr>
    </w:p>
    <w:p w14:paraId="11C25562" w14:textId="79348B0E" w:rsidR="00391CC3" w:rsidRDefault="00E0327E" w:rsidP="008A2995">
      <w:pPr>
        <w:spacing w:after="0" w:line="276" w:lineRule="auto"/>
        <w:jc w:val="both"/>
        <w:rPr>
          <w:rFonts w:ascii="Times New Roman" w:eastAsia="MS Mincho" w:hAnsi="Times New Roman" w:cs="Times New Roman"/>
          <w:sz w:val="24"/>
          <w:szCs w:val="24"/>
          <w:lang w:val="sq-AL"/>
        </w:rPr>
      </w:pPr>
      <w:r w:rsidRPr="008A6652">
        <w:rPr>
          <w:rFonts w:ascii="Times New Roman" w:eastAsia="MS Mincho" w:hAnsi="Times New Roman" w:cs="Times New Roman"/>
          <w:sz w:val="24"/>
          <w:szCs w:val="24"/>
          <w:lang w:val="sq-AL"/>
        </w:rPr>
        <w:t>Këto sjellje dhe veprime të kryera jashtë ushtrimit të detyrës, por në ambientet e ushtrimit të detyrës, u konsiderua</w:t>
      </w:r>
      <w:r w:rsidR="00BA4EC3">
        <w:rPr>
          <w:rFonts w:ascii="Times New Roman" w:eastAsia="MS Mincho" w:hAnsi="Times New Roman" w:cs="Times New Roman"/>
          <w:sz w:val="24"/>
          <w:szCs w:val="24"/>
          <w:lang w:val="sq-AL"/>
        </w:rPr>
        <w:t>n</w:t>
      </w:r>
      <w:r w:rsidRPr="008A6652">
        <w:rPr>
          <w:rFonts w:ascii="Times New Roman" w:eastAsia="MS Mincho" w:hAnsi="Times New Roman" w:cs="Times New Roman"/>
          <w:sz w:val="24"/>
          <w:szCs w:val="24"/>
          <w:lang w:val="sq-AL"/>
        </w:rPr>
        <w:t xml:space="preserve"> si sjellje që diskreditojnë pozitën dhe figurën e magjistratit dhe dëmtonin besimin e publikut në sistemin gjyqësor, duke u parashikuar si shkelje disiplinore në nenin 103, paragrafi 1, shkronja "dh" e Ligjit për Statusin</w:t>
      </w:r>
      <w:r w:rsidR="00A007E2" w:rsidRPr="008A6652">
        <w:rPr>
          <w:rStyle w:val="FootnoteReference"/>
          <w:rFonts w:ascii="Times New Roman" w:eastAsia="MS Mincho" w:hAnsi="Times New Roman" w:cs="Times New Roman"/>
          <w:sz w:val="24"/>
          <w:szCs w:val="24"/>
          <w:lang w:val="sq-AL"/>
        </w:rPr>
        <w:footnoteReference w:id="9"/>
      </w:r>
      <w:r w:rsidRPr="008A6652">
        <w:rPr>
          <w:rFonts w:ascii="Times New Roman" w:eastAsia="MS Mincho" w:hAnsi="Times New Roman" w:cs="Times New Roman"/>
          <w:sz w:val="24"/>
          <w:szCs w:val="24"/>
          <w:lang w:val="sq-AL"/>
        </w:rPr>
        <w:t xml:space="preserve">. </w:t>
      </w:r>
    </w:p>
    <w:sectPr w:rsidR="00391CC3">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2301E" w14:textId="77777777" w:rsidR="00A528F1" w:rsidRDefault="00A528F1" w:rsidP="00BD768B">
      <w:pPr>
        <w:spacing w:after="0" w:line="240" w:lineRule="auto"/>
      </w:pPr>
      <w:r>
        <w:separator/>
      </w:r>
    </w:p>
  </w:endnote>
  <w:endnote w:type="continuationSeparator" w:id="0">
    <w:p w14:paraId="47A7D087" w14:textId="77777777" w:rsidR="00A528F1" w:rsidRDefault="00A528F1" w:rsidP="00BD7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MS Gothic"/>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68F61" w14:textId="77777777" w:rsidR="00E65194" w:rsidRDefault="00E6519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9296386"/>
      <w:docPartObj>
        <w:docPartGallery w:val="Page Numbers (Bottom of Page)"/>
        <w:docPartUnique/>
      </w:docPartObj>
    </w:sdtPr>
    <w:sdtEndPr>
      <w:rPr>
        <w:noProof/>
      </w:rPr>
    </w:sdtEndPr>
    <w:sdtContent>
      <w:p w14:paraId="20E9374E" w14:textId="17891A2D" w:rsidR="00E65194" w:rsidRDefault="00E65194">
        <w:pPr>
          <w:pStyle w:val="Footer"/>
          <w:jc w:val="right"/>
        </w:pPr>
        <w:r>
          <w:fldChar w:fldCharType="begin"/>
        </w:r>
        <w:r>
          <w:instrText xml:space="preserve"> PAGE   \* MERGEFORMAT </w:instrText>
        </w:r>
        <w:r>
          <w:fldChar w:fldCharType="separate"/>
        </w:r>
        <w:r w:rsidR="00CC3B60">
          <w:rPr>
            <w:noProof/>
          </w:rPr>
          <w:t>10</w:t>
        </w:r>
        <w:r>
          <w:rPr>
            <w:noProof/>
          </w:rPr>
          <w:fldChar w:fldCharType="end"/>
        </w:r>
      </w:p>
    </w:sdtContent>
  </w:sdt>
  <w:p w14:paraId="149248FE" w14:textId="77777777" w:rsidR="00E65194" w:rsidRDefault="00E6519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55B37" w14:textId="77777777" w:rsidR="00E65194" w:rsidRDefault="00E6519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B697E9" w14:textId="77777777" w:rsidR="00A528F1" w:rsidRDefault="00A528F1" w:rsidP="00BD768B">
      <w:pPr>
        <w:spacing w:after="0" w:line="240" w:lineRule="auto"/>
      </w:pPr>
      <w:r>
        <w:separator/>
      </w:r>
    </w:p>
  </w:footnote>
  <w:footnote w:type="continuationSeparator" w:id="0">
    <w:p w14:paraId="65CDC531" w14:textId="77777777" w:rsidR="00A528F1" w:rsidRDefault="00A528F1" w:rsidP="00BD768B">
      <w:pPr>
        <w:spacing w:after="0" w:line="240" w:lineRule="auto"/>
      </w:pPr>
      <w:r>
        <w:continuationSeparator/>
      </w:r>
    </w:p>
  </w:footnote>
  <w:footnote w:id="1">
    <w:p w14:paraId="300361CE" w14:textId="77777777" w:rsidR="00BD768B" w:rsidRPr="00E0327E" w:rsidRDefault="00BD768B">
      <w:pPr>
        <w:pStyle w:val="FootnoteText"/>
        <w:rPr>
          <w:rFonts w:ascii="Times New Roman" w:hAnsi="Times New Roman" w:cs="Times New Roman"/>
          <w:sz w:val="18"/>
          <w:szCs w:val="18"/>
          <w:lang w:val="sq-AL"/>
        </w:rPr>
      </w:pPr>
      <w:r w:rsidRPr="00E0327E">
        <w:rPr>
          <w:rStyle w:val="FootnoteReference"/>
          <w:rFonts w:ascii="Times New Roman" w:hAnsi="Times New Roman" w:cs="Times New Roman"/>
          <w:sz w:val="18"/>
          <w:szCs w:val="18"/>
          <w:lang w:val="sq-AL"/>
        </w:rPr>
        <w:footnoteRef/>
      </w:r>
      <w:r w:rsidRPr="00E0327E">
        <w:rPr>
          <w:rFonts w:ascii="Times New Roman" w:hAnsi="Times New Roman" w:cs="Times New Roman"/>
          <w:sz w:val="18"/>
          <w:szCs w:val="18"/>
          <w:lang w:val="sq-AL"/>
        </w:rPr>
        <w:t xml:space="preserve"> Miratuar me vendimin nr.171, datë 22.04.2021 të Këshillit të Lartë Gjyqësor.</w:t>
      </w:r>
    </w:p>
  </w:footnote>
  <w:footnote w:id="2">
    <w:p w14:paraId="0C597AE1" w14:textId="5054A3EE" w:rsidR="003E0FB5" w:rsidRPr="00A149B0" w:rsidRDefault="003E0FB5" w:rsidP="003E0FB5">
      <w:pPr>
        <w:pStyle w:val="FootnoteText"/>
        <w:jc w:val="both"/>
        <w:rPr>
          <w:rFonts w:ascii="Times New Roman" w:hAnsi="Times New Roman" w:cs="Times New Roman"/>
        </w:rPr>
      </w:pPr>
      <w:r w:rsidRPr="00A149B0">
        <w:rPr>
          <w:rStyle w:val="FootnoteReference"/>
          <w:rFonts w:ascii="Times New Roman" w:hAnsi="Times New Roman" w:cs="Times New Roman"/>
        </w:rPr>
        <w:footnoteRef/>
      </w:r>
      <w:r w:rsidRPr="00A149B0">
        <w:rPr>
          <w:rFonts w:ascii="Times New Roman" w:hAnsi="Times New Roman" w:cs="Times New Roman"/>
        </w:rPr>
        <w:t xml:space="preserve"> Opinioni 841/2016 i Komisionit të Venecias mbi Projekt Kodin e Etikës Gjyqësore të Kazakistanit.  </w:t>
      </w:r>
      <w:hyperlink r:id="rId1" w:history="1">
        <w:r w:rsidRPr="00A149B0">
          <w:rPr>
            <w:rStyle w:val="Hyperlink"/>
          </w:rPr>
          <w:t>https://</w:t>
        </w:r>
        <w:r w:rsidR="003D65E2">
          <w:rPr>
            <w:rStyle w:val="Hyperlink"/>
          </w:rPr>
          <w:t>ëëë</w:t>
        </w:r>
        <w:r w:rsidRPr="00A149B0">
          <w:rPr>
            <w:rStyle w:val="Hyperlink"/>
          </w:rPr>
          <w:t>.venice.coe.int/</w:t>
        </w:r>
        <w:r w:rsidR="003D65E2">
          <w:rPr>
            <w:rStyle w:val="Hyperlink"/>
          </w:rPr>
          <w:t>ë</w:t>
        </w:r>
        <w:r w:rsidRPr="00A149B0">
          <w:rPr>
            <w:rStyle w:val="Hyperlink"/>
          </w:rPr>
          <w:t>ebforms/documents/default.aspx?pdffile=CDL-AD(2016)013-e</w:t>
        </w:r>
      </w:hyperlink>
      <w:r w:rsidRPr="00A149B0">
        <w:rPr>
          <w:rFonts w:ascii="Times New Roman" w:hAnsi="Times New Roman" w:cs="Times New Roman"/>
        </w:rPr>
        <w:t xml:space="preserve"> </w:t>
      </w:r>
    </w:p>
  </w:footnote>
  <w:footnote w:id="3">
    <w:p w14:paraId="5FCBBF29" w14:textId="77777777" w:rsidR="003E0FB5" w:rsidRPr="006721CB" w:rsidRDefault="003E0FB5" w:rsidP="003E0FB5">
      <w:pPr>
        <w:pStyle w:val="FootnoteText"/>
        <w:jc w:val="both"/>
      </w:pPr>
      <w:r>
        <w:rPr>
          <w:rStyle w:val="FootnoteReference"/>
        </w:rPr>
        <w:footnoteRef/>
      </w:r>
      <w:r>
        <w:t xml:space="preserve"> </w:t>
      </w:r>
      <w:r w:rsidRPr="00584114">
        <w:rPr>
          <w:rFonts w:ascii="Times New Roman" w:hAnsi="Times New Roman" w:cs="Times New Roman"/>
          <w:bCs/>
          <w:iCs/>
        </w:rPr>
        <w:t xml:space="preserve">Komisioni </w:t>
      </w:r>
      <w:r>
        <w:rPr>
          <w:rFonts w:ascii="Times New Roman" w:hAnsi="Times New Roman" w:cs="Times New Roman"/>
          <w:bCs/>
          <w:iCs/>
        </w:rPr>
        <w:t>i S</w:t>
      </w:r>
      <w:r w:rsidRPr="00584114">
        <w:rPr>
          <w:rFonts w:ascii="Times New Roman" w:hAnsi="Times New Roman" w:cs="Times New Roman"/>
          <w:bCs/>
          <w:iCs/>
        </w:rPr>
        <w:t xml:space="preserve">tudimit </w:t>
      </w:r>
      <w:r>
        <w:rPr>
          <w:rFonts w:ascii="Times New Roman" w:hAnsi="Times New Roman" w:cs="Times New Roman"/>
          <w:bCs/>
          <w:iCs/>
        </w:rPr>
        <w:t>të</w:t>
      </w:r>
      <w:r w:rsidRPr="00584114">
        <w:rPr>
          <w:rFonts w:ascii="Times New Roman" w:hAnsi="Times New Roman" w:cs="Times New Roman"/>
          <w:bCs/>
          <w:iCs/>
        </w:rPr>
        <w:t xml:space="preserve"> </w:t>
      </w:r>
      <w:r>
        <w:rPr>
          <w:rFonts w:ascii="Times New Roman" w:hAnsi="Times New Roman" w:cs="Times New Roman"/>
          <w:bCs/>
          <w:iCs/>
        </w:rPr>
        <w:t>P</w:t>
      </w:r>
      <w:r w:rsidRPr="00584114">
        <w:rPr>
          <w:rFonts w:ascii="Times New Roman" w:hAnsi="Times New Roman" w:cs="Times New Roman"/>
          <w:bCs/>
          <w:iCs/>
        </w:rPr>
        <w:t xml:space="preserve">arë - Administrata Gjyqësore dhe Statusi i Gjyqësorit, Përfundime, Rregulla për Sjelljen Etike të Gjyqtarëve, Zbatimi dhe </w:t>
      </w:r>
      <w:r>
        <w:rPr>
          <w:rFonts w:ascii="Times New Roman" w:hAnsi="Times New Roman" w:cs="Times New Roman"/>
          <w:bCs/>
          <w:iCs/>
        </w:rPr>
        <w:t>Monitorimi</w:t>
      </w:r>
      <w:r w:rsidRPr="00584114">
        <w:rPr>
          <w:rFonts w:ascii="Times New Roman" w:hAnsi="Times New Roman" w:cs="Times New Roman"/>
          <w:bCs/>
          <w:iCs/>
        </w:rPr>
        <w:t xml:space="preserve"> i </w:t>
      </w:r>
      <w:r>
        <w:rPr>
          <w:rFonts w:ascii="Times New Roman" w:hAnsi="Times New Roman" w:cs="Times New Roman"/>
          <w:bCs/>
          <w:iCs/>
        </w:rPr>
        <w:t>T</w:t>
      </w:r>
      <w:r w:rsidRPr="00584114">
        <w:rPr>
          <w:rFonts w:ascii="Times New Roman" w:hAnsi="Times New Roman" w:cs="Times New Roman"/>
          <w:bCs/>
          <w:iCs/>
        </w:rPr>
        <w:t>yre, Shoqata Ndërkombëtare e Gjyqtarëve (IAJ), 2004</w:t>
      </w:r>
    </w:p>
  </w:footnote>
  <w:footnote w:id="4">
    <w:p w14:paraId="2671754B" w14:textId="77777777" w:rsidR="003E0FB5" w:rsidRPr="00E63688" w:rsidRDefault="003E0FB5" w:rsidP="003E0FB5">
      <w:pPr>
        <w:pStyle w:val="FootnoteText"/>
        <w:jc w:val="both"/>
      </w:pPr>
      <w:r>
        <w:rPr>
          <w:rStyle w:val="FootnoteReference"/>
        </w:rPr>
        <w:footnoteRef/>
      </w:r>
      <w:r>
        <w:t xml:space="preserve"> </w:t>
      </w:r>
      <w:r w:rsidRPr="00B33969">
        <w:rPr>
          <w:rFonts w:ascii="Times New Roman" w:hAnsi="Times New Roman" w:cs="Times New Roman"/>
          <w:bCs/>
          <w:iCs/>
        </w:rPr>
        <w:t>Opinion</w:t>
      </w:r>
      <w:r>
        <w:rPr>
          <w:rFonts w:ascii="Times New Roman" w:hAnsi="Times New Roman" w:cs="Times New Roman"/>
          <w:bCs/>
          <w:iCs/>
        </w:rPr>
        <w:t>i</w:t>
      </w:r>
      <w:r w:rsidRPr="00B33969">
        <w:rPr>
          <w:rFonts w:ascii="Times New Roman" w:hAnsi="Times New Roman" w:cs="Times New Roman"/>
          <w:bCs/>
          <w:iCs/>
        </w:rPr>
        <w:t xml:space="preserve"> Nr. 3 (2002) i Këshillit Konsultativ të Gjyqtarëve Evropianë (CCJE) </w:t>
      </w:r>
      <w:r>
        <w:rPr>
          <w:rFonts w:ascii="Times New Roman" w:hAnsi="Times New Roman" w:cs="Times New Roman"/>
          <w:bCs/>
          <w:iCs/>
        </w:rPr>
        <w:t>në</w:t>
      </w:r>
      <w:r w:rsidRPr="00B33969">
        <w:rPr>
          <w:rFonts w:ascii="Times New Roman" w:hAnsi="Times New Roman" w:cs="Times New Roman"/>
          <w:bCs/>
          <w:iCs/>
        </w:rPr>
        <w:t xml:space="preserve"> Vëmendje </w:t>
      </w:r>
      <w:r>
        <w:rPr>
          <w:rFonts w:ascii="Times New Roman" w:hAnsi="Times New Roman" w:cs="Times New Roman"/>
          <w:bCs/>
          <w:iCs/>
        </w:rPr>
        <w:t>të</w:t>
      </w:r>
      <w:r w:rsidRPr="00B33969">
        <w:rPr>
          <w:rFonts w:ascii="Times New Roman" w:hAnsi="Times New Roman" w:cs="Times New Roman"/>
          <w:bCs/>
          <w:iCs/>
        </w:rPr>
        <w:t xml:space="preserve"> Komitetit të Ministrave të Këshillit të Evropës mbi Parimet dhe Rregullat që </w:t>
      </w:r>
      <w:r>
        <w:rPr>
          <w:rFonts w:ascii="Times New Roman" w:hAnsi="Times New Roman" w:cs="Times New Roman"/>
          <w:bCs/>
          <w:iCs/>
        </w:rPr>
        <w:t>Rregullojnë</w:t>
      </w:r>
      <w:r w:rsidRPr="00B33969">
        <w:rPr>
          <w:rFonts w:ascii="Times New Roman" w:hAnsi="Times New Roman" w:cs="Times New Roman"/>
          <w:bCs/>
          <w:iCs/>
        </w:rPr>
        <w:t xml:space="preserve"> Sjelljen Profesionale të Gjyqtarëve, në Veçant</w:t>
      </w:r>
      <w:r>
        <w:rPr>
          <w:rFonts w:ascii="Times New Roman" w:hAnsi="Times New Roman" w:cs="Times New Roman"/>
          <w:bCs/>
          <w:iCs/>
        </w:rPr>
        <w:t>i</w:t>
      </w:r>
      <w:r w:rsidRPr="00B33969">
        <w:rPr>
          <w:rFonts w:ascii="Times New Roman" w:hAnsi="Times New Roman" w:cs="Times New Roman"/>
          <w:bCs/>
          <w:iCs/>
        </w:rPr>
        <w:t xml:space="preserve"> </w:t>
      </w:r>
      <w:r>
        <w:rPr>
          <w:rFonts w:ascii="Times New Roman" w:hAnsi="Times New Roman" w:cs="Times New Roman"/>
          <w:bCs/>
          <w:iCs/>
        </w:rPr>
        <w:t>Etikën</w:t>
      </w:r>
      <w:r w:rsidRPr="00B33969">
        <w:rPr>
          <w:rFonts w:ascii="Times New Roman" w:hAnsi="Times New Roman" w:cs="Times New Roman"/>
          <w:bCs/>
          <w:iCs/>
        </w:rPr>
        <w:t>, Sjelljen e Papajtueshme dhe Paanshmërinë, Këshilli i Evropës, 2002</w:t>
      </w:r>
    </w:p>
  </w:footnote>
  <w:footnote w:id="5">
    <w:p w14:paraId="69AD7936" w14:textId="77777777" w:rsidR="003E0FB5" w:rsidRPr="00E63688" w:rsidRDefault="003E0FB5" w:rsidP="003E0FB5">
      <w:pPr>
        <w:pStyle w:val="FootnoteText"/>
        <w:jc w:val="both"/>
        <w:rPr>
          <w:rFonts w:ascii="Times New Roman" w:hAnsi="Times New Roman" w:cs="Times New Roman"/>
        </w:rPr>
      </w:pPr>
      <w:r>
        <w:rPr>
          <w:rStyle w:val="FootnoteReference"/>
        </w:rPr>
        <w:footnoteRef/>
      </w:r>
      <w:r>
        <w:t xml:space="preserve"> </w:t>
      </w:r>
      <w:r w:rsidRPr="00A25083">
        <w:rPr>
          <w:rFonts w:ascii="Times New Roman" w:hAnsi="Times New Roman" w:cs="Times New Roman"/>
        </w:rPr>
        <w:t>Kodi Global i Etikës Gjyqësore të Bolonjës dhe Milanit, miratuar në një Konferencë Ndërkombëtare për Pavarësinë Gjyqësore të mbajtur në Universitetin e Bolonjës dhe në Universitetin Bocconni të Milano</w:t>
      </w:r>
      <w:r>
        <w:rPr>
          <w:rFonts w:ascii="Times New Roman" w:hAnsi="Times New Roman" w:cs="Times New Roman"/>
        </w:rPr>
        <w:t>s</w:t>
      </w:r>
      <w:r w:rsidRPr="00A25083">
        <w:rPr>
          <w:rFonts w:ascii="Times New Roman" w:hAnsi="Times New Roman" w:cs="Times New Roman"/>
        </w:rPr>
        <w:t xml:space="preserve"> në qershor 2015</w:t>
      </w:r>
    </w:p>
  </w:footnote>
  <w:footnote w:id="6">
    <w:p w14:paraId="3F100AF2" w14:textId="77777777" w:rsidR="003E0FB5" w:rsidRPr="00E63688" w:rsidRDefault="003E0FB5" w:rsidP="003E0FB5">
      <w:pPr>
        <w:pStyle w:val="FootnoteText"/>
        <w:jc w:val="both"/>
      </w:pPr>
      <w:r w:rsidRPr="00E63688">
        <w:rPr>
          <w:rStyle w:val="FootnoteReference"/>
          <w:rFonts w:ascii="Times New Roman" w:hAnsi="Times New Roman" w:cs="Times New Roman"/>
        </w:rPr>
        <w:footnoteRef/>
      </w:r>
      <w:r w:rsidRPr="00E63688">
        <w:rPr>
          <w:rFonts w:ascii="Times New Roman" w:hAnsi="Times New Roman" w:cs="Times New Roman"/>
        </w:rPr>
        <w:t xml:space="preserve"> </w:t>
      </w:r>
      <w:r w:rsidRPr="001B5378">
        <w:rPr>
          <w:rFonts w:ascii="Times New Roman" w:hAnsi="Times New Roman" w:cs="Times New Roman"/>
        </w:rPr>
        <w:t xml:space="preserve">Grupi i Integritetit </w:t>
      </w:r>
      <w:proofErr w:type="gramStart"/>
      <w:r w:rsidRPr="001B5378">
        <w:rPr>
          <w:rFonts w:ascii="Times New Roman" w:hAnsi="Times New Roman" w:cs="Times New Roman"/>
        </w:rPr>
        <w:t>Gjyqësor :</w:t>
      </w:r>
      <w:proofErr w:type="gramEnd"/>
      <w:r w:rsidRPr="001B5378">
        <w:rPr>
          <w:rFonts w:ascii="Times New Roman" w:hAnsi="Times New Roman" w:cs="Times New Roman"/>
        </w:rPr>
        <w:t xml:space="preserve"> Komentar i Parimet të Bangalore për Sjelljen Gjyqësore, miratuar në mars</w:t>
      </w:r>
      <w:r>
        <w:rPr>
          <w:rFonts w:ascii="Times New Roman" w:hAnsi="Times New Roman" w:cs="Times New Roman"/>
        </w:rPr>
        <w:t xml:space="preserve"> 2007</w:t>
      </w:r>
      <w:r w:rsidRPr="00E63688">
        <w:rPr>
          <w:rFonts w:ascii="Times New Roman" w:hAnsi="Times New Roman" w:cs="Times New Roman"/>
        </w:rPr>
        <w:t xml:space="preserve">  </w:t>
      </w:r>
    </w:p>
  </w:footnote>
  <w:footnote w:id="7">
    <w:p w14:paraId="6580C931" w14:textId="77777777" w:rsidR="003E0FB5" w:rsidRPr="001D57E4" w:rsidRDefault="003E0FB5" w:rsidP="003E0FB5">
      <w:pPr>
        <w:pStyle w:val="FootnoteText"/>
        <w:jc w:val="both"/>
      </w:pPr>
      <w:r>
        <w:rPr>
          <w:rStyle w:val="FootnoteReference"/>
        </w:rPr>
        <w:footnoteRef/>
      </w:r>
      <w:r>
        <w:t xml:space="preserve"> </w:t>
      </w:r>
      <w:r w:rsidRPr="00B33969">
        <w:rPr>
          <w:rFonts w:ascii="Times New Roman" w:hAnsi="Times New Roman" w:cs="Times New Roman"/>
          <w:bCs/>
          <w:iCs/>
        </w:rPr>
        <w:t>Opinion</w:t>
      </w:r>
      <w:r>
        <w:rPr>
          <w:rFonts w:ascii="Times New Roman" w:hAnsi="Times New Roman" w:cs="Times New Roman"/>
          <w:bCs/>
          <w:iCs/>
        </w:rPr>
        <w:t>i</w:t>
      </w:r>
      <w:r w:rsidRPr="00B33969">
        <w:rPr>
          <w:rFonts w:ascii="Times New Roman" w:hAnsi="Times New Roman" w:cs="Times New Roman"/>
          <w:bCs/>
          <w:iCs/>
        </w:rPr>
        <w:t xml:space="preserve"> Nr. 3 (2002) i Këshillit Konsultativ të Gjyqtarëve Evropianë (CCJE) </w:t>
      </w:r>
      <w:r>
        <w:rPr>
          <w:rFonts w:ascii="Times New Roman" w:hAnsi="Times New Roman" w:cs="Times New Roman"/>
          <w:bCs/>
          <w:iCs/>
        </w:rPr>
        <w:t>në</w:t>
      </w:r>
      <w:r w:rsidRPr="00B33969">
        <w:rPr>
          <w:rFonts w:ascii="Times New Roman" w:hAnsi="Times New Roman" w:cs="Times New Roman"/>
          <w:bCs/>
          <w:iCs/>
        </w:rPr>
        <w:t xml:space="preserve"> Vëmendje </w:t>
      </w:r>
      <w:r>
        <w:rPr>
          <w:rFonts w:ascii="Times New Roman" w:hAnsi="Times New Roman" w:cs="Times New Roman"/>
          <w:bCs/>
          <w:iCs/>
        </w:rPr>
        <w:t>të</w:t>
      </w:r>
      <w:r w:rsidRPr="00B33969">
        <w:rPr>
          <w:rFonts w:ascii="Times New Roman" w:hAnsi="Times New Roman" w:cs="Times New Roman"/>
          <w:bCs/>
          <w:iCs/>
        </w:rPr>
        <w:t xml:space="preserve"> Komitetit të Ministrave të Këshillit të Evropës mbi Parimet dhe Rregullat që </w:t>
      </w:r>
      <w:r>
        <w:rPr>
          <w:rFonts w:ascii="Times New Roman" w:hAnsi="Times New Roman" w:cs="Times New Roman"/>
          <w:bCs/>
          <w:iCs/>
        </w:rPr>
        <w:t>Rregullojnë</w:t>
      </w:r>
      <w:r w:rsidRPr="00B33969">
        <w:rPr>
          <w:rFonts w:ascii="Times New Roman" w:hAnsi="Times New Roman" w:cs="Times New Roman"/>
          <w:bCs/>
          <w:iCs/>
        </w:rPr>
        <w:t xml:space="preserve"> Sjelljen Profesionale të Gjyqtarëve, në Veçant</w:t>
      </w:r>
      <w:r>
        <w:rPr>
          <w:rFonts w:ascii="Times New Roman" w:hAnsi="Times New Roman" w:cs="Times New Roman"/>
          <w:bCs/>
          <w:iCs/>
        </w:rPr>
        <w:t>i</w:t>
      </w:r>
      <w:r w:rsidRPr="00B33969">
        <w:rPr>
          <w:rFonts w:ascii="Times New Roman" w:hAnsi="Times New Roman" w:cs="Times New Roman"/>
          <w:bCs/>
          <w:iCs/>
        </w:rPr>
        <w:t xml:space="preserve"> </w:t>
      </w:r>
      <w:r>
        <w:rPr>
          <w:rFonts w:ascii="Times New Roman" w:hAnsi="Times New Roman" w:cs="Times New Roman"/>
          <w:bCs/>
          <w:iCs/>
        </w:rPr>
        <w:t>Etikën</w:t>
      </w:r>
      <w:r w:rsidRPr="00B33969">
        <w:rPr>
          <w:rFonts w:ascii="Times New Roman" w:hAnsi="Times New Roman" w:cs="Times New Roman"/>
          <w:bCs/>
          <w:iCs/>
        </w:rPr>
        <w:t>, Sjelljen e Papajtueshme dhe Paanshmërinë, Këshilli i Evropës, 2002</w:t>
      </w:r>
    </w:p>
  </w:footnote>
  <w:footnote w:id="8">
    <w:p w14:paraId="0CCBDD54" w14:textId="77777777" w:rsidR="00E0327E" w:rsidRPr="00E0327E" w:rsidRDefault="00E0327E" w:rsidP="00E0327E">
      <w:pPr>
        <w:pStyle w:val="FootnoteText"/>
        <w:jc w:val="both"/>
        <w:rPr>
          <w:rFonts w:ascii="Times New Roman" w:hAnsi="Times New Roman" w:cs="Times New Roman"/>
          <w:sz w:val="18"/>
          <w:szCs w:val="18"/>
          <w:lang w:val="sq-AL"/>
        </w:rPr>
      </w:pPr>
      <w:r w:rsidRPr="00E0327E">
        <w:rPr>
          <w:rStyle w:val="FootnoteReference"/>
          <w:rFonts w:ascii="Times New Roman" w:hAnsi="Times New Roman" w:cs="Times New Roman"/>
          <w:sz w:val="18"/>
          <w:szCs w:val="18"/>
          <w:lang w:val="sq-AL"/>
        </w:rPr>
        <w:footnoteRef/>
      </w:r>
      <w:r w:rsidRPr="00E0327E">
        <w:rPr>
          <w:rFonts w:ascii="Times New Roman" w:hAnsi="Times New Roman" w:cs="Times New Roman"/>
          <w:sz w:val="18"/>
          <w:szCs w:val="18"/>
          <w:lang w:val="sq-AL"/>
        </w:rPr>
        <w:t xml:space="preserve"> </w:t>
      </w:r>
      <w:r w:rsidRPr="00E0327E">
        <w:rPr>
          <w:rFonts w:ascii="Times New Roman" w:eastAsia="Calibri" w:hAnsi="Times New Roman" w:cs="Times New Roman"/>
          <w:color w:val="000000"/>
          <w:sz w:val="18"/>
          <w:szCs w:val="18"/>
          <w:lang w:val="sq-AL" w:eastAsia="x-none"/>
        </w:rPr>
        <w:t xml:space="preserve">Kreun II, Seksionin </w:t>
      </w:r>
      <w:r w:rsidRPr="00E0327E">
        <w:rPr>
          <w:rFonts w:ascii="Times New Roman" w:eastAsia="MS Mincho" w:hAnsi="Times New Roman" w:cs="Times New Roman"/>
          <w:sz w:val="18"/>
          <w:szCs w:val="18"/>
          <w:lang w:val="sq-AL" w:eastAsia="x-none"/>
        </w:rPr>
        <w:t xml:space="preserve">“C” i Kodit të Etikës i titulluar </w:t>
      </w:r>
      <w:r w:rsidRPr="00E0327E">
        <w:rPr>
          <w:rFonts w:ascii="Times New Roman" w:eastAsia="MS Mincho" w:hAnsi="Times New Roman" w:cs="Times New Roman"/>
          <w:i/>
          <w:sz w:val="18"/>
          <w:szCs w:val="18"/>
          <w:lang w:val="sq-AL" w:eastAsia="x-none"/>
        </w:rPr>
        <w:t xml:space="preserve">“Parimi i integritetit”, </w:t>
      </w:r>
      <w:r w:rsidRPr="00E0327E">
        <w:rPr>
          <w:rFonts w:ascii="Times New Roman" w:eastAsia="Calibri" w:hAnsi="Times New Roman" w:cs="Times New Roman"/>
          <w:color w:val="000000"/>
          <w:sz w:val="18"/>
          <w:szCs w:val="18"/>
          <w:lang w:val="sq-AL" w:eastAsia="x-none"/>
        </w:rPr>
        <w:t xml:space="preserve">parashikon se: </w:t>
      </w:r>
      <w:r w:rsidRPr="00E0327E">
        <w:rPr>
          <w:rFonts w:ascii="Times New Roman" w:eastAsia="ArialMT" w:hAnsi="Times New Roman" w:cs="Times New Roman"/>
          <w:i/>
          <w:sz w:val="18"/>
          <w:szCs w:val="18"/>
          <w:lang w:val="sq-AL"/>
        </w:rPr>
        <w:t xml:space="preserve">“8. Gjyqtari sillet gjithmonë në mënyrë të tillë që të ruajë dinjitetin, përgjegjësitë në funksion dhe paanshmërinë e pavarësinë e gjyqësorit. Sjellja dhe qëndrimi i gjyqtarit duhet të rikonfirmojë besimin e qytetarëve tek integriteti i gjyqësorit. Sipas këtij parimi, gjyqtari: a) </w:t>
      </w:r>
      <w:r w:rsidRPr="00E0327E">
        <w:rPr>
          <w:rFonts w:ascii="Times New Roman" w:eastAsia="ArialMT" w:hAnsi="Times New Roman" w:cs="Times New Roman"/>
          <w:i/>
          <w:sz w:val="18"/>
          <w:szCs w:val="18"/>
          <w:lang w:val="sq-AL" w:eastAsia="x-none"/>
        </w:rPr>
        <w:t xml:space="preserve">kujdeset për ruajtjen e integritetit si gjatë ushtrimit të detyrës, ashtu dhe në jetën e tij private, me qëllim garantimin e besimit të publikut tek sistemi gjyqësor; </w:t>
      </w:r>
      <w:r w:rsidRPr="00E0327E">
        <w:rPr>
          <w:rFonts w:ascii="Times New Roman" w:eastAsia="ArialMT" w:hAnsi="Times New Roman" w:cs="Times New Roman"/>
          <w:i/>
          <w:sz w:val="18"/>
          <w:szCs w:val="18"/>
          <w:lang w:val="sq-AL"/>
        </w:rPr>
        <w:t>b) sigurohet që sjellja e tij të jetë dinjitoze në sytë e një vëzhguesi të arsyeshëm;...”</w:t>
      </w:r>
      <w:r w:rsidRPr="00E0327E">
        <w:rPr>
          <w:rFonts w:ascii="Times New Roman" w:eastAsia="Calibri" w:hAnsi="Times New Roman" w:cs="Times New Roman"/>
          <w:color w:val="000000"/>
          <w:sz w:val="18"/>
          <w:szCs w:val="18"/>
          <w:lang w:val="sq-AL" w:eastAsia="x-none"/>
        </w:rPr>
        <w:t xml:space="preserve"> Seksionin </w:t>
      </w:r>
      <w:r w:rsidRPr="00E0327E">
        <w:rPr>
          <w:rFonts w:ascii="Times New Roman" w:eastAsia="MS Mincho" w:hAnsi="Times New Roman" w:cs="Times New Roman"/>
          <w:sz w:val="18"/>
          <w:szCs w:val="18"/>
          <w:lang w:val="sq-AL" w:eastAsia="x-none"/>
        </w:rPr>
        <w:t xml:space="preserve">“Ç”, titulluar </w:t>
      </w:r>
      <w:r w:rsidRPr="00E0327E">
        <w:rPr>
          <w:rFonts w:ascii="Times New Roman" w:eastAsia="MS Mincho" w:hAnsi="Times New Roman" w:cs="Times New Roman"/>
          <w:i/>
          <w:sz w:val="18"/>
          <w:szCs w:val="18"/>
          <w:lang w:val="sq-AL" w:eastAsia="x-none"/>
        </w:rPr>
        <w:t xml:space="preserve">“Parimi i sjelljes së hijshme dhe me vetëpërmbajtje”, </w:t>
      </w:r>
      <w:r w:rsidRPr="00E0327E">
        <w:rPr>
          <w:rFonts w:ascii="Times New Roman" w:eastAsia="Calibri" w:hAnsi="Times New Roman" w:cs="Times New Roman"/>
          <w:color w:val="000000"/>
          <w:sz w:val="18"/>
          <w:szCs w:val="18"/>
          <w:lang w:val="sq-AL" w:eastAsia="x-none"/>
        </w:rPr>
        <w:t xml:space="preserve">parashikohet se: </w:t>
      </w:r>
      <w:r w:rsidRPr="00E0327E">
        <w:rPr>
          <w:rFonts w:ascii="Times New Roman" w:eastAsia="MS Mincho" w:hAnsi="Times New Roman" w:cs="Times New Roman"/>
          <w:i/>
          <w:sz w:val="18"/>
          <w:szCs w:val="18"/>
          <w:lang w:val="sq-AL"/>
        </w:rPr>
        <w:t>“9. Gjyqtari shmang sjelljen e pahijshme dhe shfaqjen e saj në të gjitha aktivitetet e tij. Si subjekt i vëzhgimit të vazhdueshëm publik, gjyqtari duhet të pranojë kufizime personale që mund të shihen si të paarsyeshme për një qytetar të thjeshtë dhe këtë duhet ta bëjë lirshëm dhe me dëshirë.</w:t>
      </w:r>
      <w:r w:rsidRPr="00E0327E">
        <w:rPr>
          <w:rFonts w:ascii="Times New Roman" w:eastAsia="ArialMT" w:hAnsi="Times New Roman" w:cs="Times New Roman"/>
          <w:i/>
          <w:sz w:val="18"/>
          <w:szCs w:val="18"/>
          <w:lang w:val="sq-AL"/>
        </w:rPr>
        <w:t xml:space="preserve"> Gjyqtari shmang çdo sjellje, e cila krijon dyshimin e arsyeshëm se vendimet e tij nxiten nga motive të tjera, përtej zbatimit të drejtë të ligjit. Gjyqtari sillet me vetëpërmbajtje me synim arritjen e një balance mes të drejtave të tij si qytetar dhe kufizimeve që lidhen me funksionin e tij. </w:t>
      </w:r>
      <w:r w:rsidRPr="00E0327E">
        <w:rPr>
          <w:rFonts w:ascii="Times New Roman" w:eastAsia="MS Mincho" w:hAnsi="Times New Roman" w:cs="Times New Roman"/>
          <w:i/>
          <w:sz w:val="18"/>
          <w:szCs w:val="18"/>
          <w:lang w:val="sq-AL"/>
        </w:rPr>
        <w:t>Sipas këtij parimi, gjyqtari: …c) nuk lejon që zyra e tij të përdoret për qëllime të tjera të ndryshme nga ato që lidhen me ushtrimin e veprimtarisë gjyqësore;</w:t>
      </w:r>
    </w:p>
  </w:footnote>
  <w:footnote w:id="9">
    <w:p w14:paraId="03F6898E" w14:textId="77777777" w:rsidR="00A007E2" w:rsidRPr="00A007E2" w:rsidRDefault="00A007E2" w:rsidP="00A007E2">
      <w:pPr>
        <w:pStyle w:val="FootnoteText"/>
        <w:jc w:val="both"/>
        <w:rPr>
          <w:sz w:val="18"/>
          <w:szCs w:val="18"/>
          <w:lang w:val="sq-AL"/>
        </w:rPr>
      </w:pPr>
      <w:r>
        <w:rPr>
          <w:rStyle w:val="FootnoteReference"/>
        </w:rPr>
        <w:footnoteRef/>
      </w:r>
      <w:r>
        <w:t xml:space="preserve"> </w:t>
      </w:r>
      <w:r w:rsidRPr="00A007E2">
        <w:rPr>
          <w:rFonts w:ascii="Times New Roman" w:hAnsi="Times New Roman"/>
          <w:sz w:val="18"/>
          <w:szCs w:val="18"/>
          <w:lang w:val="sq-AL"/>
        </w:rPr>
        <w:t>“</w:t>
      </w:r>
      <w:r w:rsidRPr="00A007E2">
        <w:rPr>
          <w:rFonts w:ascii="Times New Roman" w:hAnsi="Times New Roman"/>
          <w:i/>
          <w:sz w:val="18"/>
          <w:szCs w:val="18"/>
          <w:lang w:val="sq-AL"/>
        </w:rPr>
        <w:t>Shkeljet disiplinore jashtë ushtrimit të funksionit janë, në veçanti, por pa u kufizuar në to, veprimet, mosveprimet ose sjelljet e magjistratit, si më poshtë: a) shkelja e rregullave të papajtueshmërisë me funksionin e magjistratit ose të kufizimeve për shkak të funksionit, sipas parashikimeve të bëra në nenet 6 dhe 7 të këtij ligji; b) përdorimi i statusit të magjistratit, me qëllim krijimin e përfitimeve për vete ose për të tjerët; c) ushtrimi i veprimtarive, me pagesë, jashtë funksionit, pa miratimin paraprak të Këshillit;  ç) shoqërimi me persona që janë nën ndjekje penale, janë subjekt të një procedimit penal ose me persona të dënuar dhe të parehabilituar, kur nuk kanë lidhje të ngushta gjaku ose ligjore me magjistratin ose vendosja e marrëdhënieve të papërshtatshme të biznesit me këta persona; d) përfitimi i padrejtë, në mënyrë të drejtpërdrejtë ose të tërthortë i dhuratave, favoreve, premtimeve ose trajtimeve preferenciale të çfarëdo lloji, të cilat jepen për shkak të funksionit që ushtron ose si rrjedhojë e shfrytëzimit të pozicionit të magjistratit, edhe në rastin kur formalizohen me një veprim juridik; dh) raste të tjera të sjelljes që diskrediton pozitën dhe figurën e magjistratit dhe dëmton besimin e publikut në sistemin gjyqësor ose të prokurorisë, të kryera jashtë ushtrimit të detyrës</w:t>
      </w:r>
      <w:r w:rsidRPr="00A007E2">
        <w:rPr>
          <w:rFonts w:ascii="Times New Roman" w:hAnsi="Times New Roman"/>
          <w:sz w:val="18"/>
          <w:szCs w:val="18"/>
          <w:lang w:val="sq-A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46E6F" w14:textId="77777777" w:rsidR="00E65194" w:rsidRDefault="00E6519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62CCF" w14:textId="77777777" w:rsidR="00E65194" w:rsidRDefault="00E6519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3F351" w14:textId="77777777" w:rsidR="00E65194" w:rsidRDefault="00E6519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45752"/>
    <w:multiLevelType w:val="hybridMultilevel"/>
    <w:tmpl w:val="3C9810C0"/>
    <w:lvl w:ilvl="0" w:tplc="D63C3D02">
      <w:start w:val="1"/>
      <w:numFmt w:val="lowerLetter"/>
      <w:lvlText w:val="%1)"/>
      <w:lvlJc w:val="left"/>
      <w:pPr>
        <w:ind w:left="1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F8C9F0">
      <w:start w:val="1"/>
      <w:numFmt w:val="lowerLetter"/>
      <w:lvlText w:val="%2"/>
      <w:lvlJc w:val="left"/>
      <w:pPr>
        <w:ind w:left="14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8A50FE">
      <w:start w:val="1"/>
      <w:numFmt w:val="lowerRoman"/>
      <w:lvlText w:val="%3"/>
      <w:lvlJc w:val="left"/>
      <w:pPr>
        <w:ind w:left="2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F8D5BA">
      <w:start w:val="1"/>
      <w:numFmt w:val="decimal"/>
      <w:lvlText w:val="%4"/>
      <w:lvlJc w:val="left"/>
      <w:pPr>
        <w:ind w:left="2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EA2416">
      <w:start w:val="1"/>
      <w:numFmt w:val="lowerLetter"/>
      <w:lvlText w:val="%5"/>
      <w:lvlJc w:val="left"/>
      <w:pPr>
        <w:ind w:left="3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DE6E5A">
      <w:start w:val="1"/>
      <w:numFmt w:val="lowerRoman"/>
      <w:lvlText w:val="%6"/>
      <w:lvlJc w:val="left"/>
      <w:pPr>
        <w:ind w:left="43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A2F18A">
      <w:start w:val="1"/>
      <w:numFmt w:val="decimal"/>
      <w:lvlText w:val="%7"/>
      <w:lvlJc w:val="left"/>
      <w:pPr>
        <w:ind w:left="5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60FFF4">
      <w:start w:val="1"/>
      <w:numFmt w:val="lowerLetter"/>
      <w:lvlText w:val="%8"/>
      <w:lvlJc w:val="left"/>
      <w:pPr>
        <w:ind w:left="5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44A162">
      <w:start w:val="1"/>
      <w:numFmt w:val="lowerRoman"/>
      <w:lvlText w:val="%9"/>
      <w:lvlJc w:val="left"/>
      <w:pPr>
        <w:ind w:left="6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B94E74"/>
    <w:multiLevelType w:val="hybridMultilevel"/>
    <w:tmpl w:val="B84E41CC"/>
    <w:lvl w:ilvl="0" w:tplc="0DCE18E0">
      <w:numFmt w:val="bullet"/>
      <w:lvlText w:val="-"/>
      <w:lvlJc w:val="left"/>
      <w:pPr>
        <w:ind w:left="374" w:hanging="360"/>
      </w:pPr>
      <w:rPr>
        <w:rFonts w:ascii="Times New Roman" w:eastAsia="Times New Roman" w:hAnsi="Times New Roman" w:cs="Times New Roman" w:hint="default"/>
      </w:rPr>
    </w:lvl>
    <w:lvl w:ilvl="1" w:tplc="08090003" w:tentative="1">
      <w:start w:val="1"/>
      <w:numFmt w:val="bullet"/>
      <w:lvlText w:val="o"/>
      <w:lvlJc w:val="left"/>
      <w:pPr>
        <w:ind w:left="1094" w:hanging="360"/>
      </w:pPr>
      <w:rPr>
        <w:rFonts w:ascii="Courier New" w:hAnsi="Courier New" w:cs="Courier New" w:hint="default"/>
      </w:rPr>
    </w:lvl>
    <w:lvl w:ilvl="2" w:tplc="08090005" w:tentative="1">
      <w:start w:val="1"/>
      <w:numFmt w:val="bullet"/>
      <w:lvlText w:val=""/>
      <w:lvlJc w:val="left"/>
      <w:pPr>
        <w:ind w:left="1814" w:hanging="360"/>
      </w:pPr>
      <w:rPr>
        <w:rFonts w:ascii="Wingdings" w:hAnsi="Wingdings" w:hint="default"/>
      </w:rPr>
    </w:lvl>
    <w:lvl w:ilvl="3" w:tplc="08090001" w:tentative="1">
      <w:start w:val="1"/>
      <w:numFmt w:val="bullet"/>
      <w:lvlText w:val=""/>
      <w:lvlJc w:val="left"/>
      <w:pPr>
        <w:ind w:left="2534" w:hanging="360"/>
      </w:pPr>
      <w:rPr>
        <w:rFonts w:ascii="Symbol" w:hAnsi="Symbol" w:hint="default"/>
      </w:rPr>
    </w:lvl>
    <w:lvl w:ilvl="4" w:tplc="08090003" w:tentative="1">
      <w:start w:val="1"/>
      <w:numFmt w:val="bullet"/>
      <w:lvlText w:val="o"/>
      <w:lvlJc w:val="left"/>
      <w:pPr>
        <w:ind w:left="3254" w:hanging="360"/>
      </w:pPr>
      <w:rPr>
        <w:rFonts w:ascii="Courier New" w:hAnsi="Courier New" w:cs="Courier New" w:hint="default"/>
      </w:rPr>
    </w:lvl>
    <w:lvl w:ilvl="5" w:tplc="08090005" w:tentative="1">
      <w:start w:val="1"/>
      <w:numFmt w:val="bullet"/>
      <w:lvlText w:val=""/>
      <w:lvlJc w:val="left"/>
      <w:pPr>
        <w:ind w:left="3974" w:hanging="360"/>
      </w:pPr>
      <w:rPr>
        <w:rFonts w:ascii="Wingdings" w:hAnsi="Wingdings" w:hint="default"/>
      </w:rPr>
    </w:lvl>
    <w:lvl w:ilvl="6" w:tplc="08090001" w:tentative="1">
      <w:start w:val="1"/>
      <w:numFmt w:val="bullet"/>
      <w:lvlText w:val=""/>
      <w:lvlJc w:val="left"/>
      <w:pPr>
        <w:ind w:left="4694" w:hanging="360"/>
      </w:pPr>
      <w:rPr>
        <w:rFonts w:ascii="Symbol" w:hAnsi="Symbol" w:hint="default"/>
      </w:rPr>
    </w:lvl>
    <w:lvl w:ilvl="7" w:tplc="08090003" w:tentative="1">
      <w:start w:val="1"/>
      <w:numFmt w:val="bullet"/>
      <w:lvlText w:val="o"/>
      <w:lvlJc w:val="left"/>
      <w:pPr>
        <w:ind w:left="5414" w:hanging="360"/>
      </w:pPr>
      <w:rPr>
        <w:rFonts w:ascii="Courier New" w:hAnsi="Courier New" w:cs="Courier New" w:hint="default"/>
      </w:rPr>
    </w:lvl>
    <w:lvl w:ilvl="8" w:tplc="08090005" w:tentative="1">
      <w:start w:val="1"/>
      <w:numFmt w:val="bullet"/>
      <w:lvlText w:val=""/>
      <w:lvlJc w:val="left"/>
      <w:pPr>
        <w:ind w:left="6134" w:hanging="360"/>
      </w:pPr>
      <w:rPr>
        <w:rFonts w:ascii="Wingdings" w:hAnsi="Wingdings" w:hint="default"/>
      </w:rPr>
    </w:lvl>
  </w:abstractNum>
  <w:abstractNum w:abstractNumId="2" w15:restartNumberingAfterBreak="0">
    <w:nsid w:val="058D3129"/>
    <w:multiLevelType w:val="hybridMultilevel"/>
    <w:tmpl w:val="662E49A0"/>
    <w:lvl w:ilvl="0" w:tplc="D45208D6">
      <w:start w:val="2"/>
      <w:numFmt w:val="decimal"/>
      <w:lvlText w:val="(%1)"/>
      <w:lvlJc w:val="left"/>
      <w:pPr>
        <w:ind w:left="3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C2076D6">
      <w:start w:val="1"/>
      <w:numFmt w:val="lowerLetter"/>
      <w:lvlText w:val="%2"/>
      <w:lvlJc w:val="left"/>
      <w:pPr>
        <w:ind w:left="10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CAC5E76">
      <w:start w:val="1"/>
      <w:numFmt w:val="lowerRoman"/>
      <w:lvlText w:val="%3"/>
      <w:lvlJc w:val="left"/>
      <w:pPr>
        <w:ind w:left="18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8A04DDC">
      <w:start w:val="1"/>
      <w:numFmt w:val="decimal"/>
      <w:lvlText w:val="%4"/>
      <w:lvlJc w:val="left"/>
      <w:pPr>
        <w:ind w:left="25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6BEC3EE">
      <w:start w:val="1"/>
      <w:numFmt w:val="lowerLetter"/>
      <w:lvlText w:val="%5"/>
      <w:lvlJc w:val="left"/>
      <w:pPr>
        <w:ind w:left="32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6A06E7C">
      <w:start w:val="1"/>
      <w:numFmt w:val="lowerRoman"/>
      <w:lvlText w:val="%6"/>
      <w:lvlJc w:val="left"/>
      <w:pPr>
        <w:ind w:left="39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B4C61B0">
      <w:start w:val="1"/>
      <w:numFmt w:val="decimal"/>
      <w:lvlText w:val="%7"/>
      <w:lvlJc w:val="left"/>
      <w:pPr>
        <w:ind w:left="46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A64D7C6">
      <w:start w:val="1"/>
      <w:numFmt w:val="lowerLetter"/>
      <w:lvlText w:val="%8"/>
      <w:lvlJc w:val="left"/>
      <w:pPr>
        <w:ind w:left="54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F10CDA6">
      <w:start w:val="1"/>
      <w:numFmt w:val="lowerRoman"/>
      <w:lvlText w:val="%9"/>
      <w:lvlJc w:val="left"/>
      <w:pPr>
        <w:ind w:left="61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811710F"/>
    <w:multiLevelType w:val="hybridMultilevel"/>
    <w:tmpl w:val="277402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F31655"/>
    <w:multiLevelType w:val="hybridMultilevel"/>
    <w:tmpl w:val="BB820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827633"/>
    <w:multiLevelType w:val="hybridMultilevel"/>
    <w:tmpl w:val="CA68A9A6"/>
    <w:lvl w:ilvl="0" w:tplc="E33C2286">
      <w:start w:val="14"/>
      <w:numFmt w:val="decimal"/>
      <w:lvlText w:val="%1."/>
      <w:lvlJc w:val="left"/>
      <w:pPr>
        <w:ind w:left="7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06EB09A">
      <w:start w:val="1"/>
      <w:numFmt w:val="lowerLetter"/>
      <w:lvlText w:val="%2"/>
      <w:lvlJc w:val="left"/>
      <w:pPr>
        <w:ind w:left="14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2D82CC8">
      <w:start w:val="1"/>
      <w:numFmt w:val="lowerRoman"/>
      <w:lvlText w:val="%3"/>
      <w:lvlJc w:val="left"/>
      <w:pPr>
        <w:ind w:left="22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E2CC20A">
      <w:start w:val="1"/>
      <w:numFmt w:val="decimal"/>
      <w:lvlText w:val="%4"/>
      <w:lvlJc w:val="left"/>
      <w:pPr>
        <w:ind w:left="29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9606BE0">
      <w:start w:val="1"/>
      <w:numFmt w:val="lowerLetter"/>
      <w:lvlText w:val="%5"/>
      <w:lvlJc w:val="left"/>
      <w:pPr>
        <w:ind w:left="36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B1A609C">
      <w:start w:val="1"/>
      <w:numFmt w:val="lowerRoman"/>
      <w:lvlText w:val="%6"/>
      <w:lvlJc w:val="left"/>
      <w:pPr>
        <w:ind w:left="43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0F400F6">
      <w:start w:val="1"/>
      <w:numFmt w:val="decimal"/>
      <w:lvlText w:val="%7"/>
      <w:lvlJc w:val="left"/>
      <w:pPr>
        <w:ind w:left="50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662F328">
      <w:start w:val="1"/>
      <w:numFmt w:val="lowerLetter"/>
      <w:lvlText w:val="%8"/>
      <w:lvlJc w:val="left"/>
      <w:pPr>
        <w:ind w:left="58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7E319C">
      <w:start w:val="1"/>
      <w:numFmt w:val="lowerRoman"/>
      <w:lvlText w:val="%9"/>
      <w:lvlJc w:val="left"/>
      <w:pPr>
        <w:ind w:left="65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2BAD5639"/>
    <w:multiLevelType w:val="hybridMultilevel"/>
    <w:tmpl w:val="7BF4D228"/>
    <w:lvl w:ilvl="0" w:tplc="040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2E8C7D2C"/>
    <w:multiLevelType w:val="hybridMultilevel"/>
    <w:tmpl w:val="5B589648"/>
    <w:lvl w:ilvl="0" w:tplc="F8BE45B4">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0B57D3"/>
    <w:multiLevelType w:val="hybridMultilevel"/>
    <w:tmpl w:val="1652976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380150"/>
    <w:multiLevelType w:val="hybridMultilevel"/>
    <w:tmpl w:val="167E1F36"/>
    <w:lvl w:ilvl="0" w:tplc="E05E2348">
      <w:start w:val="1"/>
      <w:numFmt w:val="lowerLetter"/>
      <w:lvlText w:val="%1)"/>
      <w:lvlJc w:val="left"/>
      <w:pPr>
        <w:ind w:left="11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550CDA6">
      <w:start w:val="1"/>
      <w:numFmt w:val="lowerLetter"/>
      <w:lvlText w:val="%2"/>
      <w:lvlJc w:val="left"/>
      <w:pPr>
        <w:ind w:left="18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F1A5D80">
      <w:start w:val="1"/>
      <w:numFmt w:val="lowerRoman"/>
      <w:lvlText w:val="%3"/>
      <w:lvlJc w:val="left"/>
      <w:pPr>
        <w:ind w:left="25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2AA47D6">
      <w:start w:val="1"/>
      <w:numFmt w:val="decimal"/>
      <w:lvlText w:val="%4"/>
      <w:lvlJc w:val="left"/>
      <w:pPr>
        <w:ind w:left="32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EAEBEB6">
      <w:start w:val="1"/>
      <w:numFmt w:val="lowerLetter"/>
      <w:lvlText w:val="%5"/>
      <w:lvlJc w:val="left"/>
      <w:pPr>
        <w:ind w:left="39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2C065B8">
      <w:start w:val="1"/>
      <w:numFmt w:val="lowerRoman"/>
      <w:lvlText w:val="%6"/>
      <w:lvlJc w:val="left"/>
      <w:pPr>
        <w:ind w:left="46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05E704A">
      <w:start w:val="1"/>
      <w:numFmt w:val="decimal"/>
      <w:lvlText w:val="%7"/>
      <w:lvlJc w:val="left"/>
      <w:pPr>
        <w:ind w:left="54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C28D864">
      <w:start w:val="1"/>
      <w:numFmt w:val="lowerLetter"/>
      <w:lvlText w:val="%8"/>
      <w:lvlJc w:val="left"/>
      <w:pPr>
        <w:ind w:left="61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9B67972">
      <w:start w:val="1"/>
      <w:numFmt w:val="lowerRoman"/>
      <w:lvlText w:val="%9"/>
      <w:lvlJc w:val="left"/>
      <w:pPr>
        <w:ind w:left="68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40653458"/>
    <w:multiLevelType w:val="hybridMultilevel"/>
    <w:tmpl w:val="871A97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9134E7"/>
    <w:multiLevelType w:val="hybridMultilevel"/>
    <w:tmpl w:val="88BCFD54"/>
    <w:lvl w:ilvl="0" w:tplc="4B789564">
      <w:start w:val="2"/>
      <w:numFmt w:val="decimal"/>
      <w:lvlText w:val="(%1)"/>
      <w:lvlJc w:val="left"/>
      <w:pPr>
        <w:ind w:left="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790D304">
      <w:start w:val="1"/>
      <w:numFmt w:val="lowerLetter"/>
      <w:lvlText w:val="%2"/>
      <w:lvlJc w:val="left"/>
      <w:pPr>
        <w:ind w:left="10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114575E">
      <w:start w:val="1"/>
      <w:numFmt w:val="lowerRoman"/>
      <w:lvlText w:val="%3"/>
      <w:lvlJc w:val="left"/>
      <w:pPr>
        <w:ind w:left="18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8A6784C">
      <w:start w:val="1"/>
      <w:numFmt w:val="decimal"/>
      <w:lvlText w:val="%4"/>
      <w:lvlJc w:val="left"/>
      <w:pPr>
        <w:ind w:left="25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126297E">
      <w:start w:val="1"/>
      <w:numFmt w:val="lowerLetter"/>
      <w:lvlText w:val="%5"/>
      <w:lvlJc w:val="left"/>
      <w:pPr>
        <w:ind w:left="32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ABE2D14">
      <w:start w:val="1"/>
      <w:numFmt w:val="lowerRoman"/>
      <w:lvlText w:val="%6"/>
      <w:lvlJc w:val="left"/>
      <w:pPr>
        <w:ind w:left="39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6E81D7E">
      <w:start w:val="1"/>
      <w:numFmt w:val="decimal"/>
      <w:lvlText w:val="%7"/>
      <w:lvlJc w:val="left"/>
      <w:pPr>
        <w:ind w:left="46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1E4E946">
      <w:start w:val="1"/>
      <w:numFmt w:val="lowerLetter"/>
      <w:lvlText w:val="%8"/>
      <w:lvlJc w:val="left"/>
      <w:pPr>
        <w:ind w:left="54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034FB42">
      <w:start w:val="1"/>
      <w:numFmt w:val="lowerRoman"/>
      <w:lvlText w:val="%9"/>
      <w:lvlJc w:val="left"/>
      <w:pPr>
        <w:ind w:left="61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BB52679"/>
    <w:multiLevelType w:val="hybridMultilevel"/>
    <w:tmpl w:val="0F4422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EE73322"/>
    <w:multiLevelType w:val="hybridMultilevel"/>
    <w:tmpl w:val="94FE5704"/>
    <w:lvl w:ilvl="0" w:tplc="CD5CEBAC">
      <w:start w:val="1"/>
      <w:numFmt w:val="lowerLetter"/>
      <w:lvlText w:val="%1)"/>
      <w:lvlJc w:val="left"/>
      <w:pPr>
        <w:ind w:left="11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71264AE">
      <w:start w:val="1"/>
      <w:numFmt w:val="lowerLetter"/>
      <w:lvlText w:val="%2"/>
      <w:lvlJc w:val="left"/>
      <w:pPr>
        <w:ind w:left="182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4BE325C">
      <w:start w:val="1"/>
      <w:numFmt w:val="lowerRoman"/>
      <w:lvlText w:val="%3"/>
      <w:lvlJc w:val="left"/>
      <w:pPr>
        <w:ind w:left="254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8481F58">
      <w:start w:val="1"/>
      <w:numFmt w:val="decimal"/>
      <w:lvlText w:val="%4"/>
      <w:lvlJc w:val="left"/>
      <w:pPr>
        <w:ind w:left="326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50CACA0">
      <w:start w:val="1"/>
      <w:numFmt w:val="lowerLetter"/>
      <w:lvlText w:val="%5"/>
      <w:lvlJc w:val="left"/>
      <w:pPr>
        <w:ind w:left="398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63298B8">
      <w:start w:val="1"/>
      <w:numFmt w:val="lowerRoman"/>
      <w:lvlText w:val="%6"/>
      <w:lvlJc w:val="left"/>
      <w:pPr>
        <w:ind w:left="47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00AC358">
      <w:start w:val="1"/>
      <w:numFmt w:val="decimal"/>
      <w:lvlText w:val="%7"/>
      <w:lvlJc w:val="left"/>
      <w:pPr>
        <w:ind w:left="542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848C214">
      <w:start w:val="1"/>
      <w:numFmt w:val="lowerLetter"/>
      <w:lvlText w:val="%8"/>
      <w:lvlJc w:val="left"/>
      <w:pPr>
        <w:ind w:left="614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406CFFC">
      <w:start w:val="1"/>
      <w:numFmt w:val="lowerRoman"/>
      <w:lvlText w:val="%9"/>
      <w:lvlJc w:val="left"/>
      <w:pPr>
        <w:ind w:left="686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513D4890"/>
    <w:multiLevelType w:val="hybridMultilevel"/>
    <w:tmpl w:val="F0129E6A"/>
    <w:lvl w:ilvl="0" w:tplc="0409000B">
      <w:start w:val="1"/>
      <w:numFmt w:val="bullet"/>
      <w:lvlText w:val=""/>
      <w:lvlJc w:val="left"/>
      <w:pPr>
        <w:ind w:left="734" w:hanging="360"/>
      </w:pPr>
      <w:rPr>
        <w:rFonts w:ascii="Wingdings" w:hAnsi="Wingdings"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15" w15:restartNumberingAfterBreak="0">
    <w:nsid w:val="58C54C10"/>
    <w:multiLevelType w:val="hybridMultilevel"/>
    <w:tmpl w:val="693221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5343A48"/>
    <w:multiLevelType w:val="hybridMultilevel"/>
    <w:tmpl w:val="17160C86"/>
    <w:lvl w:ilvl="0" w:tplc="04090001">
      <w:start w:val="1"/>
      <w:numFmt w:val="bullet"/>
      <w:lvlText w:val=""/>
      <w:lvlJc w:val="left"/>
      <w:pPr>
        <w:ind w:left="720" w:hanging="72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BE80129"/>
    <w:multiLevelType w:val="hybridMultilevel"/>
    <w:tmpl w:val="6A92CE14"/>
    <w:lvl w:ilvl="0" w:tplc="04090001">
      <w:start w:val="1"/>
      <w:numFmt w:val="bullet"/>
      <w:lvlText w:val=""/>
      <w:lvlJc w:val="left"/>
      <w:pPr>
        <w:ind w:left="720" w:hanging="72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AC93FB4"/>
    <w:multiLevelType w:val="hybridMultilevel"/>
    <w:tmpl w:val="5E9CDCEE"/>
    <w:lvl w:ilvl="0" w:tplc="92C2AA00">
      <w:start w:val="6"/>
      <w:numFmt w:val="lowerLetter"/>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3"/>
  </w:num>
  <w:num w:numId="3">
    <w:abstractNumId w:val="18"/>
  </w:num>
  <w:num w:numId="4">
    <w:abstractNumId w:val="0"/>
  </w:num>
  <w:num w:numId="5">
    <w:abstractNumId w:val="9"/>
  </w:num>
  <w:num w:numId="6">
    <w:abstractNumId w:val="10"/>
  </w:num>
  <w:num w:numId="7">
    <w:abstractNumId w:val="11"/>
  </w:num>
  <w:num w:numId="8">
    <w:abstractNumId w:val="2"/>
  </w:num>
  <w:num w:numId="9">
    <w:abstractNumId w:val="4"/>
  </w:num>
  <w:num w:numId="10">
    <w:abstractNumId w:val="15"/>
  </w:num>
  <w:num w:numId="11">
    <w:abstractNumId w:val="6"/>
  </w:num>
  <w:num w:numId="12">
    <w:abstractNumId w:val="14"/>
  </w:num>
  <w:num w:numId="13">
    <w:abstractNumId w:val="5"/>
  </w:num>
  <w:num w:numId="14">
    <w:abstractNumId w:val="1"/>
  </w:num>
  <w:num w:numId="15">
    <w:abstractNumId w:val="8"/>
  </w:num>
  <w:num w:numId="16">
    <w:abstractNumId w:val="16"/>
  </w:num>
  <w:num w:numId="17">
    <w:abstractNumId w:val="17"/>
  </w:num>
  <w:num w:numId="18">
    <w:abstractNumId w:val="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CC3"/>
    <w:rsid w:val="00032B89"/>
    <w:rsid w:val="000574FD"/>
    <w:rsid w:val="000A16F3"/>
    <w:rsid w:val="000B050E"/>
    <w:rsid w:val="000C269E"/>
    <w:rsid w:val="000F7DFD"/>
    <w:rsid w:val="001169C2"/>
    <w:rsid w:val="00131427"/>
    <w:rsid w:val="0016677F"/>
    <w:rsid w:val="001E3F1F"/>
    <w:rsid w:val="001E4B4C"/>
    <w:rsid w:val="00213174"/>
    <w:rsid w:val="0023447F"/>
    <w:rsid w:val="002425FD"/>
    <w:rsid w:val="002636C8"/>
    <w:rsid w:val="00296067"/>
    <w:rsid w:val="002965AB"/>
    <w:rsid w:val="002B77A3"/>
    <w:rsid w:val="002C2EAA"/>
    <w:rsid w:val="002C691C"/>
    <w:rsid w:val="003140E5"/>
    <w:rsid w:val="003660B9"/>
    <w:rsid w:val="00377004"/>
    <w:rsid w:val="0038305A"/>
    <w:rsid w:val="003836E1"/>
    <w:rsid w:val="003906FC"/>
    <w:rsid w:val="00391CC3"/>
    <w:rsid w:val="003A5B1B"/>
    <w:rsid w:val="003D65E2"/>
    <w:rsid w:val="003E0FB5"/>
    <w:rsid w:val="003E4F7D"/>
    <w:rsid w:val="00427C99"/>
    <w:rsid w:val="00464C64"/>
    <w:rsid w:val="00487B16"/>
    <w:rsid w:val="004B6B2F"/>
    <w:rsid w:val="004C150E"/>
    <w:rsid w:val="004E5C02"/>
    <w:rsid w:val="004E5F83"/>
    <w:rsid w:val="004E7E7A"/>
    <w:rsid w:val="005065A3"/>
    <w:rsid w:val="00510D41"/>
    <w:rsid w:val="005C1D89"/>
    <w:rsid w:val="005E6962"/>
    <w:rsid w:val="00630D11"/>
    <w:rsid w:val="0066138E"/>
    <w:rsid w:val="006841D0"/>
    <w:rsid w:val="00717634"/>
    <w:rsid w:val="007311DA"/>
    <w:rsid w:val="00732396"/>
    <w:rsid w:val="007A6929"/>
    <w:rsid w:val="007A7514"/>
    <w:rsid w:val="007E56F5"/>
    <w:rsid w:val="0083439D"/>
    <w:rsid w:val="00851248"/>
    <w:rsid w:val="008771D4"/>
    <w:rsid w:val="008A2965"/>
    <w:rsid w:val="008A2995"/>
    <w:rsid w:val="008A6652"/>
    <w:rsid w:val="008F3384"/>
    <w:rsid w:val="00911755"/>
    <w:rsid w:val="00926090"/>
    <w:rsid w:val="00947B7A"/>
    <w:rsid w:val="009712D9"/>
    <w:rsid w:val="00977AA3"/>
    <w:rsid w:val="00991058"/>
    <w:rsid w:val="009A0FBF"/>
    <w:rsid w:val="009B012B"/>
    <w:rsid w:val="009F4B65"/>
    <w:rsid w:val="00A007E2"/>
    <w:rsid w:val="00A05B51"/>
    <w:rsid w:val="00A40361"/>
    <w:rsid w:val="00A51392"/>
    <w:rsid w:val="00A52002"/>
    <w:rsid w:val="00A528F1"/>
    <w:rsid w:val="00A54740"/>
    <w:rsid w:val="00AA4EDE"/>
    <w:rsid w:val="00AE6028"/>
    <w:rsid w:val="00B022DE"/>
    <w:rsid w:val="00B766D5"/>
    <w:rsid w:val="00BA4EC3"/>
    <w:rsid w:val="00BB1EAF"/>
    <w:rsid w:val="00BD768B"/>
    <w:rsid w:val="00BE4D77"/>
    <w:rsid w:val="00C503D0"/>
    <w:rsid w:val="00C66BE8"/>
    <w:rsid w:val="00CC3B60"/>
    <w:rsid w:val="00CD1D61"/>
    <w:rsid w:val="00D2271E"/>
    <w:rsid w:val="00D26BD2"/>
    <w:rsid w:val="00D3725B"/>
    <w:rsid w:val="00D41A9D"/>
    <w:rsid w:val="00D63460"/>
    <w:rsid w:val="00D67B33"/>
    <w:rsid w:val="00DA210E"/>
    <w:rsid w:val="00DF2C9E"/>
    <w:rsid w:val="00DF4838"/>
    <w:rsid w:val="00DF5DBB"/>
    <w:rsid w:val="00E0327E"/>
    <w:rsid w:val="00E1453C"/>
    <w:rsid w:val="00E65194"/>
    <w:rsid w:val="00EA21C6"/>
    <w:rsid w:val="00EA313E"/>
    <w:rsid w:val="00EC3B23"/>
    <w:rsid w:val="00EF02DE"/>
    <w:rsid w:val="00F240B9"/>
    <w:rsid w:val="00F269FE"/>
    <w:rsid w:val="00F3798F"/>
    <w:rsid w:val="00F45903"/>
    <w:rsid w:val="00F65691"/>
    <w:rsid w:val="00F93FAA"/>
    <w:rsid w:val="00FA6E75"/>
    <w:rsid w:val="00FF27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F1102"/>
  <w15:chartTrackingRefBased/>
  <w15:docId w15:val="{C21E410F-5779-44F3-AF1B-A16D7920F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1CC3"/>
  </w:style>
  <w:style w:type="paragraph" w:styleId="Heading1">
    <w:name w:val="heading 1"/>
    <w:basedOn w:val="Normal"/>
    <w:next w:val="Normal"/>
    <w:link w:val="Heading1Char"/>
    <w:uiPriority w:val="9"/>
    <w:qFormat/>
    <w:rsid w:val="003140E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next w:val="Normal"/>
    <w:link w:val="Heading2Char"/>
    <w:uiPriority w:val="9"/>
    <w:unhideWhenUsed/>
    <w:qFormat/>
    <w:rsid w:val="009F4B65"/>
    <w:pPr>
      <w:keepNext/>
      <w:keepLines/>
      <w:spacing w:after="229"/>
      <w:ind w:left="10" w:right="115" w:hanging="10"/>
      <w:outlineLvl w:val="1"/>
    </w:pPr>
    <w:rPr>
      <w:rFonts w:ascii="Times New Roman" w:eastAsia="Times New Roman" w:hAnsi="Times New Roman" w:cs="Times New Roman"/>
      <w:color w:val="000000"/>
      <w:sz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A54740"/>
  </w:style>
  <w:style w:type="paragraph" w:styleId="NoSpacing">
    <w:name w:val="No Spacing"/>
    <w:uiPriority w:val="1"/>
    <w:qFormat/>
    <w:rsid w:val="004C150E"/>
    <w:pPr>
      <w:spacing w:after="0" w:line="240" w:lineRule="auto"/>
    </w:pPr>
  </w:style>
  <w:style w:type="paragraph" w:styleId="FootnoteText">
    <w:name w:val="footnote text"/>
    <w:basedOn w:val="Normal"/>
    <w:link w:val="FootnoteTextChar"/>
    <w:uiPriority w:val="99"/>
    <w:semiHidden/>
    <w:unhideWhenUsed/>
    <w:rsid w:val="00BD76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D768B"/>
    <w:rPr>
      <w:sz w:val="20"/>
      <w:szCs w:val="20"/>
    </w:rPr>
  </w:style>
  <w:style w:type="character" w:styleId="FootnoteReference">
    <w:name w:val="footnote reference"/>
    <w:basedOn w:val="DefaultParagraphFont"/>
    <w:uiPriority w:val="99"/>
    <w:semiHidden/>
    <w:unhideWhenUsed/>
    <w:rsid w:val="00BD768B"/>
    <w:rPr>
      <w:vertAlign w:val="superscript"/>
    </w:rPr>
  </w:style>
  <w:style w:type="paragraph" w:styleId="ListParagraph">
    <w:name w:val="List Paragraph"/>
    <w:basedOn w:val="Normal"/>
    <w:uiPriority w:val="34"/>
    <w:qFormat/>
    <w:rsid w:val="00A52002"/>
    <w:pPr>
      <w:ind w:left="720"/>
      <w:contextualSpacing/>
    </w:pPr>
  </w:style>
  <w:style w:type="character" w:customStyle="1" w:styleId="Bodytext2Italic">
    <w:name w:val="Body text (2) + Italic"/>
    <w:basedOn w:val="DefaultParagraphFont"/>
    <w:rsid w:val="00F45903"/>
    <w:rPr>
      <w:rFonts w:ascii="Times New Roman" w:eastAsia="Times New Roman" w:hAnsi="Times New Roman" w:cs="Times New Roman"/>
      <w:b w:val="0"/>
      <w:bCs w:val="0"/>
      <w:i/>
      <w:iCs/>
      <w:smallCaps w:val="0"/>
      <w:strike w:val="0"/>
      <w:color w:val="000000"/>
      <w:spacing w:val="0"/>
      <w:w w:val="100"/>
      <w:position w:val="0"/>
      <w:sz w:val="22"/>
      <w:szCs w:val="22"/>
      <w:u w:val="none"/>
      <w:lang w:val="sq-AL" w:eastAsia="sq-AL" w:bidi="sq-AL"/>
    </w:rPr>
  </w:style>
  <w:style w:type="character" w:customStyle="1" w:styleId="Bodytext2">
    <w:name w:val="Body text (2)_"/>
    <w:basedOn w:val="DefaultParagraphFont"/>
    <w:link w:val="Bodytext20"/>
    <w:rsid w:val="00F45903"/>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F45903"/>
    <w:pPr>
      <w:widowControl w:val="0"/>
      <w:shd w:val="clear" w:color="auto" w:fill="FFFFFF"/>
      <w:spacing w:before="360" w:after="240" w:line="298" w:lineRule="exact"/>
      <w:ind w:hanging="420"/>
      <w:jc w:val="both"/>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9F4B65"/>
    <w:rPr>
      <w:rFonts w:ascii="Times New Roman" w:eastAsia="Times New Roman" w:hAnsi="Times New Roman" w:cs="Times New Roman"/>
      <w:color w:val="000000"/>
      <w:sz w:val="26"/>
      <w:lang w:val="en-US"/>
    </w:rPr>
  </w:style>
  <w:style w:type="character" w:customStyle="1" w:styleId="Heading1Char">
    <w:name w:val="Heading 1 Char"/>
    <w:basedOn w:val="DefaultParagraphFont"/>
    <w:link w:val="Heading1"/>
    <w:uiPriority w:val="9"/>
    <w:rsid w:val="003140E5"/>
    <w:rPr>
      <w:rFonts w:asciiTheme="majorHAnsi" w:eastAsiaTheme="majorEastAsia" w:hAnsiTheme="majorHAnsi" w:cstheme="majorBidi"/>
      <w:color w:val="2E74B5" w:themeColor="accent1" w:themeShade="BF"/>
      <w:sz w:val="32"/>
      <w:szCs w:val="32"/>
    </w:rPr>
  </w:style>
  <w:style w:type="paragraph" w:customStyle="1" w:styleId="footnotedescription">
    <w:name w:val="footnote description"/>
    <w:next w:val="Normal"/>
    <w:link w:val="footnotedescriptionChar"/>
    <w:hidden/>
    <w:rsid w:val="00CD1D61"/>
    <w:pPr>
      <w:spacing w:after="0" w:line="247" w:lineRule="auto"/>
      <w:ind w:left="31" w:firstLine="7"/>
    </w:pPr>
    <w:rPr>
      <w:rFonts w:ascii="Times New Roman" w:eastAsia="Times New Roman" w:hAnsi="Times New Roman" w:cs="Times New Roman"/>
      <w:color w:val="000000"/>
      <w:sz w:val="18"/>
      <w:lang w:val="en-US"/>
    </w:rPr>
  </w:style>
  <w:style w:type="character" w:customStyle="1" w:styleId="footnotedescriptionChar">
    <w:name w:val="footnote description Char"/>
    <w:link w:val="footnotedescription"/>
    <w:rsid w:val="00CD1D61"/>
    <w:rPr>
      <w:rFonts w:ascii="Times New Roman" w:eastAsia="Times New Roman" w:hAnsi="Times New Roman" w:cs="Times New Roman"/>
      <w:color w:val="000000"/>
      <w:sz w:val="18"/>
      <w:lang w:val="en-US"/>
    </w:rPr>
  </w:style>
  <w:style w:type="character" w:customStyle="1" w:styleId="footnotemark">
    <w:name w:val="footnote mark"/>
    <w:hidden/>
    <w:rsid w:val="00CD1D61"/>
    <w:rPr>
      <w:rFonts w:ascii="Times New Roman" w:eastAsia="Times New Roman" w:hAnsi="Times New Roman" w:cs="Times New Roman"/>
      <w:color w:val="000000"/>
      <w:sz w:val="18"/>
      <w:vertAlign w:val="superscript"/>
    </w:rPr>
  </w:style>
  <w:style w:type="paragraph" w:styleId="Header">
    <w:name w:val="header"/>
    <w:basedOn w:val="Normal"/>
    <w:link w:val="HeaderChar"/>
    <w:uiPriority w:val="99"/>
    <w:unhideWhenUsed/>
    <w:rsid w:val="00E651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5194"/>
  </w:style>
  <w:style w:type="paragraph" w:styleId="Footer">
    <w:name w:val="footer"/>
    <w:basedOn w:val="Normal"/>
    <w:link w:val="FooterChar"/>
    <w:uiPriority w:val="99"/>
    <w:unhideWhenUsed/>
    <w:rsid w:val="00E651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5194"/>
  </w:style>
  <w:style w:type="paragraph" w:styleId="BalloonText">
    <w:name w:val="Balloon Text"/>
    <w:basedOn w:val="Normal"/>
    <w:link w:val="BalloonTextChar"/>
    <w:uiPriority w:val="99"/>
    <w:semiHidden/>
    <w:unhideWhenUsed/>
    <w:rsid w:val="00A513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392"/>
    <w:rPr>
      <w:rFonts w:ascii="Segoe UI" w:hAnsi="Segoe UI" w:cs="Segoe UI"/>
      <w:sz w:val="18"/>
      <w:szCs w:val="18"/>
    </w:rPr>
  </w:style>
  <w:style w:type="character" w:styleId="Hyperlink">
    <w:name w:val="Hyperlink"/>
    <w:basedOn w:val="DefaultParagraphFont"/>
    <w:uiPriority w:val="99"/>
    <w:unhideWhenUsed/>
    <w:rsid w:val="003E0F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venice.coe.int/webforms/documents/default.aspx?pdffile=CDL-AD(2016)013-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7F565-F28A-40D0-B602-BF855BE97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4229</Words>
  <Characters>24109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Marcela Shehu</cp:lastModifiedBy>
  <cp:revision>10</cp:revision>
  <cp:lastPrinted>2023-01-30T07:43:00Z</cp:lastPrinted>
  <dcterms:created xsi:type="dcterms:W3CDTF">2023-05-29T11:17:00Z</dcterms:created>
  <dcterms:modified xsi:type="dcterms:W3CDTF">2023-05-30T06:59:00Z</dcterms:modified>
</cp:coreProperties>
</file>