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AEDA6" w14:textId="77777777"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color w:val="000000"/>
        </w:rPr>
      </w:pPr>
      <w:r w:rsidRPr="00E56367">
        <w:rPr>
          <w:rFonts w:ascii="Bookman Old Style" w:hAnsi="Bookman Old Style" w:cs="Garamond"/>
          <w:noProof/>
          <w:color w:val="000000"/>
          <w:lang w:val="en-US"/>
        </w:rPr>
        <w:drawing>
          <wp:inline distT="0" distB="0" distL="0" distR="0" wp14:anchorId="477D5C84" wp14:editId="2F531536">
            <wp:extent cx="405130" cy="56070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5130" cy="560705"/>
                    </a:xfrm>
                    <a:prstGeom prst="rect">
                      <a:avLst/>
                    </a:prstGeom>
                    <a:noFill/>
                    <a:ln w="9525">
                      <a:noFill/>
                      <a:miter lim="800000"/>
                      <a:headEnd/>
                      <a:tailEnd/>
                    </a:ln>
                  </pic:spPr>
                </pic:pic>
              </a:graphicData>
            </a:graphic>
          </wp:inline>
        </w:drawing>
      </w:r>
    </w:p>
    <w:p w14:paraId="062BB3D4" w14:textId="77777777"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E56367">
        <w:rPr>
          <w:rFonts w:ascii="Bookman Old Style" w:hAnsi="Bookman Old Style" w:cs="Garamond"/>
          <w:b/>
          <w:bCs/>
          <w:color w:val="000000"/>
        </w:rPr>
        <w:t xml:space="preserve">REPUBLIKA E SHQIPËRISË </w:t>
      </w:r>
    </w:p>
    <w:p w14:paraId="559E7A2C" w14:textId="77777777"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E56367">
        <w:rPr>
          <w:rFonts w:ascii="Bookman Old Style" w:hAnsi="Bookman Old Style" w:cs="Garamond"/>
          <w:b/>
          <w:bCs/>
          <w:color w:val="000000"/>
        </w:rPr>
        <w:t xml:space="preserve">GJYKATA E RRETHIT GJYQËSOR </w:t>
      </w:r>
    </w:p>
    <w:p w14:paraId="3BC1BFA1" w14:textId="77777777" w:rsidR="00E56367" w:rsidRPr="00E56367" w:rsidRDefault="00E56367" w:rsidP="00E56367">
      <w:pPr>
        <w:pBdr>
          <w:bottom w:val="double" w:sz="16" w:space="1" w:color="auto"/>
          <w:between w:val="double" w:sz="1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E56367">
        <w:rPr>
          <w:rFonts w:ascii="Bookman Old Style" w:hAnsi="Bookman Old Style" w:cs="Garamond"/>
          <w:b/>
          <w:bCs/>
          <w:color w:val="000000"/>
        </w:rPr>
        <w:t>KAVAJЁ</w:t>
      </w:r>
    </w:p>
    <w:p w14:paraId="12E14E92" w14:textId="167CB198"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ascii="Bookman Old Style" w:hAnsi="Bookman Old Style" w:cs="Garamond"/>
          <w:color w:val="000000"/>
        </w:rPr>
      </w:pPr>
      <w:r w:rsidRPr="00E56367">
        <w:rPr>
          <w:rFonts w:ascii="Bookman Old Style" w:hAnsi="Bookman Old Style" w:cs="Garamond"/>
          <w:b/>
          <w:bCs/>
          <w:color w:val="000000"/>
        </w:rPr>
        <w:t xml:space="preserve">Nr. </w:t>
      </w:r>
      <w:r w:rsidR="00F800C9">
        <w:rPr>
          <w:rFonts w:ascii="Bookman Old Style" w:hAnsi="Bookman Old Style" w:cs="Garamond"/>
          <w:b/>
          <w:bCs/>
          <w:color w:val="000000"/>
        </w:rPr>
        <w:t>70111</w:t>
      </w:r>
      <w:r w:rsidRPr="00E56367">
        <w:rPr>
          <w:rFonts w:ascii="Bookman Old Style" w:hAnsi="Bookman Old Style" w:cs="Garamond"/>
          <w:b/>
          <w:bCs/>
          <w:color w:val="000000"/>
        </w:rPr>
        <w:t>-0</w:t>
      </w:r>
      <w:r w:rsidR="00F800C9">
        <w:rPr>
          <w:rFonts w:ascii="Bookman Old Style" w:hAnsi="Bookman Old Style" w:cs="Garamond"/>
          <w:b/>
          <w:bCs/>
          <w:color w:val="000000"/>
        </w:rPr>
        <w:t>2251</w:t>
      </w:r>
      <w:r w:rsidRPr="00E56367">
        <w:rPr>
          <w:rFonts w:ascii="Bookman Old Style" w:hAnsi="Bookman Old Style" w:cs="Garamond"/>
          <w:b/>
          <w:bCs/>
          <w:color w:val="000000"/>
        </w:rPr>
        <w:t>-12-20</w:t>
      </w:r>
      <w:r w:rsidR="00F800C9">
        <w:rPr>
          <w:rFonts w:ascii="Bookman Old Style" w:hAnsi="Bookman Old Style" w:cs="Garamond"/>
          <w:b/>
          <w:bCs/>
          <w:color w:val="000000"/>
        </w:rPr>
        <w:t>21</w:t>
      </w:r>
      <w:r w:rsidR="00244375">
        <w:rPr>
          <w:rFonts w:ascii="Bookman Old Style" w:hAnsi="Bookman Old Style" w:cs="Garamond"/>
          <w:b/>
          <w:bCs/>
          <w:color w:val="000000"/>
        </w:rPr>
        <w:t xml:space="preserve"> (</w:t>
      </w:r>
      <w:r w:rsidR="00F800C9">
        <w:rPr>
          <w:rFonts w:ascii="Bookman Old Style" w:hAnsi="Bookman Old Style" w:cs="Garamond"/>
          <w:b/>
          <w:bCs/>
          <w:color w:val="000000"/>
        </w:rPr>
        <w:t>34</w:t>
      </w:r>
      <w:r w:rsidR="00331ACA">
        <w:rPr>
          <w:rFonts w:ascii="Bookman Old Style" w:hAnsi="Bookman Old Style" w:cs="Garamond"/>
          <w:b/>
          <w:bCs/>
          <w:color w:val="000000"/>
        </w:rPr>
        <w:t>1</w:t>
      </w:r>
      <w:r w:rsidR="007D4DFA">
        <w:rPr>
          <w:rFonts w:ascii="Bookman Old Style" w:hAnsi="Bookman Old Style" w:cs="Garamond"/>
          <w:b/>
          <w:bCs/>
          <w:color w:val="000000"/>
        </w:rPr>
        <w:t xml:space="preserve">) Regj.   </w:t>
      </w:r>
      <w:r w:rsidR="00244375">
        <w:rPr>
          <w:rFonts w:ascii="Bookman Old Style" w:hAnsi="Bookman Old Style" w:cs="Garamond"/>
          <w:b/>
          <w:bCs/>
          <w:color w:val="000000"/>
        </w:rPr>
        <w:t xml:space="preserve">  </w:t>
      </w:r>
      <w:r w:rsidRPr="00E56367">
        <w:rPr>
          <w:rFonts w:ascii="Bookman Old Style" w:hAnsi="Bookman Old Style" w:cs="Garamond"/>
          <w:b/>
          <w:bCs/>
          <w:color w:val="000000"/>
        </w:rPr>
        <w:t>Nr. 12-20</w:t>
      </w:r>
      <w:r w:rsidR="00331ACA">
        <w:rPr>
          <w:rFonts w:ascii="Bookman Old Style" w:hAnsi="Bookman Old Style" w:cs="Garamond"/>
          <w:b/>
          <w:bCs/>
          <w:color w:val="000000"/>
        </w:rPr>
        <w:t>2</w:t>
      </w:r>
      <w:r w:rsidR="00F800C9">
        <w:rPr>
          <w:rFonts w:ascii="Bookman Old Style" w:hAnsi="Bookman Old Style" w:cs="Garamond"/>
          <w:b/>
          <w:bCs/>
          <w:color w:val="000000"/>
        </w:rPr>
        <w:t>1</w:t>
      </w:r>
      <w:r w:rsidRPr="00E56367">
        <w:rPr>
          <w:rFonts w:ascii="Bookman Old Style" w:hAnsi="Bookman Old Style" w:cs="Garamond"/>
          <w:b/>
          <w:bCs/>
          <w:color w:val="000000"/>
        </w:rPr>
        <w:t>-</w:t>
      </w:r>
      <w:r w:rsidR="00F800C9">
        <w:rPr>
          <w:rFonts w:ascii="Bookman Old Style" w:hAnsi="Bookman Old Style" w:cs="Garamond"/>
          <w:b/>
          <w:bCs/>
          <w:color w:val="000000"/>
        </w:rPr>
        <w:t xml:space="preserve">1643 </w:t>
      </w:r>
      <w:r w:rsidR="00244375">
        <w:rPr>
          <w:rFonts w:ascii="Bookman Old Style" w:hAnsi="Bookman Old Style" w:cs="Garamond"/>
          <w:b/>
          <w:bCs/>
          <w:color w:val="000000"/>
        </w:rPr>
        <w:t>(</w:t>
      </w:r>
      <w:r w:rsidR="00F800C9">
        <w:rPr>
          <w:rFonts w:ascii="Bookman Old Style" w:hAnsi="Bookman Old Style" w:cs="Garamond"/>
          <w:b/>
          <w:bCs/>
          <w:color w:val="000000"/>
        </w:rPr>
        <w:t>34</w:t>
      </w:r>
      <w:r w:rsidR="00244375">
        <w:rPr>
          <w:rFonts w:ascii="Bookman Old Style" w:hAnsi="Bookman Old Style" w:cs="Garamond"/>
          <w:b/>
          <w:bCs/>
          <w:color w:val="000000"/>
        </w:rPr>
        <w:t>1)</w:t>
      </w:r>
      <w:r w:rsidR="00EA6B5C">
        <w:rPr>
          <w:rFonts w:ascii="Bookman Old Style" w:hAnsi="Bookman Old Style" w:cs="Garamond"/>
          <w:b/>
          <w:bCs/>
          <w:color w:val="000000"/>
        </w:rPr>
        <w:t xml:space="preserve"> Vendimi    Datë </w:t>
      </w:r>
      <w:r w:rsidR="00F800C9">
        <w:rPr>
          <w:rFonts w:ascii="Bookman Old Style" w:hAnsi="Bookman Old Style" w:cs="Garamond"/>
          <w:b/>
          <w:bCs/>
          <w:color w:val="000000"/>
        </w:rPr>
        <w:t>14</w:t>
      </w:r>
      <w:r w:rsidR="007D4DFA">
        <w:rPr>
          <w:rFonts w:ascii="Bookman Old Style" w:hAnsi="Bookman Old Style" w:cs="Garamond"/>
          <w:b/>
          <w:bCs/>
          <w:color w:val="000000"/>
        </w:rPr>
        <w:t>.</w:t>
      </w:r>
      <w:r w:rsidR="00F800C9">
        <w:rPr>
          <w:rFonts w:ascii="Bookman Old Style" w:hAnsi="Bookman Old Style" w:cs="Garamond"/>
          <w:b/>
          <w:bCs/>
          <w:color w:val="000000"/>
        </w:rPr>
        <w:t>09</w:t>
      </w:r>
      <w:r w:rsidRPr="00E56367">
        <w:rPr>
          <w:rFonts w:ascii="Bookman Old Style" w:hAnsi="Bookman Old Style" w:cs="Garamond"/>
          <w:b/>
          <w:bCs/>
          <w:color w:val="000000"/>
        </w:rPr>
        <w:t>.20</w:t>
      </w:r>
      <w:r w:rsidR="00331ACA">
        <w:rPr>
          <w:rFonts w:ascii="Bookman Old Style" w:hAnsi="Bookman Old Style" w:cs="Garamond"/>
          <w:b/>
          <w:bCs/>
          <w:color w:val="000000"/>
        </w:rPr>
        <w:t>2</w:t>
      </w:r>
      <w:r w:rsidR="00F800C9">
        <w:rPr>
          <w:rFonts w:ascii="Bookman Old Style" w:hAnsi="Bookman Old Style" w:cs="Garamond"/>
          <w:b/>
          <w:bCs/>
          <w:color w:val="000000"/>
        </w:rPr>
        <w:t>1</w:t>
      </w:r>
      <w:r w:rsidRPr="00E56367">
        <w:rPr>
          <w:rFonts w:ascii="Bookman Old Style" w:hAnsi="Bookman Old Style" w:cs="Garamond"/>
          <w:b/>
          <w:bCs/>
          <w:color w:val="000000"/>
        </w:rPr>
        <w:tab/>
      </w:r>
      <w:r w:rsidRPr="00E56367">
        <w:rPr>
          <w:rFonts w:ascii="Bookman Old Style" w:hAnsi="Bookman Old Style" w:cs="Garamond"/>
          <w:color w:val="000000"/>
        </w:rPr>
        <w:t xml:space="preserve">        </w:t>
      </w:r>
      <w:r>
        <w:rPr>
          <w:rFonts w:ascii="Bookman Old Style" w:hAnsi="Bookman Old Style" w:cs="Garamond"/>
          <w:color w:val="000000"/>
        </w:rPr>
        <w:tab/>
      </w:r>
      <w:r>
        <w:rPr>
          <w:rFonts w:ascii="Bookman Old Style" w:hAnsi="Bookman Old Style" w:cs="Garamond"/>
          <w:color w:val="000000"/>
        </w:rPr>
        <w:tab/>
      </w:r>
      <w:r>
        <w:rPr>
          <w:rFonts w:ascii="Bookman Old Style" w:hAnsi="Bookman Old Style" w:cs="Garamond"/>
          <w:color w:val="000000"/>
        </w:rPr>
        <w:tab/>
      </w:r>
      <w:r>
        <w:rPr>
          <w:rFonts w:ascii="Bookman Old Style" w:hAnsi="Bookman Old Style" w:cs="Garamond"/>
          <w:color w:val="000000"/>
        </w:rPr>
        <w:tab/>
      </w:r>
      <w:r>
        <w:rPr>
          <w:rFonts w:ascii="Bookman Old Style" w:hAnsi="Bookman Old Style" w:cs="Garamond"/>
          <w:color w:val="000000"/>
        </w:rPr>
        <w:tab/>
      </w:r>
      <w:r>
        <w:rPr>
          <w:rFonts w:ascii="Bookman Old Style" w:hAnsi="Bookman Old Style" w:cs="Garamond"/>
          <w:color w:val="000000"/>
        </w:rPr>
        <w:tab/>
        <w:t xml:space="preserve">    </w:t>
      </w:r>
      <w:r w:rsidRPr="00E56367">
        <w:rPr>
          <w:rFonts w:ascii="Bookman Old Style" w:hAnsi="Bookman Old Style" w:cs="Garamond"/>
          <w:color w:val="000000"/>
        </w:rPr>
        <w:t xml:space="preserve"> </w:t>
      </w:r>
      <w:r w:rsidR="00644246">
        <w:rPr>
          <w:rFonts w:ascii="Bookman Old Style" w:hAnsi="Bookman Old Style" w:cs="Garamond"/>
          <w:b/>
          <w:bCs/>
          <w:color w:val="000000"/>
        </w:rPr>
        <w:t xml:space="preserve">Datë </w:t>
      </w:r>
      <w:r w:rsidR="00F800C9">
        <w:rPr>
          <w:rFonts w:ascii="Bookman Old Style" w:hAnsi="Bookman Old Style" w:cs="Garamond"/>
          <w:b/>
          <w:bCs/>
          <w:color w:val="000000"/>
        </w:rPr>
        <w:t>20.10.2021</w:t>
      </w:r>
      <w:r w:rsidRPr="00E56367">
        <w:rPr>
          <w:rFonts w:ascii="Bookman Old Style" w:hAnsi="Bookman Old Style" w:cs="Garamond"/>
          <w:color w:val="000000"/>
        </w:rPr>
        <w:t xml:space="preserve">    </w:t>
      </w:r>
    </w:p>
    <w:p w14:paraId="688FEAAA" w14:textId="77777777" w:rsidR="00E56367" w:rsidRPr="00E56367" w:rsidRDefault="00E56367" w:rsidP="00E5636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60" w:line="276" w:lineRule="auto"/>
        <w:jc w:val="center"/>
        <w:rPr>
          <w:rFonts w:ascii="Bookman Old Style" w:hAnsi="Bookman Old Style" w:cs="Garamond"/>
          <w:b/>
          <w:bCs/>
          <w:color w:val="000000"/>
          <w:u w:val="single"/>
        </w:rPr>
      </w:pPr>
      <w:r w:rsidRPr="00E56367">
        <w:rPr>
          <w:rFonts w:ascii="Bookman Old Style" w:hAnsi="Bookman Old Style" w:cs="Garamond"/>
          <w:b/>
          <w:bCs/>
          <w:color w:val="000000"/>
          <w:u w:val="single"/>
        </w:rPr>
        <w:t>VENDIM</w:t>
      </w:r>
    </w:p>
    <w:p w14:paraId="742A5B5D" w14:textId="77777777" w:rsidR="00E56367" w:rsidRPr="00E56367" w:rsidRDefault="00E56367" w:rsidP="00E5636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line="276" w:lineRule="auto"/>
        <w:jc w:val="center"/>
        <w:rPr>
          <w:rFonts w:ascii="Bookman Old Style" w:hAnsi="Bookman Old Style" w:cs="Garamond"/>
          <w:b/>
          <w:bCs/>
          <w:i/>
          <w:color w:val="000000"/>
          <w:u w:val="single"/>
        </w:rPr>
      </w:pPr>
      <w:r w:rsidRPr="00E56367">
        <w:rPr>
          <w:rFonts w:ascii="Bookman Old Style" w:hAnsi="Bookman Old Style" w:cs="Garamond"/>
          <w:b/>
          <w:bCs/>
          <w:color w:val="000000"/>
          <w:u w:val="single"/>
        </w:rPr>
        <w:t xml:space="preserve">“NЁ EMЁR TЁ REPUBLIKЁS”    </w:t>
      </w:r>
    </w:p>
    <w:p w14:paraId="17FFF64C" w14:textId="77777777"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center"/>
        <w:rPr>
          <w:rFonts w:ascii="Bookman Old Style" w:hAnsi="Bookman Old Style" w:cs="Garamond"/>
          <w:color w:val="000000"/>
        </w:rPr>
      </w:pPr>
      <w:r w:rsidRPr="00E56367">
        <w:rPr>
          <w:rFonts w:ascii="Bookman Old Style" w:hAnsi="Bookman Old Style" w:cs="Garamond"/>
          <w:b/>
          <w:bCs/>
          <w:i/>
          <w:iCs/>
          <w:color w:val="000000"/>
        </w:rPr>
        <w:t>Gjykata e Rrethit Gjyqësor Kavajё e përbërë nga:</w:t>
      </w:r>
    </w:p>
    <w:p w14:paraId="519890A8" w14:textId="77777777"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center"/>
        <w:rPr>
          <w:rFonts w:ascii="Bookman Old Style" w:hAnsi="Bookman Old Style" w:cs="Garamond"/>
          <w:color w:val="000000"/>
        </w:rPr>
      </w:pPr>
      <w:r w:rsidRPr="00E56367">
        <w:rPr>
          <w:rFonts w:ascii="Bookman Old Style" w:hAnsi="Bookman Old Style" w:cs="Garamond"/>
          <w:b/>
          <w:bCs/>
          <w:color w:val="000000"/>
        </w:rPr>
        <w:t xml:space="preserve">GJYQTAR: </w:t>
      </w:r>
      <w:r w:rsidRPr="00E56367">
        <w:rPr>
          <w:rFonts w:ascii="Bookman Old Style" w:hAnsi="Bookman Old Style" w:cs="Garamond"/>
          <w:b/>
          <w:bCs/>
          <w:color w:val="000000"/>
        </w:rPr>
        <w:tab/>
      </w:r>
      <w:r w:rsidRPr="00E56367">
        <w:rPr>
          <w:rFonts w:ascii="Bookman Old Style" w:hAnsi="Bookman Old Style" w:cs="Garamond"/>
          <w:b/>
          <w:bCs/>
          <w:color w:val="000000"/>
        </w:rPr>
        <w:tab/>
        <w:t xml:space="preserve">GENTI DOKOLLARI </w:t>
      </w:r>
    </w:p>
    <w:p w14:paraId="64F26F12" w14:textId="66E56B86" w:rsidR="00E56367" w:rsidRP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both"/>
        <w:rPr>
          <w:rFonts w:ascii="Bookman Old Style" w:hAnsi="Bookman Old Style" w:cs="Garamond"/>
          <w:b/>
          <w:bCs/>
          <w:color w:val="000000"/>
        </w:rPr>
      </w:pPr>
      <w:r w:rsidRPr="00E56367">
        <w:rPr>
          <w:rFonts w:ascii="Bookman Old Style" w:hAnsi="Bookman Old Style" w:cs="Garamond"/>
          <w:color w:val="000000"/>
        </w:rPr>
        <w:tab/>
        <w:t xml:space="preserve">Asistuar nga sekretare gjyqësore </w:t>
      </w:r>
      <w:r w:rsidRPr="00E56367">
        <w:rPr>
          <w:rFonts w:ascii="Bookman Old Style" w:hAnsi="Bookman Old Style" w:cs="Garamond"/>
          <w:b/>
          <w:color w:val="000000"/>
        </w:rPr>
        <w:t>Arjana Hoxha,</w:t>
      </w:r>
      <w:r w:rsidR="00644246">
        <w:rPr>
          <w:rFonts w:ascii="Bookman Old Style" w:hAnsi="Bookman Old Style" w:cs="Garamond"/>
          <w:color w:val="000000"/>
        </w:rPr>
        <w:t xml:space="preserve"> sot me datë </w:t>
      </w:r>
      <w:r w:rsidR="00F800C9">
        <w:rPr>
          <w:rFonts w:ascii="Bookman Old Style" w:hAnsi="Bookman Old Style" w:cs="Garamond"/>
          <w:color w:val="000000"/>
        </w:rPr>
        <w:t>20.10.2021</w:t>
      </w:r>
      <w:r w:rsidRPr="00E56367">
        <w:rPr>
          <w:rFonts w:ascii="Bookman Old Style" w:hAnsi="Bookman Old Style" w:cs="Garamond"/>
          <w:color w:val="000000"/>
        </w:rPr>
        <w:t xml:space="preserve">, mori </w:t>
      </w:r>
      <w:proofErr w:type="spellStart"/>
      <w:r w:rsidRPr="00E56367">
        <w:rPr>
          <w:rFonts w:ascii="Bookman Old Style" w:hAnsi="Bookman Old Style" w:cs="Garamond"/>
          <w:color w:val="000000"/>
        </w:rPr>
        <w:t>nё</w:t>
      </w:r>
      <w:proofErr w:type="spellEnd"/>
      <w:r w:rsidRPr="00E56367">
        <w:rPr>
          <w:rFonts w:ascii="Bookman Old Style" w:hAnsi="Bookman Old Style" w:cs="Garamond"/>
          <w:color w:val="000000"/>
        </w:rPr>
        <w:t xml:space="preserve"> shqyrtim nё seancё gjyqёsore me dyer tё hapura kёrkesёn penale nr. </w:t>
      </w:r>
      <w:r w:rsidR="00B9095E">
        <w:rPr>
          <w:rFonts w:ascii="Bookman Old Style" w:hAnsi="Bookman Old Style" w:cs="Garamond"/>
          <w:color w:val="000000"/>
        </w:rPr>
        <w:t>70111-02251-12-2021 (341)</w:t>
      </w:r>
      <w:r w:rsidR="00244375">
        <w:rPr>
          <w:rFonts w:ascii="Bookman Old Style" w:hAnsi="Bookman Old Style" w:cs="Garamond"/>
          <w:b/>
          <w:bCs/>
          <w:color w:val="000000"/>
        </w:rPr>
        <w:t xml:space="preserve"> </w:t>
      </w:r>
      <w:r w:rsidRPr="00E56367">
        <w:rPr>
          <w:rFonts w:ascii="Bookman Old Style" w:hAnsi="Bookman Old Style" w:cs="Garamond"/>
          <w:bCs/>
          <w:color w:val="000000"/>
        </w:rPr>
        <w:t>regj.,</w:t>
      </w:r>
      <w:r w:rsidRPr="00E56367">
        <w:rPr>
          <w:rFonts w:ascii="Bookman Old Style" w:hAnsi="Bookman Old Style" w:cs="Garamond"/>
          <w:color w:val="000000"/>
        </w:rPr>
        <w:t xml:space="preserve"> që i përket:</w:t>
      </w:r>
    </w:p>
    <w:p w14:paraId="439BF0E9" w14:textId="51155FBD" w:rsidR="00C30E2A" w:rsidRPr="00070B84" w:rsidRDefault="00C30E2A" w:rsidP="00244375">
      <w:pPr>
        <w:tabs>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76" w:lineRule="auto"/>
        <w:ind w:left="3600" w:hanging="3600"/>
        <w:jc w:val="both"/>
        <w:rPr>
          <w:rFonts w:ascii="Bookman Old Style" w:hAnsi="Bookman Old Style" w:cs="Garamond"/>
          <w:b/>
          <w:color w:val="000000"/>
        </w:rPr>
      </w:pPr>
      <w:r w:rsidRPr="00070B84">
        <w:rPr>
          <w:rFonts w:ascii="Bookman Old Style" w:hAnsi="Bookman Old Style" w:cs="Garamond"/>
          <w:b/>
          <w:bCs/>
          <w:color w:val="000000"/>
          <w:u w:val="single"/>
        </w:rPr>
        <w:t>KËRKUES</w:t>
      </w:r>
      <w:r w:rsidR="00244375">
        <w:rPr>
          <w:rFonts w:ascii="Bookman Old Style" w:hAnsi="Bookman Old Style" w:cs="Garamond"/>
          <w:b/>
          <w:bCs/>
          <w:color w:val="000000"/>
        </w:rPr>
        <w:t xml:space="preserve">: </w:t>
      </w:r>
      <w:r w:rsidR="00244375">
        <w:rPr>
          <w:rFonts w:ascii="Bookman Old Style" w:hAnsi="Bookman Old Style" w:cs="Garamond"/>
          <w:b/>
          <w:bCs/>
          <w:color w:val="000000"/>
        </w:rPr>
        <w:tab/>
      </w:r>
      <w:r w:rsidR="00244375">
        <w:rPr>
          <w:rFonts w:ascii="Bookman Old Style" w:hAnsi="Bookman Old Style" w:cs="Garamond"/>
          <w:b/>
          <w:bCs/>
          <w:color w:val="000000"/>
        </w:rPr>
        <w:tab/>
      </w:r>
      <w:r w:rsidR="00244375">
        <w:rPr>
          <w:rFonts w:ascii="Bookman Old Style" w:hAnsi="Bookman Old Style" w:cs="Garamond"/>
          <w:b/>
          <w:bCs/>
          <w:color w:val="000000"/>
        </w:rPr>
        <w:tab/>
      </w:r>
      <w:r w:rsidR="00244375">
        <w:rPr>
          <w:rFonts w:ascii="Bookman Old Style" w:hAnsi="Bookman Old Style" w:cs="Garamond"/>
          <w:b/>
          <w:bCs/>
          <w:color w:val="000000"/>
        </w:rPr>
        <w:tab/>
      </w:r>
      <w:r w:rsidR="00244375">
        <w:rPr>
          <w:rFonts w:ascii="Bookman Old Style" w:hAnsi="Bookman Old Style" w:cs="Garamond"/>
          <w:b/>
          <w:color w:val="000000"/>
        </w:rPr>
        <w:t>Edmond Marku</w:t>
      </w:r>
      <w:r w:rsidR="00244375" w:rsidRPr="00641908">
        <w:rPr>
          <w:rFonts w:ascii="Bookman Old Style" w:hAnsi="Bookman Old Style" w:cs="Garamond"/>
          <w:b/>
          <w:color w:val="000000"/>
        </w:rPr>
        <w:t xml:space="preserve">, </w:t>
      </w:r>
      <w:r w:rsidR="00244375" w:rsidRPr="00641908">
        <w:rPr>
          <w:rFonts w:ascii="Bookman Old Style" w:hAnsi="Bookman Old Style"/>
        </w:rPr>
        <w:t xml:space="preserve">i biri i </w:t>
      </w:r>
      <w:r w:rsidR="00244375">
        <w:rPr>
          <w:rFonts w:ascii="Bookman Old Style" w:hAnsi="Bookman Old Style"/>
        </w:rPr>
        <w:t xml:space="preserve">Prengës dhe i Dranes. i dtl. 27.07.1984, lindur ne Mirditë dhe banues në Tiranë, me shtetёsi shqiptare, me gjendje civile i martuar, me gjendje gjyqёsore i dёnuar mё parё, </w:t>
      </w:r>
      <w:r w:rsidR="00244375" w:rsidRPr="00641908">
        <w:rPr>
          <w:rFonts w:ascii="Bookman Old Style" w:hAnsi="Bookman Old Style"/>
        </w:rPr>
        <w:t xml:space="preserve">aktualisht vuan </w:t>
      </w:r>
      <w:proofErr w:type="spellStart"/>
      <w:r w:rsidR="00244375" w:rsidRPr="00641908">
        <w:rPr>
          <w:rFonts w:ascii="Bookman Old Style" w:hAnsi="Bookman Old Style"/>
        </w:rPr>
        <w:t>dёnimin</w:t>
      </w:r>
      <w:proofErr w:type="spellEnd"/>
      <w:r w:rsidR="00244375" w:rsidRPr="00641908">
        <w:rPr>
          <w:rFonts w:ascii="Bookman Old Style" w:hAnsi="Bookman Old Style"/>
        </w:rPr>
        <w:t xml:space="preserve"> </w:t>
      </w:r>
      <w:proofErr w:type="spellStart"/>
      <w:r w:rsidR="00244375" w:rsidRPr="00641908">
        <w:rPr>
          <w:rFonts w:ascii="Bookman Old Style" w:hAnsi="Bookman Old Style"/>
        </w:rPr>
        <w:t>pranё</w:t>
      </w:r>
      <w:proofErr w:type="spellEnd"/>
      <w:r w:rsidR="00244375" w:rsidRPr="00641908">
        <w:rPr>
          <w:rFonts w:ascii="Bookman Old Style" w:hAnsi="Bookman Old Style"/>
        </w:rPr>
        <w:t xml:space="preserve"> IEVP </w:t>
      </w:r>
      <w:proofErr w:type="spellStart"/>
      <w:r w:rsidR="00244375" w:rsidRPr="00641908">
        <w:rPr>
          <w:rFonts w:ascii="Bookman Old Style" w:hAnsi="Bookman Old Style"/>
        </w:rPr>
        <w:t>Rrogozhinё</w:t>
      </w:r>
      <w:proofErr w:type="spellEnd"/>
      <w:r w:rsidR="00BB2D83">
        <w:rPr>
          <w:rFonts w:ascii="Bookman Old Style" w:hAnsi="Bookman Old Style"/>
        </w:rPr>
        <w:t>.</w:t>
      </w:r>
    </w:p>
    <w:p w14:paraId="69C94A5E" w14:textId="72512349" w:rsidR="00244375" w:rsidRPr="00244375" w:rsidRDefault="00C30E2A" w:rsidP="00244375">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line="276" w:lineRule="auto"/>
        <w:ind w:left="3600" w:hanging="3600"/>
        <w:jc w:val="both"/>
        <w:rPr>
          <w:rFonts w:ascii="Bookman Old Style" w:hAnsi="Bookman Old Style"/>
          <w:bCs/>
          <w:color w:val="000000" w:themeColor="text1"/>
          <w:lang w:val="it-IT"/>
        </w:rPr>
      </w:pPr>
      <w:r w:rsidRPr="00070B84">
        <w:rPr>
          <w:rFonts w:ascii="Bookman Old Style" w:hAnsi="Bookman Old Style"/>
          <w:b/>
          <w:bCs/>
          <w:color w:val="000000" w:themeColor="text1"/>
          <w:u w:val="single"/>
          <w:lang w:val="it-IT"/>
        </w:rPr>
        <w:t>PERSON I TRETË:</w:t>
      </w:r>
      <w:r w:rsidRPr="00070B84">
        <w:rPr>
          <w:rFonts w:ascii="Bookman Old Style" w:hAnsi="Bookman Old Style"/>
          <w:color w:val="000000" w:themeColor="text1"/>
          <w:lang w:val="it-IT"/>
        </w:rPr>
        <w:t xml:space="preserve"> </w:t>
      </w:r>
      <w:r w:rsidRPr="00070B84">
        <w:rPr>
          <w:rFonts w:ascii="Bookman Old Style" w:hAnsi="Bookman Old Style"/>
          <w:color w:val="000000" w:themeColor="text1"/>
          <w:lang w:val="it-IT"/>
        </w:rPr>
        <w:tab/>
      </w:r>
      <w:r w:rsidR="00244375">
        <w:rPr>
          <w:rFonts w:ascii="Bookman Old Style" w:hAnsi="Bookman Old Style"/>
          <w:color w:val="000000" w:themeColor="text1"/>
          <w:lang w:val="it-IT"/>
        </w:rPr>
        <w:tab/>
      </w:r>
      <w:r w:rsidR="00244375">
        <w:rPr>
          <w:rFonts w:ascii="Bookman Old Style" w:hAnsi="Bookman Old Style"/>
          <w:b/>
          <w:bCs/>
          <w:color w:val="000000" w:themeColor="text1"/>
          <w:lang w:val="it-IT"/>
        </w:rPr>
        <w:t xml:space="preserve">Prokuroria e Rrethit Gjyqesor Kavaje, </w:t>
      </w:r>
      <w:r w:rsidR="00244375" w:rsidRPr="00244375">
        <w:rPr>
          <w:rFonts w:ascii="Bookman Old Style" w:hAnsi="Bookman Old Style"/>
          <w:bCs/>
          <w:color w:val="000000" w:themeColor="text1"/>
          <w:lang w:val="it-IT"/>
        </w:rPr>
        <w:t>perfaqesuar nga Prokurori</w:t>
      </w:r>
      <w:r w:rsidR="00244375">
        <w:rPr>
          <w:rFonts w:ascii="Bookman Old Style" w:hAnsi="Bookman Old Style"/>
          <w:b/>
          <w:bCs/>
          <w:color w:val="000000" w:themeColor="text1"/>
          <w:lang w:val="it-IT"/>
        </w:rPr>
        <w:t xml:space="preserve"> Z. Gezim Çopa.</w:t>
      </w:r>
    </w:p>
    <w:p w14:paraId="59DD5773" w14:textId="59932791" w:rsidR="00C30E2A" w:rsidRPr="00070B84" w:rsidRDefault="00C30E2A" w:rsidP="00C30E2A">
      <w:pPr>
        <w:spacing w:after="120" w:line="276" w:lineRule="auto"/>
        <w:ind w:left="2880" w:hanging="2880"/>
        <w:jc w:val="both"/>
        <w:rPr>
          <w:rFonts w:ascii="Bookman Old Style" w:hAnsi="Bookman Old Style"/>
          <w:color w:val="000000" w:themeColor="text1"/>
          <w:lang w:val="pt-BR"/>
        </w:rPr>
      </w:pPr>
      <w:r w:rsidRPr="00070B84">
        <w:rPr>
          <w:rFonts w:ascii="Bookman Old Style" w:hAnsi="Bookman Old Style"/>
          <w:b/>
          <w:color w:val="000000" w:themeColor="text1"/>
          <w:u w:val="single"/>
          <w:lang w:val="pt-BR"/>
        </w:rPr>
        <w:t>OBJEKTI</w:t>
      </w:r>
      <w:r w:rsidRPr="00070B84">
        <w:rPr>
          <w:rFonts w:ascii="Bookman Old Style" w:hAnsi="Bookman Old Style"/>
          <w:color w:val="000000" w:themeColor="text1"/>
          <w:lang w:val="pt-BR"/>
        </w:rPr>
        <w:t xml:space="preserve">:         </w:t>
      </w:r>
      <w:r w:rsidRPr="00070B84">
        <w:rPr>
          <w:rFonts w:ascii="Bookman Old Style" w:hAnsi="Bookman Old Style"/>
          <w:color w:val="000000" w:themeColor="text1"/>
          <w:lang w:val="pt-BR"/>
        </w:rPr>
        <w:tab/>
      </w:r>
      <w:r w:rsidR="00244375">
        <w:rPr>
          <w:rFonts w:ascii="Bookman Old Style" w:hAnsi="Bookman Old Style"/>
          <w:color w:val="000000" w:themeColor="text1"/>
          <w:lang w:val="pt-BR"/>
        </w:rPr>
        <w:tab/>
        <w:t>Shuarje denimi.</w:t>
      </w:r>
    </w:p>
    <w:p w14:paraId="1B70AFF2" w14:textId="36FB25AC" w:rsidR="00C30E2A" w:rsidRPr="00070B84" w:rsidRDefault="00C30E2A" w:rsidP="00244375">
      <w:pPr>
        <w:spacing w:after="200" w:line="276" w:lineRule="auto"/>
        <w:ind w:left="3600" w:hanging="3600"/>
        <w:jc w:val="both"/>
        <w:rPr>
          <w:rFonts w:ascii="Bookman Old Style" w:hAnsi="Bookman Old Style"/>
          <w:color w:val="000000" w:themeColor="text1"/>
          <w:lang w:val="pt-BR"/>
        </w:rPr>
      </w:pPr>
      <w:r w:rsidRPr="00070B84">
        <w:rPr>
          <w:rFonts w:ascii="Bookman Old Style" w:hAnsi="Bookman Old Style"/>
          <w:b/>
          <w:color w:val="000000" w:themeColor="text1"/>
          <w:u w:val="single"/>
          <w:lang w:val="pt-BR"/>
        </w:rPr>
        <w:t>BAZA LIGJORE</w:t>
      </w:r>
      <w:r w:rsidRPr="00070B84">
        <w:rPr>
          <w:rFonts w:ascii="Bookman Old Style" w:hAnsi="Bookman Old Style"/>
          <w:color w:val="000000" w:themeColor="text1"/>
          <w:lang w:val="pt-BR"/>
        </w:rPr>
        <w:t xml:space="preserve">:  </w:t>
      </w:r>
      <w:r w:rsidRPr="00070B84">
        <w:rPr>
          <w:rFonts w:ascii="Bookman Old Style" w:hAnsi="Bookman Old Style"/>
          <w:color w:val="000000" w:themeColor="text1"/>
          <w:lang w:val="pt-BR"/>
        </w:rPr>
        <w:tab/>
      </w:r>
      <w:r w:rsidR="00244375">
        <w:rPr>
          <w:rFonts w:ascii="Bookman Old Style" w:hAnsi="Bookman Old Style"/>
          <w:color w:val="000000" w:themeColor="text1"/>
          <w:lang w:val="pt-BR"/>
        </w:rPr>
        <w:t>Pa specifikuar</w:t>
      </w:r>
      <w:r w:rsidRPr="00070B84">
        <w:rPr>
          <w:rFonts w:ascii="Bookman Old Style" w:hAnsi="Bookman Old Style"/>
          <w:color w:val="000000" w:themeColor="text1"/>
          <w:lang w:val="pt-BR"/>
        </w:rPr>
        <w:t>.</w:t>
      </w:r>
    </w:p>
    <w:p w14:paraId="4D1A903C" w14:textId="77777777" w:rsidR="00E56367" w:rsidRPr="00E56367" w:rsidRDefault="00E56367" w:rsidP="00E5636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76" w:lineRule="auto"/>
        <w:jc w:val="center"/>
        <w:outlineLvl w:val="0"/>
        <w:rPr>
          <w:rFonts w:ascii="Bookman Old Style" w:hAnsi="Bookman Old Style"/>
          <w:color w:val="000000" w:themeColor="text1"/>
          <w:lang w:val="pt-BR"/>
        </w:rPr>
      </w:pPr>
      <w:r w:rsidRPr="00E56367">
        <w:rPr>
          <w:rFonts w:ascii="Bookman Old Style" w:hAnsi="Bookman Old Style"/>
          <w:b/>
          <w:color w:val="000000" w:themeColor="text1"/>
          <w:kern w:val="32"/>
          <w:u w:val="single"/>
          <w:lang w:val="pt-BR"/>
        </w:rPr>
        <w:t>VËREN:</w:t>
      </w:r>
    </w:p>
    <w:p w14:paraId="46842008" w14:textId="77777777" w:rsidR="00BB2D83" w:rsidRDefault="00E56367" w:rsidP="00E56367">
      <w:pPr>
        <w:spacing w:line="276" w:lineRule="auto"/>
        <w:ind w:firstLine="720"/>
        <w:jc w:val="both"/>
        <w:rPr>
          <w:rFonts w:ascii="Bookman Old Style" w:hAnsi="Bookman Old Style"/>
          <w:color w:val="000000" w:themeColor="text1"/>
          <w:lang w:val="pt-BR"/>
        </w:rPr>
      </w:pPr>
      <w:r w:rsidRPr="00E56367">
        <w:rPr>
          <w:rFonts w:ascii="Bookman Old Style" w:hAnsi="Bookman Old Style"/>
          <w:color w:val="000000" w:themeColor="text1"/>
          <w:lang w:val="pt-BR"/>
        </w:rPr>
        <w:t xml:space="preserve">1. Kërkuesi </w:t>
      </w:r>
      <w:r w:rsidR="00244375">
        <w:rPr>
          <w:rFonts w:ascii="Bookman Old Style" w:hAnsi="Bookman Old Style"/>
          <w:color w:val="000000" w:themeColor="text1"/>
          <w:lang w:val="pt-BR"/>
        </w:rPr>
        <w:t>Edmond Marku</w:t>
      </w:r>
      <w:r w:rsidRPr="00E56367">
        <w:rPr>
          <w:rFonts w:ascii="Bookman Old Style" w:hAnsi="Bookman Old Style"/>
          <w:color w:val="000000" w:themeColor="text1"/>
          <w:lang w:val="pt-BR"/>
        </w:rPr>
        <w:t xml:space="preserve"> ka paraqitur pranë Gjyka</w:t>
      </w:r>
      <w:r w:rsidR="00244375">
        <w:rPr>
          <w:rFonts w:ascii="Bookman Old Style" w:hAnsi="Bookman Old Style"/>
          <w:color w:val="000000" w:themeColor="text1"/>
          <w:lang w:val="pt-BR"/>
        </w:rPr>
        <w:t xml:space="preserve">tës së Rrethit Gjyqësor </w:t>
      </w:r>
      <w:r w:rsidR="00BB2D83">
        <w:rPr>
          <w:rFonts w:ascii="Bookman Old Style" w:hAnsi="Bookman Old Style"/>
          <w:color w:val="000000" w:themeColor="text1"/>
          <w:lang w:val="pt-BR"/>
        </w:rPr>
        <w:t>Lezhë</w:t>
      </w:r>
      <w:r w:rsidR="00244375">
        <w:rPr>
          <w:rFonts w:ascii="Bookman Old Style" w:hAnsi="Bookman Old Style"/>
          <w:color w:val="000000" w:themeColor="text1"/>
          <w:lang w:val="pt-BR"/>
        </w:rPr>
        <w:t xml:space="preserve"> </w:t>
      </w:r>
      <w:r w:rsidRPr="00E56367">
        <w:rPr>
          <w:rFonts w:ascii="Bookman Old Style" w:hAnsi="Bookman Old Style"/>
          <w:color w:val="000000" w:themeColor="text1"/>
          <w:lang w:val="pt-BR"/>
        </w:rPr>
        <w:t xml:space="preserve">kërkesën  me objekt </w:t>
      </w:r>
      <w:r w:rsidR="00244375">
        <w:rPr>
          <w:rFonts w:ascii="Bookman Old Style" w:hAnsi="Bookman Old Style"/>
          <w:color w:val="000000" w:themeColor="text1"/>
          <w:lang w:val="pt-BR"/>
        </w:rPr>
        <w:t>“Shuarje denimi”.</w:t>
      </w:r>
    </w:p>
    <w:p w14:paraId="0F1C25EA" w14:textId="145E4E22" w:rsidR="00E56367" w:rsidRPr="00B9095E" w:rsidRDefault="00BB2D83" w:rsidP="00E56367">
      <w:pPr>
        <w:spacing w:line="276" w:lineRule="auto"/>
        <w:ind w:firstLine="720"/>
        <w:jc w:val="both"/>
        <w:rPr>
          <w:rFonts w:ascii="Bookman Old Style" w:hAnsi="Bookman Old Style"/>
          <w:i/>
          <w:iCs/>
          <w:color w:val="000000" w:themeColor="text1"/>
          <w:lang w:val="pt-BR"/>
        </w:rPr>
      </w:pPr>
      <w:r>
        <w:rPr>
          <w:rFonts w:ascii="Bookman Old Style" w:hAnsi="Bookman Old Style"/>
          <w:color w:val="000000" w:themeColor="text1"/>
          <w:lang w:val="pt-BR"/>
        </w:rPr>
        <w:t xml:space="preserve">1.1 Me vendimin nr. 132, datë 29.07.2021 Gjykata e Rrethit Gjyqesor Lezhë ka vendosur: </w:t>
      </w:r>
      <w:r w:rsidRPr="00B9095E">
        <w:rPr>
          <w:rFonts w:ascii="Bookman Old Style" w:hAnsi="Bookman Old Style"/>
          <w:i/>
          <w:iCs/>
          <w:color w:val="000000" w:themeColor="text1"/>
          <w:lang w:val="pt-BR"/>
        </w:rPr>
        <w:t>“Moskompetencen e Gjykatës së Rrethit Gjyqësor Lezhë. Dergimin e akteve prane Gjykates se Rrethit Gjyqesor Kavajë, si gjykata kompetente.</w:t>
      </w:r>
      <w:r w:rsidR="00B9095E" w:rsidRPr="00B9095E">
        <w:rPr>
          <w:rFonts w:ascii="Bookman Old Style" w:hAnsi="Bookman Old Style"/>
          <w:i/>
          <w:iCs/>
          <w:color w:val="000000" w:themeColor="text1"/>
          <w:lang w:val="pt-BR"/>
        </w:rPr>
        <w:t>”</w:t>
      </w:r>
    </w:p>
    <w:p w14:paraId="45E74CDC" w14:textId="1594FDFA" w:rsidR="00E56367" w:rsidRPr="00E56367" w:rsidRDefault="00E56367" w:rsidP="00E56367">
      <w:pPr>
        <w:spacing w:line="276" w:lineRule="auto"/>
        <w:ind w:firstLine="720"/>
        <w:jc w:val="both"/>
        <w:rPr>
          <w:rFonts w:ascii="Bookman Old Style" w:hAnsi="Bookman Old Style"/>
          <w:color w:val="000000" w:themeColor="text1"/>
          <w:lang w:val="pt-BR"/>
        </w:rPr>
      </w:pPr>
      <w:r w:rsidRPr="00E56367">
        <w:rPr>
          <w:rFonts w:ascii="Bookman Old Style" w:hAnsi="Bookman Old Style"/>
          <w:color w:val="000000" w:themeColor="text1"/>
          <w:lang w:val="pt-BR"/>
        </w:rPr>
        <w:t>2. Paraprak</w:t>
      </w:r>
      <w:r w:rsidR="00244375">
        <w:rPr>
          <w:rFonts w:ascii="Bookman Old Style" w:hAnsi="Bookman Old Style"/>
          <w:color w:val="000000" w:themeColor="text1"/>
          <w:lang w:val="pt-BR"/>
        </w:rPr>
        <w:t>isht, Gjykata referuar nenit 69</w:t>
      </w:r>
      <w:r w:rsidR="00DB38FD">
        <w:rPr>
          <w:rFonts w:ascii="Bookman Old Style" w:hAnsi="Bookman Old Style"/>
          <w:color w:val="000000" w:themeColor="text1"/>
          <w:lang w:val="pt-BR"/>
        </w:rPr>
        <w:t xml:space="preserve"> dhe </w:t>
      </w:r>
      <w:r w:rsidR="00244375">
        <w:rPr>
          <w:rFonts w:ascii="Bookman Old Style" w:hAnsi="Bookman Old Style"/>
          <w:color w:val="000000" w:themeColor="text1"/>
          <w:lang w:val="pt-BR"/>
        </w:rPr>
        <w:t xml:space="preserve">470 </w:t>
      </w:r>
      <w:r w:rsidRPr="00E56367">
        <w:rPr>
          <w:rFonts w:ascii="Bookman Old Style" w:hAnsi="Bookman Old Style"/>
          <w:color w:val="000000" w:themeColor="text1"/>
          <w:lang w:val="pt-BR"/>
        </w:rPr>
        <w:t xml:space="preserve">të Kodit të Proçedurës Penale, konstatoi se kërkesa penale e ardhur për gjykim bën pjesë në juridiksionin gjyqësor dhe është në kompetencën lëndore dhe tokësore të Gjykatës së Rrethit Gjyqësor Kavajë. </w:t>
      </w:r>
    </w:p>
    <w:p w14:paraId="557C7F5E" w14:textId="116D2535" w:rsidR="00E56367" w:rsidRDefault="00E56367"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sidRPr="00E56367">
        <w:rPr>
          <w:rFonts w:ascii="Bookman Old Style" w:hAnsi="Bookman Old Style"/>
          <w:color w:val="000000" w:themeColor="text1"/>
          <w:lang w:val="pt-BR"/>
        </w:rPr>
        <w:tab/>
        <w:t xml:space="preserve">3. Bazuar në nenin </w:t>
      </w:r>
      <w:r w:rsidR="00244375">
        <w:rPr>
          <w:rFonts w:ascii="Bookman Old Style" w:hAnsi="Bookman Old Style"/>
          <w:color w:val="000000" w:themeColor="text1"/>
          <w:lang w:val="pt-BR"/>
        </w:rPr>
        <w:t xml:space="preserve">471 të K.Pr.Penale </w:t>
      </w:r>
      <w:r w:rsidRPr="00E56367">
        <w:rPr>
          <w:rFonts w:ascii="Bookman Old Style" w:hAnsi="Bookman Old Style"/>
          <w:color w:val="000000" w:themeColor="text1"/>
          <w:lang w:val="pt-BR"/>
        </w:rPr>
        <w:t>kërkesa u shqyrtua me pjesëmarrjen e</w:t>
      </w:r>
      <w:r w:rsidR="00244375">
        <w:rPr>
          <w:rFonts w:ascii="Bookman Old Style" w:hAnsi="Bookman Old Style"/>
          <w:color w:val="000000" w:themeColor="text1"/>
          <w:lang w:val="pt-BR"/>
        </w:rPr>
        <w:t xml:space="preserve"> Prokurorise se Rrethit Gjyqesor Kavaje.</w:t>
      </w:r>
    </w:p>
    <w:p w14:paraId="2339258B" w14:textId="2EF75CE5"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4. Nga shqyrtimi gjyqesor rezultoi e provuar se:</w:t>
      </w:r>
    </w:p>
    <w:p w14:paraId="62B39BE6" w14:textId="6472132B"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lastRenderedPageBreak/>
        <w:tab/>
        <w:t>4.1 Gjatë periudhës se vuajtjes së dënimit pranë IEVP Rrogozhinë</w:t>
      </w:r>
      <w:r w:rsidR="00B9095E">
        <w:rPr>
          <w:rFonts w:ascii="Bookman Old Style" w:hAnsi="Bookman Old Style"/>
          <w:color w:val="000000" w:themeColor="text1"/>
          <w:lang w:val="pt-BR"/>
        </w:rPr>
        <w:t>,</w:t>
      </w:r>
      <w:r>
        <w:rPr>
          <w:rFonts w:ascii="Bookman Old Style" w:hAnsi="Bookman Old Style"/>
          <w:color w:val="000000" w:themeColor="text1"/>
          <w:lang w:val="pt-BR"/>
        </w:rPr>
        <w:t xml:space="preserve"> me vendimin nr. 34, datë 08.05.2020 të Gjykatës së Rrethit Gjyqesor Lezhë është realizuar bashkimi tre dënimeve të formës së prerë ndaj të dënuarit Edmond Marku, konkretisht: 1. Pjeses se mbetur pa vuajtur nga denimi i dhene me vendimin nr. 178, date 07.06.2016 te Gjykates se Rrethit Gjyqesor Lezhë; 2. Denimin e dhene me vendimin nr. 181, date 10.06.2016 te Gjykates se Rrethit Gjyqesor Lezhe prej 3 muaj burgim; 3. Denimin e dhene me vendimin nr. 09, date 16.01.2017 te Gjykates se Rrethit Gjyqësor Lezhe prej 8 muaj burgim.</w:t>
      </w:r>
    </w:p>
    <w:p w14:paraId="7426D2A0" w14:textId="705418AC"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i/>
          <w:iCs/>
          <w:color w:val="000000" w:themeColor="text1"/>
          <w:lang w:val="pt-BR"/>
        </w:rPr>
      </w:pPr>
      <w:r>
        <w:rPr>
          <w:rFonts w:ascii="Bookman Old Style" w:hAnsi="Bookman Old Style"/>
          <w:color w:val="000000" w:themeColor="text1"/>
          <w:lang w:val="pt-BR"/>
        </w:rPr>
        <w:tab/>
        <w:t xml:space="preserve">4.1.1 Ne lidhje me dënimin e dhene me vendimin nr. 1950, date 29.06.2017 dhe nr. 1950, date 29.06.2017 te Gjykatës së Rrethit Gjyqesor Tiranë, Gjykata e Rrethit Gjyqesor Lezhe nuk i ka bashkuar, pasi me </w:t>
      </w:r>
      <w:bookmarkStart w:id="0" w:name="_Hlk86604588"/>
      <w:r>
        <w:rPr>
          <w:rFonts w:ascii="Bookman Old Style" w:hAnsi="Bookman Old Style"/>
          <w:color w:val="000000" w:themeColor="text1"/>
          <w:lang w:val="pt-BR"/>
        </w:rPr>
        <w:t xml:space="preserve">vendimin </w:t>
      </w:r>
      <w:r>
        <w:rPr>
          <w:rFonts w:ascii="Bookman Old Style" w:hAnsi="Bookman Old Style"/>
          <w:color w:val="000000" w:themeColor="text1"/>
          <w:lang w:val="pt-BR"/>
        </w:rPr>
        <w:t xml:space="preserve">nr. 525, date 13.07.2019 te Gjykates se Apelit Tiranë, </w:t>
      </w:r>
      <w:r>
        <w:rPr>
          <w:rFonts w:ascii="Bookman Old Style" w:hAnsi="Bookman Old Style"/>
          <w:color w:val="000000" w:themeColor="text1"/>
          <w:lang w:val="pt-BR"/>
        </w:rPr>
        <w:t xml:space="preserve">eshte vendosur: </w:t>
      </w:r>
      <w:r w:rsidRPr="00BB2D83">
        <w:rPr>
          <w:rFonts w:ascii="Bookman Old Style" w:hAnsi="Bookman Old Style"/>
          <w:i/>
          <w:iCs/>
          <w:color w:val="000000" w:themeColor="text1"/>
          <w:lang w:val="pt-BR"/>
        </w:rPr>
        <w:t xml:space="preserve">“1. Pranimin e kerkeses se kerkuesit Edmond Marku. </w:t>
      </w:r>
      <w:bookmarkStart w:id="1" w:name="_Hlk86601206"/>
      <w:r w:rsidRPr="00BB2D83">
        <w:rPr>
          <w:rFonts w:ascii="Bookman Old Style" w:hAnsi="Bookman Old Style"/>
          <w:i/>
          <w:iCs/>
          <w:color w:val="000000" w:themeColor="text1"/>
          <w:lang w:val="pt-BR"/>
        </w:rPr>
        <w:t>2. Shuarjen e mases se sigurimit personal “arrest ne burg” ne ngarkim te shtetasit Edmond Marku dhene me vendimin penal (mase sigurimi) nr. 2831 akti, date 14.11.2016 te Gjykates se Rrethit Gjyqesor Tirane, per shkak se ka vuajtur denimin e dhene me vendimin penal nr. 1950, date 29.06.2017 te Gjykates se Rrethit Gjyqësor Tiranë</w:t>
      </w:r>
      <w:bookmarkEnd w:id="1"/>
      <w:r w:rsidRPr="00BB2D83">
        <w:rPr>
          <w:rFonts w:ascii="Bookman Old Style" w:hAnsi="Bookman Old Style"/>
          <w:i/>
          <w:iCs/>
          <w:color w:val="000000" w:themeColor="text1"/>
          <w:lang w:val="pt-BR"/>
        </w:rPr>
        <w:t xml:space="preserve">. 3. </w:t>
      </w:r>
      <w:r w:rsidRPr="00BB2D83">
        <w:rPr>
          <w:rFonts w:ascii="Bookman Old Style" w:hAnsi="Bookman Old Style"/>
          <w:i/>
          <w:iCs/>
          <w:color w:val="000000" w:themeColor="text1"/>
          <w:lang w:val="pt-BR"/>
        </w:rPr>
        <w:t xml:space="preserve">Shuarjen e mases se sigurimit personal “arrest ne burg” ne ngarkim te shtetasit Edmond Marku dhene me vendimin penal (mase sigurimi) nr. </w:t>
      </w:r>
      <w:r w:rsidRPr="00BB2D83">
        <w:rPr>
          <w:rFonts w:ascii="Bookman Old Style" w:hAnsi="Bookman Old Style"/>
          <w:i/>
          <w:iCs/>
          <w:color w:val="000000" w:themeColor="text1"/>
          <w:lang w:val="pt-BR"/>
        </w:rPr>
        <w:t>1834</w:t>
      </w:r>
      <w:r w:rsidRPr="00BB2D83">
        <w:rPr>
          <w:rFonts w:ascii="Bookman Old Style" w:hAnsi="Bookman Old Style"/>
          <w:i/>
          <w:iCs/>
          <w:color w:val="000000" w:themeColor="text1"/>
          <w:lang w:val="pt-BR"/>
        </w:rPr>
        <w:t xml:space="preserve"> akti, date </w:t>
      </w:r>
      <w:r w:rsidRPr="00BB2D83">
        <w:rPr>
          <w:rFonts w:ascii="Bookman Old Style" w:hAnsi="Bookman Old Style"/>
          <w:i/>
          <w:iCs/>
          <w:color w:val="000000" w:themeColor="text1"/>
          <w:lang w:val="pt-BR"/>
        </w:rPr>
        <w:t>15</w:t>
      </w:r>
      <w:r w:rsidRPr="00BB2D83">
        <w:rPr>
          <w:rFonts w:ascii="Bookman Old Style" w:hAnsi="Bookman Old Style"/>
          <w:i/>
          <w:iCs/>
          <w:color w:val="000000" w:themeColor="text1"/>
          <w:lang w:val="pt-BR"/>
        </w:rPr>
        <w:t>.</w:t>
      </w:r>
      <w:r w:rsidRPr="00BB2D83">
        <w:rPr>
          <w:rFonts w:ascii="Bookman Old Style" w:hAnsi="Bookman Old Style"/>
          <w:i/>
          <w:iCs/>
          <w:color w:val="000000" w:themeColor="text1"/>
          <w:lang w:val="pt-BR"/>
        </w:rPr>
        <w:t>07</w:t>
      </w:r>
      <w:r w:rsidRPr="00BB2D83">
        <w:rPr>
          <w:rFonts w:ascii="Bookman Old Style" w:hAnsi="Bookman Old Style"/>
          <w:i/>
          <w:iCs/>
          <w:color w:val="000000" w:themeColor="text1"/>
          <w:lang w:val="pt-BR"/>
        </w:rPr>
        <w:t xml:space="preserve">.2016 te Gjykates se Rrethit Gjyqesor Tirane, per shkak se ka vuajtur denimin e dhene me vendimin penal nr. </w:t>
      </w:r>
      <w:r w:rsidRPr="00BB2D83">
        <w:rPr>
          <w:rFonts w:ascii="Bookman Old Style" w:hAnsi="Bookman Old Style"/>
          <w:i/>
          <w:iCs/>
          <w:color w:val="000000" w:themeColor="text1"/>
          <w:lang w:val="pt-BR"/>
        </w:rPr>
        <w:t>596</w:t>
      </w:r>
      <w:r w:rsidRPr="00BB2D83">
        <w:rPr>
          <w:rFonts w:ascii="Bookman Old Style" w:hAnsi="Bookman Old Style"/>
          <w:i/>
          <w:iCs/>
          <w:color w:val="000000" w:themeColor="text1"/>
          <w:lang w:val="pt-BR"/>
        </w:rPr>
        <w:t>, date 2</w:t>
      </w:r>
      <w:r w:rsidRPr="00BB2D83">
        <w:rPr>
          <w:rFonts w:ascii="Bookman Old Style" w:hAnsi="Bookman Old Style"/>
          <w:i/>
          <w:iCs/>
          <w:color w:val="000000" w:themeColor="text1"/>
          <w:lang w:val="pt-BR"/>
        </w:rPr>
        <w:t>8</w:t>
      </w:r>
      <w:r w:rsidRPr="00BB2D83">
        <w:rPr>
          <w:rFonts w:ascii="Bookman Old Style" w:hAnsi="Bookman Old Style"/>
          <w:i/>
          <w:iCs/>
          <w:color w:val="000000" w:themeColor="text1"/>
          <w:lang w:val="pt-BR"/>
        </w:rPr>
        <w:t>.0</w:t>
      </w:r>
      <w:r w:rsidRPr="00BB2D83">
        <w:rPr>
          <w:rFonts w:ascii="Bookman Old Style" w:hAnsi="Bookman Old Style"/>
          <w:i/>
          <w:iCs/>
          <w:color w:val="000000" w:themeColor="text1"/>
          <w:lang w:val="pt-BR"/>
        </w:rPr>
        <w:t>2</w:t>
      </w:r>
      <w:r w:rsidRPr="00BB2D83">
        <w:rPr>
          <w:rFonts w:ascii="Bookman Old Style" w:hAnsi="Bookman Old Style"/>
          <w:i/>
          <w:iCs/>
          <w:color w:val="000000" w:themeColor="text1"/>
          <w:lang w:val="pt-BR"/>
        </w:rPr>
        <w:t>.2017 te Gjykates se Rrethit Gjyqësor Tiranë</w:t>
      </w:r>
      <w:r w:rsidRPr="00BB2D83">
        <w:rPr>
          <w:rFonts w:ascii="Bookman Old Style" w:hAnsi="Bookman Old Style"/>
          <w:i/>
          <w:iCs/>
          <w:color w:val="000000" w:themeColor="text1"/>
          <w:lang w:val="pt-BR"/>
        </w:rPr>
        <w:t>. 4. Urdherohet lirimi i menjehershem i te gjykuarit Edmond Marku nga vendi i vuajtjes se denimit, nese nuk mbahet per ndonje veper tjeter penale, apo shkak tjeter penal...”.</w:t>
      </w:r>
    </w:p>
    <w:bookmarkEnd w:id="0"/>
    <w:p w14:paraId="7488C394" w14:textId="6CA59C37"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4.1.2 Ne perfundim te gjykimit, Gjykata e Rrethit Gjyqesor Lezhe ka vendosur: </w:t>
      </w:r>
      <w:r w:rsidRPr="00BB2D83">
        <w:rPr>
          <w:rFonts w:ascii="Bookman Old Style" w:hAnsi="Bookman Old Style"/>
          <w:i/>
          <w:iCs/>
          <w:color w:val="000000" w:themeColor="text1"/>
          <w:lang w:val="pt-BR"/>
        </w:rPr>
        <w:t>“Bashkimin e denimeve me burgim te caktuar me vendimin penal nr. 178, date 07.06.2016 te Gjykates se Rrethit Gjyqesor Lezhe (pjesa e mbetur), me vendimin gjyqesor nr. 181, date 10.06.2016 te Gjykates se Rrethit Gjyqesor Lezhe, ku eshte deklaruar fajtor dhe denuar perfundimisht me 3 muaj burgim, per ekzekutimin e tij ka dale urdher ekzekutimi i Prokurorise se Rrethit Gjyqesor Lezhe me date 30.06.2016, me vendimin nr. 09, date 16.01.2017 te Gjykates se Rrethit Gjyqesor Lezhe, ku eshte deklaruar fajtor dhe denuar perfundimisht me 8 muaj burgim, per ekzekutimin e tij ka dale urdher ekzekutimi i Prokurorise se rrethit Gjyqësor Lezhe me date 06.03.2017. Caktimin si mase denimi te vetem qe do te ekzekutohet ndaj te denuarit Edmond Preng Marku 4 (katër) vjet e 6 (gjashtë) muaj burgim. Vuajtja e ketij vendimi konsiderohet pas bashkimit te denimeve me burgim per te denuarin dhe fillon me daten 12.11.2016...”.</w:t>
      </w:r>
      <w:r>
        <w:rPr>
          <w:rFonts w:ascii="Bookman Old Style" w:hAnsi="Bookman Old Style"/>
          <w:color w:val="000000" w:themeColor="text1"/>
          <w:lang w:val="pt-BR"/>
        </w:rPr>
        <w:t xml:space="preserve"> Ky vendim nuk eshte ankimuar prej Prokurorise </w:t>
      </w:r>
      <w:r w:rsidR="00B9095E">
        <w:rPr>
          <w:rFonts w:ascii="Bookman Old Style" w:hAnsi="Bookman Old Style"/>
          <w:color w:val="000000" w:themeColor="text1"/>
          <w:lang w:val="pt-BR"/>
        </w:rPr>
        <w:t xml:space="preserve">së Rrethit Gjyqesor Lezhë </w:t>
      </w:r>
      <w:r>
        <w:rPr>
          <w:rFonts w:ascii="Bookman Old Style" w:hAnsi="Bookman Old Style"/>
          <w:color w:val="000000" w:themeColor="text1"/>
          <w:lang w:val="pt-BR"/>
        </w:rPr>
        <w:t>dhe ka marre forme te prere me daten 25.05.2020.</w:t>
      </w:r>
    </w:p>
    <w:p w14:paraId="0E5DCAA4" w14:textId="4973168E"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4.2 Nga sa rezulton nga aktet</w:t>
      </w:r>
      <w:r w:rsidR="00B9095E">
        <w:rPr>
          <w:rFonts w:ascii="Bookman Old Style" w:hAnsi="Bookman Old Style"/>
          <w:color w:val="000000" w:themeColor="text1"/>
          <w:lang w:val="pt-BR"/>
        </w:rPr>
        <w:t>, në përfundim të vuajtjes së denimit te mësipërm</w:t>
      </w:r>
      <w:r>
        <w:rPr>
          <w:rFonts w:ascii="Bookman Old Style" w:hAnsi="Bookman Old Style"/>
          <w:color w:val="000000" w:themeColor="text1"/>
          <w:lang w:val="pt-BR"/>
        </w:rPr>
        <w:t xml:space="preserve"> IEVP Rrogozhine ka vene ne levizje Prokurorine e Rrethit Gjyqesor Tirane per te kryer edhe bashkimin e denimit nr. 1950, date 29.06.2017 te </w:t>
      </w:r>
      <w:r>
        <w:rPr>
          <w:rFonts w:ascii="Bookman Old Style" w:hAnsi="Bookman Old Style"/>
          <w:color w:val="000000" w:themeColor="text1"/>
          <w:lang w:val="pt-BR"/>
        </w:rPr>
        <w:lastRenderedPageBreak/>
        <w:t xml:space="preserve">Gjykates se Rrethit Gjyqesor Tirane me denimin e bashkuar prej Gjykates se Rrethit Gjyqesor Lezhe </w:t>
      </w:r>
      <w:r w:rsidR="00B9095E">
        <w:rPr>
          <w:rFonts w:ascii="Bookman Old Style" w:hAnsi="Bookman Old Style"/>
          <w:color w:val="000000" w:themeColor="text1"/>
          <w:lang w:val="pt-BR"/>
        </w:rPr>
        <w:t xml:space="preserve">me vendimin </w:t>
      </w:r>
      <w:r>
        <w:rPr>
          <w:rFonts w:ascii="Bookman Old Style" w:hAnsi="Bookman Old Style"/>
          <w:color w:val="000000" w:themeColor="text1"/>
          <w:lang w:val="pt-BR"/>
        </w:rPr>
        <w:t xml:space="preserve">nr. 34, date 08.05.2020. </w:t>
      </w:r>
    </w:p>
    <w:p w14:paraId="12ABA0C4" w14:textId="3C89A1CF"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4.2.1 Prokuroria e Rrethit Gjyqesor Tiranë i ka kthyer pergjigje IEVP Rrogozhine me shkresne nr. 3478/4 prot., date 11.01.2021, duke i bere me dije se nuk mund te bashkohej nje denim i shuar me denimin e dhene nga Gjykata e Rrethit Gjyqesor Lezhe me vendimin nr. 34, date 08.05.2020 dhe sugjeruar se ky vendim e kishte gabim daten e fillimit te vuajtjes se denimit te bashkuar “12.11.2016”, pasi do te duhej te ishte </w:t>
      </w:r>
      <w:r w:rsidR="00B9095E">
        <w:rPr>
          <w:rFonts w:ascii="Bookman Old Style" w:hAnsi="Bookman Old Style"/>
          <w:color w:val="000000" w:themeColor="text1"/>
          <w:lang w:val="pt-BR"/>
        </w:rPr>
        <w:t>“</w:t>
      </w:r>
      <w:r>
        <w:rPr>
          <w:rFonts w:ascii="Bookman Old Style" w:hAnsi="Bookman Old Style"/>
          <w:color w:val="000000" w:themeColor="text1"/>
          <w:lang w:val="pt-BR"/>
        </w:rPr>
        <w:t>11.03.2018</w:t>
      </w:r>
      <w:r w:rsidR="00B9095E">
        <w:rPr>
          <w:rFonts w:ascii="Bookman Old Style" w:hAnsi="Bookman Old Style"/>
          <w:color w:val="000000" w:themeColor="text1"/>
          <w:lang w:val="pt-BR"/>
        </w:rPr>
        <w:t>”</w:t>
      </w:r>
      <w:r>
        <w:rPr>
          <w:rFonts w:ascii="Bookman Old Style" w:hAnsi="Bookman Old Style"/>
          <w:color w:val="000000" w:themeColor="text1"/>
          <w:lang w:val="pt-BR"/>
        </w:rPr>
        <w:t xml:space="preserve"> dhe duhej t’i drejtoheshin asaj gjykate per te korrigjuar gabimin e bere ne dispozitivin e vendimit per kete pjese.</w:t>
      </w:r>
    </w:p>
    <w:p w14:paraId="24C6F262" w14:textId="6EBD7C0C"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4.3 Ne vijim </w:t>
      </w:r>
      <w:r w:rsidR="00B9095E">
        <w:rPr>
          <w:rFonts w:ascii="Bookman Old Style" w:hAnsi="Bookman Old Style"/>
          <w:color w:val="000000" w:themeColor="text1"/>
          <w:lang w:val="pt-BR"/>
        </w:rPr>
        <w:t xml:space="preserve">në datën 08.04.2021 </w:t>
      </w:r>
      <w:r>
        <w:rPr>
          <w:rFonts w:ascii="Bookman Old Style" w:hAnsi="Bookman Old Style"/>
          <w:color w:val="000000" w:themeColor="text1"/>
          <w:lang w:val="pt-BR"/>
        </w:rPr>
        <w:t xml:space="preserve">Prokuroria e Rrethit Gjyqesor Lezhe i eshte drejtuar Gjykates se Rrethit Gjyqesor Lezhe dhe ka kerkuar: </w:t>
      </w:r>
      <w:r w:rsidRPr="00B9095E">
        <w:rPr>
          <w:rFonts w:ascii="Bookman Old Style" w:hAnsi="Bookman Old Style"/>
          <w:i/>
          <w:iCs/>
          <w:color w:val="000000" w:themeColor="text1"/>
          <w:lang w:val="pt-BR"/>
        </w:rPr>
        <w:t>“Ndreqjen e gabimit ne shkrim tek vendimi gjyqesor penal me nr. 34, date 08.05.2020 te Gjykates se Rrethit Gjyqësor Lezhe (bashkim denimesh per te denuarin Edmond Preng Marku) qe ka marre forme te prere me daten 25.05.2020.</w:t>
      </w:r>
      <w:r w:rsidR="00B9095E" w:rsidRPr="00B9095E">
        <w:rPr>
          <w:rFonts w:ascii="Bookman Old Style" w:hAnsi="Bookman Old Style"/>
          <w:i/>
          <w:iCs/>
          <w:color w:val="000000" w:themeColor="text1"/>
          <w:lang w:val="pt-BR"/>
        </w:rPr>
        <w:t>”</w:t>
      </w:r>
    </w:p>
    <w:p w14:paraId="1F584D27" w14:textId="196FBE4C"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4.3.1 Me vendimin </w:t>
      </w:r>
      <w:bookmarkStart w:id="2" w:name="_Hlk86603941"/>
      <w:r>
        <w:rPr>
          <w:rFonts w:ascii="Bookman Old Style" w:hAnsi="Bookman Old Style"/>
          <w:color w:val="000000" w:themeColor="text1"/>
          <w:lang w:val="pt-BR"/>
        </w:rPr>
        <w:t xml:space="preserve">nr. 65, date 13.04.2021 Gjykata e Rrethit Gjyqesor Lezhe </w:t>
      </w:r>
      <w:bookmarkEnd w:id="2"/>
      <w:r>
        <w:rPr>
          <w:rFonts w:ascii="Bookman Old Style" w:hAnsi="Bookman Old Style"/>
          <w:color w:val="000000" w:themeColor="text1"/>
          <w:lang w:val="pt-BR"/>
        </w:rPr>
        <w:t xml:space="preserve">ka vendosur: </w:t>
      </w:r>
      <w:r w:rsidRPr="00B9095E">
        <w:rPr>
          <w:rFonts w:ascii="Bookman Old Style" w:hAnsi="Bookman Old Style"/>
          <w:i/>
          <w:iCs/>
          <w:color w:val="000000" w:themeColor="text1"/>
          <w:lang w:val="pt-BR"/>
        </w:rPr>
        <w:t>“Rrezimin e kerkeses penale...”.</w:t>
      </w:r>
      <w:r>
        <w:rPr>
          <w:rFonts w:ascii="Bookman Old Style" w:hAnsi="Bookman Old Style"/>
          <w:color w:val="000000" w:themeColor="text1"/>
          <w:lang w:val="pt-BR"/>
        </w:rPr>
        <w:t xml:space="preserve"> Ne pjesen arsyetuese te vendimit gjykata thekson qarte se nuk jemi perpara nje gabimi ne shkrim, pasi disponimi i gjykates ka qene i qarte dhe i bazuar ne dispozitat ligjore dhe provave te shqyrtuara</w:t>
      </w:r>
      <w:r w:rsidR="00B9095E">
        <w:rPr>
          <w:rFonts w:ascii="Bookman Old Style" w:hAnsi="Bookman Old Style"/>
          <w:color w:val="000000" w:themeColor="text1"/>
          <w:lang w:val="pt-BR"/>
        </w:rPr>
        <w:t>,</w:t>
      </w:r>
      <w:r>
        <w:rPr>
          <w:rFonts w:ascii="Bookman Old Style" w:hAnsi="Bookman Old Style"/>
          <w:color w:val="000000" w:themeColor="text1"/>
          <w:lang w:val="pt-BR"/>
        </w:rPr>
        <w:t xml:space="preserve"> duke percaktuar si date te fillimit te vuajtjes se denimit te bashkuar daten 12.11.2016. Konkretisht: </w:t>
      </w:r>
      <w:r w:rsidRPr="00B9095E">
        <w:rPr>
          <w:rFonts w:ascii="Bookman Old Style" w:hAnsi="Bookman Old Style"/>
          <w:i/>
          <w:iCs/>
          <w:color w:val="000000" w:themeColor="text1"/>
          <w:lang w:val="pt-BR"/>
        </w:rPr>
        <w:t>“Persa me siper nga gjykata ne zbatim te neneve 248, 261/2 e 385 te K.Pr.</w:t>
      </w:r>
      <w:r w:rsidR="00B9095E" w:rsidRPr="00B9095E">
        <w:rPr>
          <w:rFonts w:ascii="Bookman Old Style" w:hAnsi="Bookman Old Style"/>
          <w:i/>
          <w:iCs/>
          <w:color w:val="000000" w:themeColor="text1"/>
          <w:lang w:val="pt-BR"/>
        </w:rPr>
        <w:t>P</w:t>
      </w:r>
      <w:r w:rsidRPr="00B9095E">
        <w:rPr>
          <w:rFonts w:ascii="Bookman Old Style" w:hAnsi="Bookman Old Style"/>
          <w:i/>
          <w:iCs/>
          <w:color w:val="000000" w:themeColor="text1"/>
          <w:lang w:val="pt-BR"/>
        </w:rPr>
        <w:t xml:space="preserve">enale konstatohet se nuk eshte bere gabim gjate shkrimit te ketij vendimi gjyqesor dhe nuk konsiston ne nje pasaktesi te dukshme gjate shkrimit ne lidhje me daten e fillimit te vuajtjes se denimeve penale te bashkuar me vendimin nr. 34. </w:t>
      </w:r>
      <w:r w:rsidR="00B9095E" w:rsidRPr="00B9095E">
        <w:rPr>
          <w:rFonts w:ascii="Bookman Old Style" w:hAnsi="Bookman Old Style"/>
          <w:i/>
          <w:iCs/>
          <w:color w:val="000000" w:themeColor="text1"/>
          <w:lang w:val="pt-BR"/>
        </w:rPr>
        <w:t>d</w:t>
      </w:r>
      <w:r w:rsidRPr="00B9095E">
        <w:rPr>
          <w:rFonts w:ascii="Bookman Old Style" w:hAnsi="Bookman Old Style"/>
          <w:i/>
          <w:iCs/>
          <w:color w:val="000000" w:themeColor="text1"/>
          <w:lang w:val="pt-BR"/>
        </w:rPr>
        <w:t xml:space="preserve">t. 08.05.2020 fakt qe konfirmohet nga provat qe jane ne dosjen gjyqesore te lartpermendura. Nuk del e qarte se mbi ç’baze IEVP Rrogozhine dhe Prokuroria e Rrethit Gjyqesor Lezhe kane gjetur daten 11.03.2018 si date per fillimin e zbatimit te ketij vendimi bashkim te vendimeve, nderkohe qe gjate atij gjykimi kjo date nuk eshte pretenduar dhe permendur nga asnjera nga keto pale dhe nga dokumentacioni (i manget, shkurtime vendimesh) qe ata i kane paraqitur gjykates per shqyrtim, keto akte qe Prokuroria Lezhe dhe IEVP Penale i ka sjelle ne kete gjykim per ndreqje gabimi mund te sherbejne per te iniciuar nje tjeter proces gjyqesor qe te vleresohen ne kompleks vendimet e marra nga Gjykate e Tiranes (fakt dhe Apeli ndaj atij te denuari) si dhe te vendimeve te Gjykates se Rrethit Lezhe, objekt i atij bashkimi denimesh...”. </w:t>
      </w:r>
      <w:r>
        <w:rPr>
          <w:rFonts w:ascii="Bookman Old Style" w:hAnsi="Bookman Old Style"/>
          <w:color w:val="000000" w:themeColor="text1"/>
          <w:lang w:val="pt-BR"/>
        </w:rPr>
        <w:t>Ky vendim ka marre forme te prer</w:t>
      </w:r>
      <w:r w:rsidR="00B9095E">
        <w:rPr>
          <w:rFonts w:ascii="Bookman Old Style" w:hAnsi="Bookman Old Style"/>
          <w:color w:val="000000" w:themeColor="text1"/>
          <w:lang w:val="pt-BR"/>
        </w:rPr>
        <w:t>ë</w:t>
      </w:r>
      <w:r>
        <w:rPr>
          <w:rFonts w:ascii="Bookman Old Style" w:hAnsi="Bookman Old Style"/>
          <w:color w:val="000000" w:themeColor="text1"/>
          <w:lang w:val="pt-BR"/>
        </w:rPr>
        <w:t xml:space="preserve"> m</w:t>
      </w:r>
      <w:r w:rsidR="00B9095E">
        <w:rPr>
          <w:rFonts w:ascii="Bookman Old Style" w:hAnsi="Bookman Old Style"/>
          <w:color w:val="000000" w:themeColor="text1"/>
          <w:lang w:val="pt-BR"/>
        </w:rPr>
        <w:t>ë</w:t>
      </w:r>
      <w:r>
        <w:rPr>
          <w:rFonts w:ascii="Bookman Old Style" w:hAnsi="Bookman Old Style"/>
          <w:color w:val="000000" w:themeColor="text1"/>
          <w:lang w:val="pt-BR"/>
        </w:rPr>
        <w:t xml:space="preserve"> dat</w:t>
      </w:r>
      <w:r w:rsidR="00B9095E">
        <w:rPr>
          <w:rFonts w:ascii="Bookman Old Style" w:hAnsi="Bookman Old Style"/>
          <w:color w:val="000000" w:themeColor="text1"/>
          <w:lang w:val="pt-BR"/>
        </w:rPr>
        <w:t>ë</w:t>
      </w:r>
      <w:r>
        <w:rPr>
          <w:rFonts w:ascii="Bookman Old Style" w:hAnsi="Bookman Old Style"/>
          <w:color w:val="000000" w:themeColor="text1"/>
          <w:lang w:val="pt-BR"/>
        </w:rPr>
        <w:t>n 28.04.2021, pasi nuk eshte a</w:t>
      </w:r>
      <w:r w:rsidR="00B9095E">
        <w:rPr>
          <w:rFonts w:ascii="Bookman Old Style" w:hAnsi="Bookman Old Style"/>
          <w:color w:val="000000" w:themeColor="text1"/>
          <w:lang w:val="pt-BR"/>
        </w:rPr>
        <w:t>n</w:t>
      </w:r>
      <w:r>
        <w:rPr>
          <w:rFonts w:ascii="Bookman Old Style" w:hAnsi="Bookman Old Style"/>
          <w:color w:val="000000" w:themeColor="text1"/>
          <w:lang w:val="pt-BR"/>
        </w:rPr>
        <w:t>kimuar nga Prokuroria e Rrethit Gjyqesor Lezhe.</w:t>
      </w:r>
    </w:p>
    <w:p w14:paraId="5772FF33" w14:textId="6B7D1177"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4.4 Pavaresisht se i ishte drejtuar Gjykates se Rrethit Gjyqësor Lezhe me kerkesen e mesiperme i njejti </w:t>
      </w:r>
      <w:r w:rsidR="00B9095E">
        <w:rPr>
          <w:rFonts w:ascii="Bookman Old Style" w:hAnsi="Bookman Old Style"/>
          <w:color w:val="000000" w:themeColor="text1"/>
          <w:lang w:val="pt-BR"/>
        </w:rPr>
        <w:t>p</w:t>
      </w:r>
      <w:r>
        <w:rPr>
          <w:rFonts w:ascii="Bookman Old Style" w:hAnsi="Bookman Old Style"/>
          <w:color w:val="000000" w:themeColor="text1"/>
          <w:lang w:val="pt-BR"/>
        </w:rPr>
        <w:t xml:space="preserve">rokuror, nje dite perpara shpalljes se vendimit te </w:t>
      </w:r>
      <w:r w:rsidR="00B9095E">
        <w:rPr>
          <w:rFonts w:ascii="Bookman Old Style" w:hAnsi="Bookman Old Style"/>
          <w:color w:val="000000" w:themeColor="text1"/>
          <w:lang w:val="pt-BR"/>
        </w:rPr>
        <w:t xml:space="preserve">mësipërm të </w:t>
      </w:r>
      <w:r>
        <w:rPr>
          <w:rFonts w:ascii="Bookman Old Style" w:hAnsi="Bookman Old Style"/>
          <w:color w:val="000000" w:themeColor="text1"/>
          <w:lang w:val="pt-BR"/>
        </w:rPr>
        <w:t xml:space="preserve">gjykates ka nxjerre </w:t>
      </w:r>
      <w:r w:rsidR="00B9095E">
        <w:rPr>
          <w:rFonts w:ascii="Bookman Old Style" w:hAnsi="Bookman Old Style"/>
          <w:color w:val="000000" w:themeColor="text1"/>
          <w:lang w:val="pt-BR"/>
        </w:rPr>
        <w:t>u</w:t>
      </w:r>
      <w:r>
        <w:rPr>
          <w:rFonts w:ascii="Bookman Old Style" w:hAnsi="Bookman Old Style"/>
          <w:color w:val="000000" w:themeColor="text1"/>
          <w:lang w:val="pt-BR"/>
        </w:rPr>
        <w:t xml:space="preserve">rdhrin per ekzekutimin e vendimit penal date 12.04.2021 dhe percaktuar si date te fillimit te vuajtjes se denimit te bashkuar me vendimin nr. 34, date 08.05.2020 te Gjykates se </w:t>
      </w:r>
      <w:r>
        <w:rPr>
          <w:rFonts w:ascii="Bookman Old Style" w:hAnsi="Bookman Old Style"/>
          <w:color w:val="000000" w:themeColor="text1"/>
          <w:lang w:val="pt-BR"/>
        </w:rPr>
        <w:lastRenderedPageBreak/>
        <w:t>Rrethit Gjyqësor Lezhe daten 11.03.2018, ne kundërshtim me vendimin e gjykates.</w:t>
      </w:r>
    </w:p>
    <w:p w14:paraId="33360BF4" w14:textId="2F1C180D"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4.5 Ky urdher i eshte derguar IEVP Rrogozhine, e cila edhe pse kerkuesi ka vuajtur denimin sipas vendimit nr. 34, date 08.05.2020 te Gjykates se Rrethit Gjyqesor Lezhe, e mban ende te institucion ne baze te urdhrit te mesiperm te Prokurorise se Rrethit Gjyqësor Lezhe!!!</w:t>
      </w:r>
    </w:p>
    <w:p w14:paraId="499FB803" w14:textId="4E9D508D"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4.6 Ndodhur ne kete situate absurde i denuari Edmond Marku me daten 22.04.2021 i eshte drejtuar Gjykates se Rrethit Gjyqesor Kavaje dhe ka kerkuar shuarjen e denimit te dhene me vendimin </w:t>
      </w:r>
      <w:bookmarkStart w:id="3" w:name="_Hlk86603790"/>
      <w:r>
        <w:rPr>
          <w:rFonts w:ascii="Bookman Old Style" w:hAnsi="Bookman Old Style"/>
          <w:color w:val="000000" w:themeColor="text1"/>
          <w:lang w:val="pt-BR"/>
        </w:rPr>
        <w:t>nr. 34, date 08.05.2020 te Gjykates se Rrethit Gjyqësor Lezhe.</w:t>
      </w:r>
      <w:bookmarkEnd w:id="3"/>
    </w:p>
    <w:p w14:paraId="72BDCA43" w14:textId="07ECD146"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4.6.1 Gjykata e Rrethit Gjyqesor Kavaje </w:t>
      </w:r>
      <w:bookmarkStart w:id="4" w:name="_Hlk86604066"/>
      <w:r>
        <w:rPr>
          <w:rFonts w:ascii="Bookman Old Style" w:hAnsi="Bookman Old Style"/>
          <w:color w:val="000000" w:themeColor="text1"/>
          <w:lang w:val="pt-BR"/>
        </w:rPr>
        <w:t>me vendimin nr. 840/202, date 12.05.2021</w:t>
      </w:r>
      <w:bookmarkEnd w:id="4"/>
      <w:r>
        <w:rPr>
          <w:rFonts w:ascii="Bookman Old Style" w:hAnsi="Bookman Old Style"/>
          <w:color w:val="000000" w:themeColor="text1"/>
          <w:lang w:val="pt-BR"/>
        </w:rPr>
        <w:t xml:space="preserve"> ka vendosur rrëzimin e kërkeses </w:t>
      </w:r>
      <w:bookmarkStart w:id="5" w:name="_Hlk86604383"/>
      <w:r>
        <w:rPr>
          <w:rFonts w:ascii="Bookman Old Style" w:hAnsi="Bookman Old Style"/>
          <w:color w:val="000000" w:themeColor="text1"/>
          <w:lang w:val="pt-BR"/>
        </w:rPr>
        <w:t>pasi nga ana e Prokurorise se Rrethit Gjyqesor Lezhe eshte kerkuar bashkimi i denimeve: 1. Vendimit nr. 34, date 08.05.2020 i Gjykates se Rrethit Gjyqësor Lezhe; dhe 2. Vendimit nr. 1950, date 29.06.2017 i Gjykates se Rrethit Gjyqësor Tiranë.</w:t>
      </w:r>
    </w:p>
    <w:bookmarkEnd w:id="5"/>
    <w:p w14:paraId="03C739D6" w14:textId="4A9A90B6"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4.6.2 Ky vendim ka marre forme te prere me daten 27.05.2021, pasi kerkuesi Edmond Marku nuk e ka ankimuar.</w:t>
      </w:r>
    </w:p>
    <w:p w14:paraId="35254D78" w14:textId="77777777" w:rsidR="00B9095E"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5. Ne daten 26.07.2021 kerkuesi i eshte drejtuar Gjykates se Rrethit Gjyqësor Lezhe me kerkesen objekt gjykimi, me te cilen kerkon shuarjen e denimit te dhene me vendimin nr. </w:t>
      </w:r>
      <w:r>
        <w:rPr>
          <w:rFonts w:ascii="Bookman Old Style" w:hAnsi="Bookman Old Style"/>
          <w:color w:val="000000" w:themeColor="text1"/>
          <w:lang w:val="pt-BR"/>
        </w:rPr>
        <w:t>34, date 08.05.2020 te Gjykates se Rrethit Gjyqësor Lezhe</w:t>
      </w:r>
      <w:r>
        <w:rPr>
          <w:rFonts w:ascii="Bookman Old Style" w:hAnsi="Bookman Old Style"/>
          <w:color w:val="000000" w:themeColor="text1"/>
          <w:lang w:val="pt-BR"/>
        </w:rPr>
        <w:t xml:space="preserve">, pasi sipas ketij vendimi e ka tejkaluar dënimin e dhëne dhe po mbahet padrejtesisht dhe pa nje vendim gjykate ne burg. </w:t>
      </w:r>
    </w:p>
    <w:p w14:paraId="2B344DE4" w14:textId="12C00371" w:rsidR="00BB2D83" w:rsidRDefault="00B9095E"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5.1 Gjatë gjykimit, k</w:t>
      </w:r>
      <w:r w:rsidR="00BB2D83">
        <w:rPr>
          <w:rFonts w:ascii="Bookman Old Style" w:hAnsi="Bookman Old Style"/>
          <w:color w:val="000000" w:themeColor="text1"/>
          <w:lang w:val="pt-BR"/>
        </w:rPr>
        <w:t xml:space="preserve">erkuesi pretendoi se prokurori ka vepruar ne kundershtim me ligjin dhe vendimin e gjykates, pasi gjykata jo vetem ka qene e qarte ne lidhje me fillimin e vuajtjes se denimit te bashkuar, por i’a ka theksuar perseri ne vendimin </w:t>
      </w:r>
      <w:r w:rsidR="00BB2D83">
        <w:rPr>
          <w:rFonts w:ascii="Bookman Old Style" w:hAnsi="Bookman Old Style"/>
          <w:color w:val="000000" w:themeColor="text1"/>
          <w:lang w:val="pt-BR"/>
        </w:rPr>
        <w:t>nr. 65, date 13.04.2021</w:t>
      </w:r>
      <w:r w:rsidR="00BB2D83">
        <w:rPr>
          <w:rFonts w:ascii="Bookman Old Style" w:hAnsi="Bookman Old Style"/>
          <w:color w:val="000000" w:themeColor="text1"/>
          <w:lang w:val="pt-BR"/>
        </w:rPr>
        <w:t>, me te cilin i ka rrezuar kerkesen per ndreqje gabimi. Mbajtja ne burg me nje urdher te prokurorit ne kundershtim me vendimin e gjykates eshte e kundraligjshme dhe ai d</w:t>
      </w:r>
      <w:r>
        <w:rPr>
          <w:rFonts w:ascii="Bookman Old Style" w:hAnsi="Bookman Old Style"/>
          <w:color w:val="000000" w:themeColor="text1"/>
          <w:lang w:val="pt-BR"/>
        </w:rPr>
        <w:t>u</w:t>
      </w:r>
      <w:r w:rsidR="00BB2D83">
        <w:rPr>
          <w:rFonts w:ascii="Bookman Old Style" w:hAnsi="Bookman Old Style"/>
          <w:color w:val="000000" w:themeColor="text1"/>
          <w:lang w:val="pt-BR"/>
        </w:rPr>
        <w:t>het liruar menjehere.</w:t>
      </w:r>
    </w:p>
    <w:p w14:paraId="78219649" w14:textId="143D7275"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5.</w:t>
      </w:r>
      <w:r w:rsidR="00B9095E">
        <w:rPr>
          <w:rFonts w:ascii="Bookman Old Style" w:hAnsi="Bookman Old Style"/>
          <w:color w:val="000000" w:themeColor="text1"/>
          <w:lang w:val="pt-BR"/>
        </w:rPr>
        <w:t>2</w:t>
      </w:r>
      <w:r>
        <w:rPr>
          <w:rFonts w:ascii="Bookman Old Style" w:hAnsi="Bookman Old Style"/>
          <w:color w:val="000000" w:themeColor="text1"/>
          <w:lang w:val="pt-BR"/>
        </w:rPr>
        <w:t xml:space="preserve"> Pyetjes se gjykates se perse nuk e kishte ankimuar vendimin </w:t>
      </w:r>
      <w:r>
        <w:rPr>
          <w:rFonts w:ascii="Bookman Old Style" w:hAnsi="Bookman Old Style"/>
          <w:color w:val="000000" w:themeColor="text1"/>
          <w:lang w:val="pt-BR"/>
        </w:rPr>
        <w:t>nr. 840/202, date 12.05.2021</w:t>
      </w:r>
      <w:r>
        <w:rPr>
          <w:rFonts w:ascii="Bookman Old Style" w:hAnsi="Bookman Old Style"/>
          <w:color w:val="000000" w:themeColor="text1"/>
          <w:lang w:val="pt-BR"/>
        </w:rPr>
        <w:t xml:space="preserve"> te Gjykates se Rrethit Gjyqesor Kavaje, me te cilin ishte rrezuar kerkesa e tij per shuarjen e denimit, kerkuesi i’u pergjigj se gjyqtari e kishte nxjerre nga seanca dhe kur vendimi i ishte komunikuar kishte marre nderkohe forme te prere.</w:t>
      </w:r>
    </w:p>
    <w:p w14:paraId="3FC5CF23" w14:textId="43244B2A"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6. Prokurori kerkoi rrezi</w:t>
      </w:r>
      <w:r w:rsidR="00B9095E">
        <w:rPr>
          <w:rFonts w:ascii="Bookman Old Style" w:hAnsi="Bookman Old Style"/>
          <w:color w:val="000000" w:themeColor="text1"/>
          <w:lang w:val="pt-BR"/>
        </w:rPr>
        <w:t>m</w:t>
      </w:r>
      <w:r>
        <w:rPr>
          <w:rFonts w:ascii="Bookman Old Style" w:hAnsi="Bookman Old Style"/>
          <w:color w:val="000000" w:themeColor="text1"/>
          <w:lang w:val="pt-BR"/>
        </w:rPr>
        <w:t>in e kerkeses pasi eshte gjykuar me perpara nga kjo gjykate dhe eshte rrezuar.</w:t>
      </w:r>
    </w:p>
    <w:p w14:paraId="4433CCB1" w14:textId="77777777" w:rsidR="00BB2D83" w:rsidRDefault="00BB2D83" w:rsidP="00E56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7. Gjykata pasi u njoh me kerkesen dhe provat e siguruara, konstaton se kerkuesi ndodhet perpara nje situate absurde, kur denimi i percaktuar me vendim gjykate tejkalohet me urdher te prokurorit. Pavaresisht kesaj, gjykata konstaton se kerkesa e tij eshte gjykuar me perpara prej kesaj gjykate duke u rrezuar me vendimin </w:t>
      </w:r>
      <w:bookmarkStart w:id="6" w:name="_Hlk86604521"/>
      <w:r>
        <w:rPr>
          <w:rFonts w:ascii="Bookman Old Style" w:hAnsi="Bookman Old Style"/>
          <w:color w:val="000000" w:themeColor="text1"/>
          <w:lang w:val="pt-BR"/>
        </w:rPr>
        <w:t>nr. 840/202, date 12.05.2021</w:t>
      </w:r>
      <w:bookmarkEnd w:id="6"/>
      <w:r>
        <w:rPr>
          <w:rFonts w:ascii="Bookman Old Style" w:hAnsi="Bookman Old Style"/>
          <w:color w:val="000000" w:themeColor="text1"/>
          <w:lang w:val="pt-BR"/>
        </w:rPr>
        <w:t>, i cili ka marre forme te prere duke mos u ankimuar.</w:t>
      </w:r>
    </w:p>
    <w:p w14:paraId="4D149670" w14:textId="599FC396" w:rsidR="00BB2D83" w:rsidRDefault="00BB2D83" w:rsidP="00BB2D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lastRenderedPageBreak/>
        <w:tab/>
        <w:t xml:space="preserve">7.1 Ndodhur perpara nje vendimi gjykate te formes se prere, kjo gjykate nuk mund te disponoje me mbi kerkesen e tij per shuarjen e denimit pasi nje tjeter trup gjykues ka vleresuar se  </w:t>
      </w:r>
      <w:r>
        <w:rPr>
          <w:rFonts w:ascii="Bookman Old Style" w:hAnsi="Bookman Old Style"/>
          <w:color w:val="000000" w:themeColor="text1"/>
          <w:lang w:val="pt-BR"/>
        </w:rPr>
        <w:t>nga ana e Prokurorise se Rrethit Gjyqesor Lezhe eshte kerkuar bashkimi i denimeve: 1. Vendimit nr. 34, date 08.05.2020 i Gjykates se Rrethit Gjyqësor Lezhe; dhe 2. Vendimit nr. 1950, date 29.06.2017 i Gjykates se Rrethit Gjyqësor Tiranë</w:t>
      </w:r>
      <w:r w:rsidR="00B9095E">
        <w:rPr>
          <w:rFonts w:ascii="Bookman Old Style" w:hAnsi="Bookman Old Style"/>
          <w:color w:val="000000" w:themeColor="text1"/>
          <w:lang w:val="pt-BR"/>
        </w:rPr>
        <w:t xml:space="preserve"> dhe kerkesa per shuarjen e denimit duhej rrezuar.</w:t>
      </w:r>
      <w:r>
        <w:rPr>
          <w:rFonts w:ascii="Bookman Old Style" w:hAnsi="Bookman Old Style"/>
          <w:color w:val="000000" w:themeColor="text1"/>
          <w:lang w:val="pt-BR"/>
        </w:rPr>
        <w:t xml:space="preserve"> Çështja e bashkimit te denimeve aktualisht ndodhet per kompetence ne Gjykaten e Larte. Pra, ekziston ende si shkak, duke e pozicionuar ceshtje</w:t>
      </w:r>
      <w:r w:rsidR="00B9095E">
        <w:rPr>
          <w:rFonts w:ascii="Bookman Old Style" w:hAnsi="Bookman Old Style"/>
          <w:color w:val="000000" w:themeColor="text1"/>
          <w:lang w:val="pt-BR"/>
        </w:rPr>
        <w:t>n</w:t>
      </w:r>
      <w:r>
        <w:rPr>
          <w:rFonts w:ascii="Bookman Old Style" w:hAnsi="Bookman Old Style"/>
          <w:color w:val="000000" w:themeColor="text1"/>
          <w:lang w:val="pt-BR"/>
        </w:rPr>
        <w:t xml:space="preserve"> si gje te gjykuar (rei jiudicata).</w:t>
      </w:r>
    </w:p>
    <w:p w14:paraId="6D6F28A0" w14:textId="7F8DC18B" w:rsidR="00BB2D83" w:rsidRDefault="00BB2D83" w:rsidP="00BB2D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t xml:space="preserve">8. Per keto arsye, gjykata vendos mospranimin e kerkeses se te denuarit Edmond Marku, duke e orientuar per te paraqitur kerkese per rishikimin e vendimit nr. </w:t>
      </w:r>
      <w:r>
        <w:rPr>
          <w:rFonts w:ascii="Bookman Old Style" w:hAnsi="Bookman Old Style"/>
          <w:color w:val="000000" w:themeColor="text1"/>
          <w:lang w:val="pt-BR"/>
        </w:rPr>
        <w:t>840/202, date 12.05.2021</w:t>
      </w:r>
      <w:r>
        <w:rPr>
          <w:rFonts w:ascii="Bookman Old Style" w:hAnsi="Bookman Old Style"/>
          <w:color w:val="000000" w:themeColor="text1"/>
          <w:lang w:val="pt-BR"/>
        </w:rPr>
        <w:t xml:space="preserve"> te Gjykates se Rrethit Gjyqesor Kavaje, i cili duket se bie ne kundershtim me vendimin </w:t>
      </w:r>
      <w:r>
        <w:rPr>
          <w:rFonts w:ascii="Bookman Old Style" w:hAnsi="Bookman Old Style"/>
          <w:color w:val="000000" w:themeColor="text1"/>
          <w:lang w:val="pt-BR"/>
        </w:rPr>
        <w:t xml:space="preserve">nr. 525, date 13.07.2019 te Gjykates se Apelit Tiranë, </w:t>
      </w:r>
      <w:r w:rsidR="00B9095E">
        <w:rPr>
          <w:rFonts w:ascii="Bookman Old Style" w:hAnsi="Bookman Old Style"/>
          <w:color w:val="000000" w:themeColor="text1"/>
          <w:lang w:val="pt-BR"/>
        </w:rPr>
        <w:t xml:space="preserve">që ka </w:t>
      </w:r>
      <w:r>
        <w:rPr>
          <w:rFonts w:ascii="Bookman Old Style" w:hAnsi="Bookman Old Style"/>
          <w:color w:val="000000" w:themeColor="text1"/>
          <w:lang w:val="pt-BR"/>
        </w:rPr>
        <w:t xml:space="preserve">vendosur: </w:t>
      </w:r>
      <w:r w:rsidRPr="00BB2D83">
        <w:rPr>
          <w:rFonts w:ascii="Bookman Old Style" w:hAnsi="Bookman Old Style"/>
          <w:i/>
          <w:iCs/>
          <w:color w:val="000000" w:themeColor="text1"/>
          <w:lang w:val="pt-BR"/>
        </w:rPr>
        <w:t>“1. Pranimin e kerkeses se kerkuesit Edmond Marku. 2. Shuarjen e mases se sigurimit personal “arrest ne burg” ne ngarkim te shtetasit Edmond Marku dhene me vendimin penal (mase sigurimi) nr. 2831 akti, date 14.11.2016 te Gjykates se Rrethit Gjyqesor Tirane, per shkak se ka vuajtur denimin e dhene me vendimin penal nr. 1950, date 29.06.2017 te Gjykates se Rrethit Gjyqësor Tiranë. 3. Shuarjen e mases se sigurimit personal “arrest ne burg” ne ngarkim te shtetasit Edmond Marku dhene me vendimin penal (mase sigurimi) nr. 1834 akti, date 15.07.2016 te Gjykates se Rrethit Gjyqesor Tirane, per shkak se ka vuajtur denimin e dhene me vendimin penal nr. 596, date 28.02.2017 te Gjykates se Rrethit Gjyqësor Tiranë. 4. Urdherohet lirimi i menjehershem i te gjykuarit Edmond Marku nga vendi i vuajtjes se denimit, nese nuk mbahet per ndonje veper tjeter penale, apo shkak tjeter penal...”</w:t>
      </w:r>
      <w:r>
        <w:rPr>
          <w:rFonts w:ascii="Bookman Old Style" w:hAnsi="Bookman Old Style"/>
          <w:i/>
          <w:iCs/>
          <w:color w:val="000000" w:themeColor="text1"/>
          <w:lang w:val="pt-BR"/>
        </w:rPr>
        <w:t xml:space="preserve">, </w:t>
      </w:r>
      <w:r>
        <w:rPr>
          <w:rFonts w:ascii="Bookman Old Style" w:hAnsi="Bookman Old Style"/>
          <w:color w:val="000000" w:themeColor="text1"/>
          <w:lang w:val="pt-BR"/>
        </w:rPr>
        <w:t>apo me vendimin nr. 65, date 13.04.2021 te Gjykates se Rrethit Gjyqesor Lezhe. Gjithashtu, nese e ka humbur afatin e ankimit per shkak se vendimi i eshte komunikuar pasi ka marre forme te prere, mund te paraqese kerkesen per rivendosje ne afatin e ankimit.</w:t>
      </w:r>
    </w:p>
    <w:p w14:paraId="7C46E508" w14:textId="75FDA143" w:rsidR="00B9095E" w:rsidRPr="00B9095E" w:rsidRDefault="00B9095E" w:rsidP="00BB2D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b/>
          <w:bCs/>
          <w:color w:val="000000" w:themeColor="text1"/>
          <w:lang w:val="pt-BR"/>
        </w:rPr>
      </w:pPr>
      <w:r>
        <w:rPr>
          <w:rFonts w:ascii="Bookman Old Style" w:hAnsi="Bookman Old Style"/>
          <w:color w:val="000000" w:themeColor="text1"/>
          <w:lang w:val="pt-BR"/>
        </w:rPr>
        <w:tab/>
      </w:r>
      <w:r w:rsidRPr="00B9095E">
        <w:rPr>
          <w:rFonts w:ascii="Bookman Old Style" w:hAnsi="Bookman Old Style"/>
          <w:b/>
          <w:bCs/>
          <w:color w:val="000000" w:themeColor="text1"/>
          <w:lang w:val="pt-BR"/>
        </w:rPr>
        <w:t>9. Gjykata dyshon se perpara nxjerrjes se urdhrit per ekzekutimin e vendimit penal date 12.04.2021 te Prokurorise se Rrethit Gjyqësor Lezhe kerkuesi e kishte vuajtur denimin sipas vendimit nr. 34, date 08.05.2020 te Gjykates se Rrethit Gjyqesor Lezhe prej 4 vjet e 6 muaj burgim dhe eshte mbajtur ne burg pa vendim nga ana e autoriteteve te IEVP Rrogozhine. Kjo pasi nga data 12.11.2016 deri ne daten 12.04.2021, se bashku me nje ulje denimi te pretenduar te fituar prej tij ne masen 30 ditë</w:t>
      </w:r>
    </w:p>
    <w:p w14:paraId="5A22580F" w14:textId="77777777" w:rsidR="002D5F9C" w:rsidRPr="00223ADA" w:rsidRDefault="002D5F9C" w:rsidP="002D5F9C">
      <w:pPr>
        <w:spacing w:after="120"/>
        <w:jc w:val="center"/>
        <w:rPr>
          <w:rFonts w:ascii="Bookman Old Style" w:hAnsi="Bookman Old Style" w:cs="Arial"/>
          <w:b/>
          <w:noProof/>
          <w:u w:val="single"/>
        </w:rPr>
      </w:pPr>
      <w:r w:rsidRPr="00223ADA">
        <w:rPr>
          <w:rFonts w:ascii="Bookman Old Style" w:hAnsi="Bookman Old Style" w:cs="Arial"/>
          <w:b/>
          <w:noProof/>
          <w:u w:val="single"/>
        </w:rPr>
        <w:t>P E R   K Ë T O   A R S Y E</w:t>
      </w:r>
      <w:r>
        <w:rPr>
          <w:rFonts w:ascii="Bookman Old Style" w:hAnsi="Bookman Old Style" w:cs="Arial"/>
          <w:b/>
          <w:noProof/>
          <w:u w:val="single"/>
        </w:rPr>
        <w:t>,</w:t>
      </w:r>
    </w:p>
    <w:p w14:paraId="7299139C" w14:textId="15BEB4F3" w:rsidR="002D5F9C" w:rsidRPr="00223ADA" w:rsidRDefault="002D5F9C" w:rsidP="002D5F9C">
      <w:pPr>
        <w:spacing w:after="120"/>
        <w:jc w:val="center"/>
        <w:rPr>
          <w:rFonts w:ascii="Bookman Old Style" w:hAnsi="Bookman Old Style" w:cs="Arial"/>
          <w:noProof/>
        </w:rPr>
      </w:pPr>
      <w:r>
        <w:rPr>
          <w:rFonts w:ascii="Bookman Old Style" w:hAnsi="Bookman Old Style" w:cs="Arial"/>
          <w:b/>
          <w:i/>
          <w:noProof/>
        </w:rPr>
        <w:t>Gjykata, nё mbё</w:t>
      </w:r>
      <w:r w:rsidRPr="00223ADA">
        <w:rPr>
          <w:rFonts w:ascii="Bookman Old Style" w:hAnsi="Bookman Old Style" w:cs="Arial"/>
          <w:b/>
          <w:i/>
          <w:noProof/>
        </w:rPr>
        <w:t>shtetje t</w:t>
      </w:r>
      <w:r>
        <w:rPr>
          <w:rFonts w:ascii="Bookman Old Style" w:hAnsi="Bookman Old Style" w:cs="Arial"/>
          <w:b/>
          <w:i/>
          <w:noProof/>
        </w:rPr>
        <w:t>ё</w:t>
      </w:r>
      <w:r w:rsidRPr="00223ADA">
        <w:rPr>
          <w:rFonts w:ascii="Bookman Old Style" w:hAnsi="Bookman Old Style" w:cs="Arial"/>
          <w:b/>
          <w:i/>
          <w:noProof/>
        </w:rPr>
        <w:t xml:space="preserve"> nenit 379 e vijues</w:t>
      </w:r>
      <w:r w:rsidR="00BB2D83">
        <w:rPr>
          <w:rFonts w:ascii="Bookman Old Style" w:hAnsi="Bookman Old Style" w:cs="Arial"/>
          <w:b/>
          <w:i/>
          <w:noProof/>
        </w:rPr>
        <w:t xml:space="preserve"> të</w:t>
      </w:r>
      <w:r w:rsidRPr="00223ADA">
        <w:rPr>
          <w:rFonts w:ascii="Bookman Old Style" w:hAnsi="Bookman Old Style" w:cs="Arial"/>
          <w:b/>
          <w:i/>
          <w:noProof/>
        </w:rPr>
        <w:t xml:space="preserve"> K.Pr.Penale,</w:t>
      </w:r>
    </w:p>
    <w:p w14:paraId="7592318B" w14:textId="77777777" w:rsidR="002D5F9C" w:rsidRPr="00223ADA" w:rsidRDefault="002D5F9C" w:rsidP="002D5F9C">
      <w:pPr>
        <w:jc w:val="center"/>
        <w:rPr>
          <w:rFonts w:ascii="Bookman Old Style" w:hAnsi="Bookman Old Style" w:cs="Arial"/>
          <w:noProof/>
        </w:rPr>
      </w:pPr>
      <w:r w:rsidRPr="00223ADA">
        <w:rPr>
          <w:rFonts w:ascii="Bookman Old Style" w:hAnsi="Bookman Old Style" w:cs="Arial"/>
          <w:b/>
          <w:noProof/>
          <w:u w:val="single"/>
        </w:rPr>
        <w:t>V E N D O S I</w:t>
      </w:r>
      <w:r>
        <w:rPr>
          <w:rFonts w:ascii="Bookman Old Style" w:hAnsi="Bookman Old Style" w:cs="Arial"/>
          <w:b/>
          <w:noProof/>
          <w:u w:val="single"/>
        </w:rPr>
        <w:t>:</w:t>
      </w:r>
    </w:p>
    <w:p w14:paraId="048394AA" w14:textId="77777777" w:rsidR="002D5F9C" w:rsidRDefault="002D5F9C" w:rsidP="002D5F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p>
    <w:p w14:paraId="46EAF847" w14:textId="336C6A76" w:rsidR="002D5F9C" w:rsidRDefault="00BB2D83" w:rsidP="002D5F9C">
      <w:pPr>
        <w:pStyle w:val="NoSpacing"/>
        <w:numPr>
          <w:ilvl w:val="0"/>
          <w:numId w:val="20"/>
        </w:numPr>
        <w:spacing w:line="276" w:lineRule="auto"/>
        <w:jc w:val="both"/>
        <w:rPr>
          <w:rFonts w:ascii="Bookman Old Style" w:hAnsi="Bookman Old Style" w:cs="Arial"/>
          <w:noProof/>
          <w:sz w:val="24"/>
          <w:szCs w:val="24"/>
          <w:lang w:val="sq-AL"/>
        </w:rPr>
      </w:pPr>
      <w:r>
        <w:rPr>
          <w:rFonts w:ascii="Bookman Old Style" w:hAnsi="Bookman Old Style" w:cs="Arial"/>
          <w:noProof/>
          <w:sz w:val="24"/>
          <w:szCs w:val="24"/>
          <w:lang w:val="sq-AL"/>
        </w:rPr>
        <w:lastRenderedPageBreak/>
        <w:t xml:space="preserve">Mospranimin e </w:t>
      </w:r>
      <w:r w:rsidR="002D5F9C" w:rsidRPr="00223ADA">
        <w:rPr>
          <w:rFonts w:ascii="Bookman Old Style" w:hAnsi="Bookman Old Style" w:cs="Arial"/>
          <w:noProof/>
          <w:sz w:val="24"/>
          <w:szCs w:val="24"/>
          <w:lang w:val="sq-AL"/>
        </w:rPr>
        <w:t xml:space="preserve">kërkesës. </w:t>
      </w:r>
    </w:p>
    <w:p w14:paraId="3F439050" w14:textId="77777777" w:rsidR="002D5F9C" w:rsidRPr="00223ADA" w:rsidRDefault="002D5F9C" w:rsidP="002D5F9C">
      <w:pPr>
        <w:pStyle w:val="NoSpacing"/>
        <w:numPr>
          <w:ilvl w:val="0"/>
          <w:numId w:val="20"/>
        </w:numPr>
        <w:spacing w:line="276" w:lineRule="auto"/>
        <w:jc w:val="both"/>
        <w:rPr>
          <w:rFonts w:ascii="Bookman Old Style" w:hAnsi="Bookman Old Style" w:cs="Arial"/>
          <w:noProof/>
          <w:sz w:val="24"/>
          <w:szCs w:val="24"/>
          <w:lang w:val="sq-AL"/>
        </w:rPr>
      </w:pPr>
      <w:r w:rsidRPr="00223ADA">
        <w:rPr>
          <w:rFonts w:ascii="Bookman Old Style" w:hAnsi="Bookman Old Style" w:cs="Arial"/>
          <w:noProof/>
          <w:sz w:val="24"/>
          <w:szCs w:val="24"/>
          <w:lang w:val="sq-AL"/>
        </w:rPr>
        <w:t>Shpenzimet gjyqesore nuk evidentohen.</w:t>
      </w:r>
    </w:p>
    <w:p w14:paraId="1E0422B5" w14:textId="77777777" w:rsidR="002D5F9C" w:rsidRDefault="002D5F9C" w:rsidP="002D5F9C">
      <w:pPr>
        <w:pStyle w:val="NoSpacing"/>
        <w:numPr>
          <w:ilvl w:val="0"/>
          <w:numId w:val="20"/>
        </w:numPr>
        <w:spacing w:line="276" w:lineRule="auto"/>
        <w:jc w:val="both"/>
        <w:rPr>
          <w:rFonts w:ascii="Bookman Old Style" w:hAnsi="Bookman Old Style" w:cs="Arial"/>
          <w:noProof/>
          <w:sz w:val="24"/>
          <w:szCs w:val="24"/>
          <w:lang w:val="sq-AL"/>
        </w:rPr>
      </w:pPr>
      <w:r w:rsidRPr="00043322">
        <w:rPr>
          <w:rFonts w:ascii="Bookman Old Style" w:hAnsi="Bookman Old Style" w:cs="Arial"/>
          <w:noProof/>
          <w:sz w:val="24"/>
          <w:szCs w:val="24"/>
          <w:lang w:val="sq-AL"/>
        </w:rPr>
        <w:t>Kunder vendimit mund te behet ankim</w:t>
      </w:r>
      <w:r>
        <w:rPr>
          <w:rFonts w:ascii="Bookman Old Style" w:hAnsi="Bookman Old Style" w:cs="Arial"/>
          <w:noProof/>
          <w:sz w:val="24"/>
          <w:szCs w:val="24"/>
          <w:lang w:val="sq-AL"/>
        </w:rPr>
        <w:t xml:space="preserve"> në Gjykaten e Apelit Durres</w:t>
      </w:r>
      <w:r w:rsidRPr="00043322">
        <w:rPr>
          <w:rFonts w:ascii="Bookman Old Style" w:hAnsi="Bookman Old Style" w:cs="Arial"/>
          <w:noProof/>
          <w:sz w:val="24"/>
          <w:szCs w:val="24"/>
          <w:lang w:val="sq-AL"/>
        </w:rPr>
        <w:t xml:space="preserve">, brenda afatit ligjor 15 </w:t>
      </w:r>
      <w:r w:rsidRPr="00E04355">
        <w:rPr>
          <w:rFonts w:ascii="Bookman Old Style" w:hAnsi="Bookman Old Style" w:cs="Arial"/>
          <w:i/>
          <w:noProof/>
          <w:sz w:val="24"/>
          <w:szCs w:val="24"/>
          <w:lang w:val="sq-AL"/>
        </w:rPr>
        <w:t>(pesёmbёdhjetё)</w:t>
      </w:r>
      <w:r>
        <w:rPr>
          <w:rFonts w:ascii="Bookman Old Style" w:hAnsi="Bookman Old Style" w:cs="Arial"/>
          <w:noProof/>
          <w:sz w:val="24"/>
          <w:szCs w:val="24"/>
          <w:lang w:val="sq-AL"/>
        </w:rPr>
        <w:t xml:space="preserve"> ditor, nga e nesё</w:t>
      </w:r>
      <w:r w:rsidRPr="00043322">
        <w:rPr>
          <w:rFonts w:ascii="Bookman Old Style" w:hAnsi="Bookman Old Style" w:cs="Arial"/>
          <w:noProof/>
          <w:sz w:val="24"/>
          <w:szCs w:val="24"/>
          <w:lang w:val="sq-AL"/>
        </w:rPr>
        <w:t xml:space="preserve">rmja e </w:t>
      </w:r>
      <w:r>
        <w:rPr>
          <w:rFonts w:ascii="Bookman Old Style" w:hAnsi="Bookman Old Style" w:cs="Arial"/>
          <w:noProof/>
          <w:sz w:val="24"/>
          <w:szCs w:val="24"/>
          <w:lang w:val="sq-AL"/>
        </w:rPr>
        <w:t>njoftimit tё</w:t>
      </w:r>
      <w:r w:rsidRPr="00043322">
        <w:rPr>
          <w:rFonts w:ascii="Bookman Old Style" w:hAnsi="Bookman Old Style" w:cs="Arial"/>
          <w:noProof/>
          <w:sz w:val="24"/>
          <w:szCs w:val="24"/>
          <w:lang w:val="sq-AL"/>
        </w:rPr>
        <w:t xml:space="preserve"> ketij vendimi</w:t>
      </w:r>
      <w:r>
        <w:rPr>
          <w:rFonts w:ascii="Bookman Old Style" w:hAnsi="Bookman Old Style" w:cs="Arial"/>
          <w:noProof/>
          <w:sz w:val="24"/>
          <w:szCs w:val="24"/>
          <w:lang w:val="sq-AL"/>
        </w:rPr>
        <w:t>.</w:t>
      </w:r>
    </w:p>
    <w:p w14:paraId="1FB444D6" w14:textId="66EBE51E" w:rsidR="002D5F9C" w:rsidRDefault="002D5F9C" w:rsidP="002D5F9C">
      <w:pPr>
        <w:pStyle w:val="NoSpacing"/>
        <w:numPr>
          <w:ilvl w:val="0"/>
          <w:numId w:val="20"/>
        </w:numPr>
        <w:spacing w:line="276" w:lineRule="auto"/>
        <w:jc w:val="both"/>
        <w:rPr>
          <w:rFonts w:ascii="Bookman Old Style" w:hAnsi="Bookman Old Style"/>
          <w:sz w:val="24"/>
          <w:szCs w:val="24"/>
        </w:rPr>
      </w:pPr>
      <w:r>
        <w:rPr>
          <w:rFonts w:ascii="Bookman Old Style" w:hAnsi="Bookman Old Style" w:cs="Arial"/>
          <w:b/>
          <w:noProof/>
          <w:sz w:val="24"/>
          <w:szCs w:val="24"/>
          <w:lang w:val="sq-AL"/>
        </w:rPr>
        <w:t xml:space="preserve">U shpall nё Kavajë, sot më datë </w:t>
      </w:r>
      <w:r w:rsidR="00F800C9">
        <w:rPr>
          <w:rFonts w:ascii="Bookman Old Style" w:hAnsi="Bookman Old Style" w:cs="Arial"/>
          <w:b/>
          <w:noProof/>
          <w:sz w:val="24"/>
          <w:szCs w:val="24"/>
          <w:lang w:val="sq-AL"/>
        </w:rPr>
        <w:t>20.10.2021</w:t>
      </w:r>
      <w:r>
        <w:rPr>
          <w:rFonts w:ascii="Bookman Old Style" w:hAnsi="Bookman Old Style" w:cs="Arial"/>
          <w:noProof/>
          <w:sz w:val="24"/>
          <w:szCs w:val="24"/>
          <w:lang w:val="sq-AL"/>
        </w:rPr>
        <w:t xml:space="preserve">. </w:t>
      </w:r>
    </w:p>
    <w:p w14:paraId="61C1795E" w14:textId="77777777" w:rsidR="002D5F9C" w:rsidRDefault="002D5F9C" w:rsidP="002D5F9C"/>
    <w:p w14:paraId="5659EAC2" w14:textId="77777777" w:rsidR="002D5F9C" w:rsidRPr="00E23041" w:rsidRDefault="002D5F9C" w:rsidP="002D5F9C">
      <w:pPr>
        <w:spacing w:after="120" w:line="276" w:lineRule="auto"/>
        <w:jc w:val="both"/>
        <w:rPr>
          <w:rFonts w:ascii="Bookman Old Style" w:hAnsi="Bookman Old Style"/>
          <w:b/>
        </w:rPr>
      </w:pPr>
      <w:r>
        <w:tab/>
      </w:r>
      <w:r>
        <w:rPr>
          <w:rFonts w:ascii="Bookman Old Style" w:hAnsi="Bookman Old Style"/>
          <w:b/>
        </w:rPr>
        <w:t xml:space="preserve">  </w:t>
      </w:r>
      <w:r w:rsidRPr="00E23041">
        <w:rPr>
          <w:rFonts w:ascii="Bookman Old Style" w:hAnsi="Bookman Old Style"/>
          <w:b/>
        </w:rPr>
        <w:t xml:space="preserve">S E K R E T A R E                     </w:t>
      </w:r>
      <w:r>
        <w:rPr>
          <w:rFonts w:ascii="Bookman Old Style" w:hAnsi="Bookman Old Style"/>
          <w:b/>
        </w:rPr>
        <w:t xml:space="preserve">  </w:t>
      </w:r>
      <w:r w:rsidRPr="00E23041">
        <w:rPr>
          <w:rFonts w:ascii="Bookman Old Style" w:hAnsi="Bookman Old Style"/>
          <w:b/>
        </w:rPr>
        <w:t xml:space="preserve">                  G J Y Q T A R</w:t>
      </w:r>
    </w:p>
    <w:p w14:paraId="2B9D2ABD" w14:textId="3804872C" w:rsidR="007C3709" w:rsidRPr="00E56367" w:rsidRDefault="002D5F9C" w:rsidP="00BB2D83">
      <w:pPr>
        <w:spacing w:line="276" w:lineRule="auto"/>
        <w:jc w:val="both"/>
        <w:rPr>
          <w:rFonts w:ascii="Bookman Old Style" w:hAnsi="Bookman Old Style" w:cs="Garamond"/>
          <w:b/>
          <w:bCs/>
          <w:color w:val="000000"/>
        </w:rPr>
      </w:pPr>
      <w:r w:rsidRPr="00E23041">
        <w:rPr>
          <w:rFonts w:ascii="Bookman Old Style" w:hAnsi="Bookman Old Style"/>
          <w:b/>
        </w:rPr>
        <w:t xml:space="preserve">      </w:t>
      </w:r>
      <w:r w:rsidR="007D4DFA">
        <w:rPr>
          <w:rFonts w:ascii="Bookman Old Style" w:hAnsi="Bookman Old Style"/>
          <w:b/>
        </w:rPr>
        <w:t xml:space="preserve">      </w:t>
      </w:r>
      <w:r w:rsidRPr="00E23041">
        <w:rPr>
          <w:rFonts w:ascii="Bookman Old Style" w:hAnsi="Bookman Old Style"/>
          <w:b/>
        </w:rPr>
        <w:t xml:space="preserve">ARJANA HOXHA     </w:t>
      </w:r>
      <w:r>
        <w:rPr>
          <w:rFonts w:ascii="Bookman Old Style" w:hAnsi="Bookman Old Style"/>
          <w:b/>
        </w:rPr>
        <w:t xml:space="preserve">                                </w:t>
      </w:r>
      <w:r w:rsidRPr="00E23041">
        <w:rPr>
          <w:rFonts w:ascii="Bookman Old Style" w:hAnsi="Bookman Old Style"/>
          <w:b/>
        </w:rPr>
        <w:t>GENTI  DOKOLLARI</w:t>
      </w:r>
    </w:p>
    <w:sectPr w:rsidR="007C3709" w:rsidRPr="00E56367" w:rsidSect="000A4651">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70519" w14:textId="77777777" w:rsidR="00A44722" w:rsidRDefault="00A44722" w:rsidP="00C16B06">
      <w:r>
        <w:separator/>
      </w:r>
    </w:p>
  </w:endnote>
  <w:endnote w:type="continuationSeparator" w:id="0">
    <w:p w14:paraId="25ADCE9B" w14:textId="77777777" w:rsidR="00A44722" w:rsidRDefault="00A44722" w:rsidP="00C1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4310"/>
      <w:docPartObj>
        <w:docPartGallery w:val="Page Numbers (Bottom of Page)"/>
        <w:docPartUnique/>
      </w:docPartObj>
    </w:sdtPr>
    <w:sdtEndPr/>
    <w:sdtContent>
      <w:p w14:paraId="1AD5ABDD" w14:textId="77777777" w:rsidR="00DA6DBD" w:rsidRDefault="00966336">
        <w:pPr>
          <w:pStyle w:val="Footer"/>
          <w:jc w:val="center"/>
        </w:pPr>
        <w:r>
          <w:fldChar w:fldCharType="begin"/>
        </w:r>
        <w:r>
          <w:instrText xml:space="preserve"> PAGE   \* MERGEFORMAT </w:instrText>
        </w:r>
        <w:r>
          <w:fldChar w:fldCharType="separate"/>
        </w:r>
        <w:r w:rsidR="00DB38FD">
          <w:rPr>
            <w:noProof/>
          </w:rPr>
          <w:t>2</w:t>
        </w:r>
        <w:r>
          <w:rPr>
            <w:noProof/>
          </w:rPr>
          <w:fldChar w:fldCharType="end"/>
        </w:r>
      </w:p>
    </w:sdtContent>
  </w:sdt>
  <w:p w14:paraId="122F0FB6" w14:textId="77777777" w:rsidR="00DA6DBD" w:rsidRDefault="00DA6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6F800" w14:textId="77777777" w:rsidR="00A44722" w:rsidRDefault="00A44722" w:rsidP="00C16B06">
      <w:r>
        <w:separator/>
      </w:r>
    </w:p>
  </w:footnote>
  <w:footnote w:type="continuationSeparator" w:id="0">
    <w:p w14:paraId="5B815BB1" w14:textId="77777777" w:rsidR="00A44722" w:rsidRDefault="00A44722" w:rsidP="00C16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9A4609BA"/>
    <w:lvl w:ilvl="0">
      <w:start w:val="1"/>
      <w:numFmt w:val="decimal"/>
      <w:lvlText w:val="%1."/>
      <w:lvlJc w:val="left"/>
      <w:pPr>
        <w:ind w:left="720" w:hanging="360"/>
      </w:pPr>
      <w:rPr>
        <w:rFonts w:ascii="Times New Roman" w:eastAsia="Times New Roman" w:hAnsi="Times New Roman" w:cs="Times New Roman"/>
        <w:b w:val="0"/>
        <w:i w:val="0"/>
        <w:strike w:val="0"/>
        <w:color w:val="auto"/>
        <w:sz w:val="24"/>
        <w:u w:val="none"/>
      </w:rPr>
    </w:lvl>
  </w:abstractNum>
  <w:abstractNum w:abstractNumId="1" w15:restartNumberingAfterBreak="0">
    <w:nsid w:val="105E075C"/>
    <w:multiLevelType w:val="hybridMultilevel"/>
    <w:tmpl w:val="F65A9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50E47"/>
    <w:multiLevelType w:val="hybridMultilevel"/>
    <w:tmpl w:val="83D035CE"/>
    <w:lvl w:ilvl="0" w:tplc="9B101E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B2902"/>
    <w:multiLevelType w:val="hybridMultilevel"/>
    <w:tmpl w:val="329603D6"/>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2A6504"/>
    <w:multiLevelType w:val="hybridMultilevel"/>
    <w:tmpl w:val="455A0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304C5D"/>
    <w:multiLevelType w:val="hybridMultilevel"/>
    <w:tmpl w:val="036233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2076F3F"/>
    <w:multiLevelType w:val="hybridMultilevel"/>
    <w:tmpl w:val="5A668CD6"/>
    <w:lvl w:ilvl="0" w:tplc="78D88560">
      <w:start w:val="1"/>
      <w:numFmt w:val="decimal"/>
      <w:lvlText w:val="%1."/>
      <w:lvlJc w:val="left"/>
      <w:pPr>
        <w:tabs>
          <w:tab w:val="num" w:pos="270"/>
        </w:tabs>
        <w:ind w:left="2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4D0224"/>
    <w:multiLevelType w:val="hybridMultilevel"/>
    <w:tmpl w:val="9356EF22"/>
    <w:lvl w:ilvl="0" w:tplc="B3DED8D2">
      <w:start w:val="1"/>
      <w:numFmt w:val="lowerLetter"/>
      <w:lvlText w:val="%1)"/>
      <w:lvlJc w:val="left"/>
      <w:pPr>
        <w:ind w:left="108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7C66AA2"/>
    <w:multiLevelType w:val="hybridMultilevel"/>
    <w:tmpl w:val="91FA959A"/>
    <w:lvl w:ilvl="0" w:tplc="D9A667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A85C09"/>
    <w:multiLevelType w:val="hybridMultilevel"/>
    <w:tmpl w:val="A43E58E6"/>
    <w:lvl w:ilvl="0" w:tplc="9C34EB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4837CE"/>
    <w:multiLevelType w:val="hybridMultilevel"/>
    <w:tmpl w:val="3878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B66B86"/>
    <w:multiLevelType w:val="hybridMultilevel"/>
    <w:tmpl w:val="73608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1A4F5F"/>
    <w:multiLevelType w:val="hybridMultilevel"/>
    <w:tmpl w:val="D4821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3D1F39"/>
    <w:multiLevelType w:val="hybridMultilevel"/>
    <w:tmpl w:val="20B62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3FF212A"/>
    <w:multiLevelType w:val="hybridMultilevel"/>
    <w:tmpl w:val="23FCE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9F74B8"/>
    <w:multiLevelType w:val="hybridMultilevel"/>
    <w:tmpl w:val="03367C62"/>
    <w:lvl w:ilvl="0" w:tplc="D794E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D01EC5"/>
    <w:multiLevelType w:val="hybridMultilevel"/>
    <w:tmpl w:val="16B691AC"/>
    <w:lvl w:ilvl="0" w:tplc="10F02B50">
      <w:start w:val="1"/>
      <w:numFmt w:val="decimal"/>
      <w:lvlText w:val="%1."/>
      <w:lvlJc w:val="left"/>
      <w:pPr>
        <w:ind w:left="720" w:hanging="360"/>
      </w:pPr>
      <w:rPr>
        <w:rFonts w:ascii="Bookman Old Style" w:eastAsia="Times New Roman" w:hAnsi="Bookman Old Style" w:cs="Garamond"/>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4E486D"/>
    <w:multiLevelType w:val="hybridMultilevel"/>
    <w:tmpl w:val="3B9E8846"/>
    <w:lvl w:ilvl="0" w:tplc="6AF46CA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9362A9"/>
    <w:multiLevelType w:val="hybridMultilevel"/>
    <w:tmpl w:val="3912C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4"/>
  </w:num>
  <w:num w:numId="4">
    <w:abstractNumId w:val="13"/>
  </w:num>
  <w:num w:numId="5">
    <w:abstractNumId w:val="1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3"/>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1"/>
  </w:num>
  <w:num w:numId="16">
    <w:abstractNumId w:val="1"/>
  </w:num>
  <w:num w:numId="17">
    <w:abstractNumId w:val="12"/>
  </w:num>
  <w:num w:numId="18">
    <w:abstractNumId w:val="8"/>
  </w:num>
  <w:num w:numId="19">
    <w:abstractNumId w:val="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E72"/>
    <w:rsid w:val="00013AE9"/>
    <w:rsid w:val="0001634A"/>
    <w:rsid w:val="00016FD2"/>
    <w:rsid w:val="000214B5"/>
    <w:rsid w:val="00024F8F"/>
    <w:rsid w:val="00025FCD"/>
    <w:rsid w:val="0002790D"/>
    <w:rsid w:val="0003578A"/>
    <w:rsid w:val="00036F2E"/>
    <w:rsid w:val="00040E78"/>
    <w:rsid w:val="000410F0"/>
    <w:rsid w:val="00056525"/>
    <w:rsid w:val="0006328E"/>
    <w:rsid w:val="00070B84"/>
    <w:rsid w:val="00073392"/>
    <w:rsid w:val="0007530A"/>
    <w:rsid w:val="00075EDF"/>
    <w:rsid w:val="000763EF"/>
    <w:rsid w:val="00080E03"/>
    <w:rsid w:val="00084B45"/>
    <w:rsid w:val="000961DF"/>
    <w:rsid w:val="00096526"/>
    <w:rsid w:val="000A1D50"/>
    <w:rsid w:val="000A4651"/>
    <w:rsid w:val="000A6998"/>
    <w:rsid w:val="000A6AA5"/>
    <w:rsid w:val="000A7DB7"/>
    <w:rsid w:val="000B097C"/>
    <w:rsid w:val="000C2455"/>
    <w:rsid w:val="000C7499"/>
    <w:rsid w:val="000C7687"/>
    <w:rsid w:val="000D7255"/>
    <w:rsid w:val="000E1418"/>
    <w:rsid w:val="000E3085"/>
    <w:rsid w:val="000E64FF"/>
    <w:rsid w:val="000F4EB3"/>
    <w:rsid w:val="00101C8F"/>
    <w:rsid w:val="0010349E"/>
    <w:rsid w:val="00103563"/>
    <w:rsid w:val="001040A8"/>
    <w:rsid w:val="001042F0"/>
    <w:rsid w:val="001059B7"/>
    <w:rsid w:val="00105CFA"/>
    <w:rsid w:val="00107BCC"/>
    <w:rsid w:val="00113E0B"/>
    <w:rsid w:val="00117491"/>
    <w:rsid w:val="00121762"/>
    <w:rsid w:val="00124EA3"/>
    <w:rsid w:val="00127593"/>
    <w:rsid w:val="00132113"/>
    <w:rsid w:val="0013294F"/>
    <w:rsid w:val="00137DCB"/>
    <w:rsid w:val="001416CB"/>
    <w:rsid w:val="00145140"/>
    <w:rsid w:val="00145A19"/>
    <w:rsid w:val="00147BC4"/>
    <w:rsid w:val="00147EDA"/>
    <w:rsid w:val="00152A62"/>
    <w:rsid w:val="00152DD4"/>
    <w:rsid w:val="00156AE0"/>
    <w:rsid w:val="0016207E"/>
    <w:rsid w:val="001630A2"/>
    <w:rsid w:val="001648AB"/>
    <w:rsid w:val="00170921"/>
    <w:rsid w:val="0017141D"/>
    <w:rsid w:val="00174585"/>
    <w:rsid w:val="001747E9"/>
    <w:rsid w:val="001823EA"/>
    <w:rsid w:val="001A1E72"/>
    <w:rsid w:val="001A2A67"/>
    <w:rsid w:val="001A470D"/>
    <w:rsid w:val="001A563E"/>
    <w:rsid w:val="001A58A8"/>
    <w:rsid w:val="001B35FA"/>
    <w:rsid w:val="001B3923"/>
    <w:rsid w:val="001B6BFB"/>
    <w:rsid w:val="001B6C42"/>
    <w:rsid w:val="001C77FA"/>
    <w:rsid w:val="001D26FC"/>
    <w:rsid w:val="001E37CD"/>
    <w:rsid w:val="001E61D5"/>
    <w:rsid w:val="001F12C5"/>
    <w:rsid w:val="001F575A"/>
    <w:rsid w:val="002020C2"/>
    <w:rsid w:val="002049A5"/>
    <w:rsid w:val="00206814"/>
    <w:rsid w:val="00210920"/>
    <w:rsid w:val="002116E9"/>
    <w:rsid w:val="002219A3"/>
    <w:rsid w:val="00232639"/>
    <w:rsid w:val="00232773"/>
    <w:rsid w:val="00233CF6"/>
    <w:rsid w:val="00235649"/>
    <w:rsid w:val="00235E43"/>
    <w:rsid w:val="00244375"/>
    <w:rsid w:val="002479E6"/>
    <w:rsid w:val="00250644"/>
    <w:rsid w:val="00252C57"/>
    <w:rsid w:val="00253C16"/>
    <w:rsid w:val="00261DD6"/>
    <w:rsid w:val="00263E37"/>
    <w:rsid w:val="00263EAF"/>
    <w:rsid w:val="0026442B"/>
    <w:rsid w:val="0027102B"/>
    <w:rsid w:val="00280942"/>
    <w:rsid w:val="00283430"/>
    <w:rsid w:val="002841F6"/>
    <w:rsid w:val="0028453A"/>
    <w:rsid w:val="00292A2D"/>
    <w:rsid w:val="00297372"/>
    <w:rsid w:val="002A1191"/>
    <w:rsid w:val="002A5026"/>
    <w:rsid w:val="002B2593"/>
    <w:rsid w:val="002B48FD"/>
    <w:rsid w:val="002B5E9A"/>
    <w:rsid w:val="002C1BCD"/>
    <w:rsid w:val="002C676A"/>
    <w:rsid w:val="002D1ACB"/>
    <w:rsid w:val="002D5F9C"/>
    <w:rsid w:val="002F5110"/>
    <w:rsid w:val="0031208C"/>
    <w:rsid w:val="00317EC1"/>
    <w:rsid w:val="00327164"/>
    <w:rsid w:val="00327A2C"/>
    <w:rsid w:val="00330701"/>
    <w:rsid w:val="00331A2D"/>
    <w:rsid w:val="00331ACA"/>
    <w:rsid w:val="0033546C"/>
    <w:rsid w:val="00335E4F"/>
    <w:rsid w:val="00340137"/>
    <w:rsid w:val="00350978"/>
    <w:rsid w:val="00351585"/>
    <w:rsid w:val="00352A4A"/>
    <w:rsid w:val="003551E5"/>
    <w:rsid w:val="003628DA"/>
    <w:rsid w:val="00364064"/>
    <w:rsid w:val="00365190"/>
    <w:rsid w:val="00366B31"/>
    <w:rsid w:val="00370666"/>
    <w:rsid w:val="00382003"/>
    <w:rsid w:val="00386826"/>
    <w:rsid w:val="00391139"/>
    <w:rsid w:val="00394B3E"/>
    <w:rsid w:val="003A2984"/>
    <w:rsid w:val="003A2988"/>
    <w:rsid w:val="003B78F0"/>
    <w:rsid w:val="003B7BF2"/>
    <w:rsid w:val="003C77CF"/>
    <w:rsid w:val="003D296A"/>
    <w:rsid w:val="003D7E53"/>
    <w:rsid w:val="003E4F01"/>
    <w:rsid w:val="003E7648"/>
    <w:rsid w:val="00420E91"/>
    <w:rsid w:val="00421151"/>
    <w:rsid w:val="004341C8"/>
    <w:rsid w:val="00437FC7"/>
    <w:rsid w:val="00443E02"/>
    <w:rsid w:val="004442E2"/>
    <w:rsid w:val="00445F9A"/>
    <w:rsid w:val="00446158"/>
    <w:rsid w:val="004546AD"/>
    <w:rsid w:val="0046422C"/>
    <w:rsid w:val="004671EF"/>
    <w:rsid w:val="0047257F"/>
    <w:rsid w:val="00486758"/>
    <w:rsid w:val="00494AE1"/>
    <w:rsid w:val="00495719"/>
    <w:rsid w:val="004A1C1A"/>
    <w:rsid w:val="004A1CAB"/>
    <w:rsid w:val="004B11EF"/>
    <w:rsid w:val="004C6658"/>
    <w:rsid w:val="004D5C89"/>
    <w:rsid w:val="004D613C"/>
    <w:rsid w:val="004E5AFD"/>
    <w:rsid w:val="004E6543"/>
    <w:rsid w:val="004F4970"/>
    <w:rsid w:val="00500325"/>
    <w:rsid w:val="00501EE2"/>
    <w:rsid w:val="00503DBB"/>
    <w:rsid w:val="005043A2"/>
    <w:rsid w:val="0051736D"/>
    <w:rsid w:val="00517432"/>
    <w:rsid w:val="00520ADC"/>
    <w:rsid w:val="00523DDE"/>
    <w:rsid w:val="00526F54"/>
    <w:rsid w:val="005310DD"/>
    <w:rsid w:val="00533AAF"/>
    <w:rsid w:val="00533B58"/>
    <w:rsid w:val="0053454F"/>
    <w:rsid w:val="005424D6"/>
    <w:rsid w:val="00552F02"/>
    <w:rsid w:val="005531CA"/>
    <w:rsid w:val="005565C4"/>
    <w:rsid w:val="0055722F"/>
    <w:rsid w:val="005739AB"/>
    <w:rsid w:val="00580F44"/>
    <w:rsid w:val="00581B3B"/>
    <w:rsid w:val="00582572"/>
    <w:rsid w:val="005845A1"/>
    <w:rsid w:val="0058503A"/>
    <w:rsid w:val="00587DCC"/>
    <w:rsid w:val="0059040A"/>
    <w:rsid w:val="00596313"/>
    <w:rsid w:val="005968E6"/>
    <w:rsid w:val="00597AF1"/>
    <w:rsid w:val="005A7013"/>
    <w:rsid w:val="005B3C0C"/>
    <w:rsid w:val="005C3407"/>
    <w:rsid w:val="005C7882"/>
    <w:rsid w:val="005D2BF7"/>
    <w:rsid w:val="005E4067"/>
    <w:rsid w:val="005E472B"/>
    <w:rsid w:val="005F4AAD"/>
    <w:rsid w:val="005F582F"/>
    <w:rsid w:val="006017E2"/>
    <w:rsid w:val="006035FF"/>
    <w:rsid w:val="00617937"/>
    <w:rsid w:val="00625B54"/>
    <w:rsid w:val="006334F5"/>
    <w:rsid w:val="00633758"/>
    <w:rsid w:val="00637B02"/>
    <w:rsid w:val="00644246"/>
    <w:rsid w:val="00661B90"/>
    <w:rsid w:val="00662F44"/>
    <w:rsid w:val="00667D0F"/>
    <w:rsid w:val="00671E3F"/>
    <w:rsid w:val="00673BFA"/>
    <w:rsid w:val="00675356"/>
    <w:rsid w:val="00680E78"/>
    <w:rsid w:val="0068252F"/>
    <w:rsid w:val="00683C46"/>
    <w:rsid w:val="00690B50"/>
    <w:rsid w:val="006A7B28"/>
    <w:rsid w:val="006B3BD5"/>
    <w:rsid w:val="006B46E8"/>
    <w:rsid w:val="006C1085"/>
    <w:rsid w:val="006C2D1D"/>
    <w:rsid w:val="006E1B97"/>
    <w:rsid w:val="006F231C"/>
    <w:rsid w:val="00702249"/>
    <w:rsid w:val="00707716"/>
    <w:rsid w:val="00713D61"/>
    <w:rsid w:val="00714516"/>
    <w:rsid w:val="00725307"/>
    <w:rsid w:val="00726386"/>
    <w:rsid w:val="00737703"/>
    <w:rsid w:val="007378CB"/>
    <w:rsid w:val="00737B96"/>
    <w:rsid w:val="007451AC"/>
    <w:rsid w:val="007451B2"/>
    <w:rsid w:val="007522F3"/>
    <w:rsid w:val="0076244D"/>
    <w:rsid w:val="00766070"/>
    <w:rsid w:val="00775643"/>
    <w:rsid w:val="00786A61"/>
    <w:rsid w:val="00793C40"/>
    <w:rsid w:val="0079406C"/>
    <w:rsid w:val="007A3B45"/>
    <w:rsid w:val="007B0858"/>
    <w:rsid w:val="007B2FC7"/>
    <w:rsid w:val="007B7DE0"/>
    <w:rsid w:val="007C3709"/>
    <w:rsid w:val="007C537F"/>
    <w:rsid w:val="007C7AFD"/>
    <w:rsid w:val="007D4DFA"/>
    <w:rsid w:val="007D5612"/>
    <w:rsid w:val="007E2FB9"/>
    <w:rsid w:val="007E4920"/>
    <w:rsid w:val="007E7DBC"/>
    <w:rsid w:val="00813524"/>
    <w:rsid w:val="00813AEB"/>
    <w:rsid w:val="008143A0"/>
    <w:rsid w:val="00815322"/>
    <w:rsid w:val="0081757B"/>
    <w:rsid w:val="008239C0"/>
    <w:rsid w:val="00824082"/>
    <w:rsid w:val="00830DED"/>
    <w:rsid w:val="00831F13"/>
    <w:rsid w:val="00836EB4"/>
    <w:rsid w:val="008426D7"/>
    <w:rsid w:val="008508CF"/>
    <w:rsid w:val="00862AE6"/>
    <w:rsid w:val="008721C3"/>
    <w:rsid w:val="00877BF2"/>
    <w:rsid w:val="00877E73"/>
    <w:rsid w:val="00881151"/>
    <w:rsid w:val="008856D2"/>
    <w:rsid w:val="00886098"/>
    <w:rsid w:val="008B0ADB"/>
    <w:rsid w:val="008B4135"/>
    <w:rsid w:val="008C306C"/>
    <w:rsid w:val="008E54FC"/>
    <w:rsid w:val="008F0248"/>
    <w:rsid w:val="008F0E75"/>
    <w:rsid w:val="008F38C0"/>
    <w:rsid w:val="00902DF0"/>
    <w:rsid w:val="0090726C"/>
    <w:rsid w:val="00914E80"/>
    <w:rsid w:val="00915A69"/>
    <w:rsid w:val="00920EC6"/>
    <w:rsid w:val="009221AF"/>
    <w:rsid w:val="00926012"/>
    <w:rsid w:val="00931CB0"/>
    <w:rsid w:val="009329DF"/>
    <w:rsid w:val="00932C6B"/>
    <w:rsid w:val="0093578A"/>
    <w:rsid w:val="009366AA"/>
    <w:rsid w:val="00945C9A"/>
    <w:rsid w:val="00950CA7"/>
    <w:rsid w:val="00954239"/>
    <w:rsid w:val="00957A87"/>
    <w:rsid w:val="00966336"/>
    <w:rsid w:val="00976353"/>
    <w:rsid w:val="009767B2"/>
    <w:rsid w:val="0097710E"/>
    <w:rsid w:val="00983101"/>
    <w:rsid w:val="009902A7"/>
    <w:rsid w:val="00996529"/>
    <w:rsid w:val="009A3847"/>
    <w:rsid w:val="009A58AC"/>
    <w:rsid w:val="009B222F"/>
    <w:rsid w:val="009B6762"/>
    <w:rsid w:val="009C2CDE"/>
    <w:rsid w:val="009C44A8"/>
    <w:rsid w:val="009C4504"/>
    <w:rsid w:val="009D5CF0"/>
    <w:rsid w:val="009D623C"/>
    <w:rsid w:val="009E3A99"/>
    <w:rsid w:val="009F3E84"/>
    <w:rsid w:val="00A11FF5"/>
    <w:rsid w:val="00A16967"/>
    <w:rsid w:val="00A32763"/>
    <w:rsid w:val="00A339BE"/>
    <w:rsid w:val="00A36043"/>
    <w:rsid w:val="00A417AE"/>
    <w:rsid w:val="00A424AC"/>
    <w:rsid w:val="00A44722"/>
    <w:rsid w:val="00A51372"/>
    <w:rsid w:val="00A5323F"/>
    <w:rsid w:val="00A6178A"/>
    <w:rsid w:val="00A6488D"/>
    <w:rsid w:val="00A6580F"/>
    <w:rsid w:val="00A71064"/>
    <w:rsid w:val="00A7109B"/>
    <w:rsid w:val="00A73A6B"/>
    <w:rsid w:val="00A749FD"/>
    <w:rsid w:val="00A8471C"/>
    <w:rsid w:val="00A96E87"/>
    <w:rsid w:val="00AA1BF5"/>
    <w:rsid w:val="00AA5BD3"/>
    <w:rsid w:val="00AB2387"/>
    <w:rsid w:val="00AB37FC"/>
    <w:rsid w:val="00AB4D7B"/>
    <w:rsid w:val="00AD048E"/>
    <w:rsid w:val="00AD0575"/>
    <w:rsid w:val="00AE0714"/>
    <w:rsid w:val="00AF62C8"/>
    <w:rsid w:val="00AF76F0"/>
    <w:rsid w:val="00AF7907"/>
    <w:rsid w:val="00B03239"/>
    <w:rsid w:val="00B10180"/>
    <w:rsid w:val="00B125A1"/>
    <w:rsid w:val="00B14BE5"/>
    <w:rsid w:val="00B27A8A"/>
    <w:rsid w:val="00B33E25"/>
    <w:rsid w:val="00B53888"/>
    <w:rsid w:val="00B53CB9"/>
    <w:rsid w:val="00B53F56"/>
    <w:rsid w:val="00B56015"/>
    <w:rsid w:val="00B65193"/>
    <w:rsid w:val="00B67B9E"/>
    <w:rsid w:val="00B81926"/>
    <w:rsid w:val="00B834AE"/>
    <w:rsid w:val="00B9095E"/>
    <w:rsid w:val="00B90B8D"/>
    <w:rsid w:val="00B91334"/>
    <w:rsid w:val="00BA76B4"/>
    <w:rsid w:val="00BB01C5"/>
    <w:rsid w:val="00BB2D83"/>
    <w:rsid w:val="00BC0185"/>
    <w:rsid w:val="00BC219A"/>
    <w:rsid w:val="00BD56C4"/>
    <w:rsid w:val="00BE4E80"/>
    <w:rsid w:val="00BF7FD4"/>
    <w:rsid w:val="00C0514D"/>
    <w:rsid w:val="00C1096D"/>
    <w:rsid w:val="00C12135"/>
    <w:rsid w:val="00C16B06"/>
    <w:rsid w:val="00C22889"/>
    <w:rsid w:val="00C24B5F"/>
    <w:rsid w:val="00C2777D"/>
    <w:rsid w:val="00C30395"/>
    <w:rsid w:val="00C306DA"/>
    <w:rsid w:val="00C30E2A"/>
    <w:rsid w:val="00C40F73"/>
    <w:rsid w:val="00C46FD3"/>
    <w:rsid w:val="00C50E17"/>
    <w:rsid w:val="00C61AC3"/>
    <w:rsid w:val="00C643F5"/>
    <w:rsid w:val="00C73F52"/>
    <w:rsid w:val="00C75C31"/>
    <w:rsid w:val="00C83C02"/>
    <w:rsid w:val="00C9303F"/>
    <w:rsid w:val="00CB6761"/>
    <w:rsid w:val="00CD0D3F"/>
    <w:rsid w:val="00CD1D1C"/>
    <w:rsid w:val="00CE1CB8"/>
    <w:rsid w:val="00CE2B2D"/>
    <w:rsid w:val="00CE5249"/>
    <w:rsid w:val="00CE766E"/>
    <w:rsid w:val="00CF4B94"/>
    <w:rsid w:val="00D00788"/>
    <w:rsid w:val="00D04CD4"/>
    <w:rsid w:val="00D10AC4"/>
    <w:rsid w:val="00D3552D"/>
    <w:rsid w:val="00D35D22"/>
    <w:rsid w:val="00D40241"/>
    <w:rsid w:val="00D41485"/>
    <w:rsid w:val="00D509DF"/>
    <w:rsid w:val="00D50BA6"/>
    <w:rsid w:val="00D51768"/>
    <w:rsid w:val="00D5365E"/>
    <w:rsid w:val="00D61101"/>
    <w:rsid w:val="00D70596"/>
    <w:rsid w:val="00D720D9"/>
    <w:rsid w:val="00D75148"/>
    <w:rsid w:val="00D75F7A"/>
    <w:rsid w:val="00D907BA"/>
    <w:rsid w:val="00D91CCD"/>
    <w:rsid w:val="00D93BBB"/>
    <w:rsid w:val="00D96CFA"/>
    <w:rsid w:val="00D97F9F"/>
    <w:rsid w:val="00DA07C7"/>
    <w:rsid w:val="00DA6DBD"/>
    <w:rsid w:val="00DB38FD"/>
    <w:rsid w:val="00DB5FF9"/>
    <w:rsid w:val="00DD0659"/>
    <w:rsid w:val="00DD36FD"/>
    <w:rsid w:val="00DD3D55"/>
    <w:rsid w:val="00DE4F5F"/>
    <w:rsid w:val="00DE5CD2"/>
    <w:rsid w:val="00DF0338"/>
    <w:rsid w:val="00DF1907"/>
    <w:rsid w:val="00E06E68"/>
    <w:rsid w:val="00E13EE4"/>
    <w:rsid w:val="00E15A11"/>
    <w:rsid w:val="00E16104"/>
    <w:rsid w:val="00E16A77"/>
    <w:rsid w:val="00E17EE0"/>
    <w:rsid w:val="00E17FCB"/>
    <w:rsid w:val="00E2648C"/>
    <w:rsid w:val="00E269BB"/>
    <w:rsid w:val="00E27B80"/>
    <w:rsid w:val="00E32B9B"/>
    <w:rsid w:val="00E34328"/>
    <w:rsid w:val="00E40598"/>
    <w:rsid w:val="00E47BAA"/>
    <w:rsid w:val="00E55978"/>
    <w:rsid w:val="00E56367"/>
    <w:rsid w:val="00E64ADC"/>
    <w:rsid w:val="00E66421"/>
    <w:rsid w:val="00E700B5"/>
    <w:rsid w:val="00E71290"/>
    <w:rsid w:val="00E73374"/>
    <w:rsid w:val="00E73BF2"/>
    <w:rsid w:val="00E758CB"/>
    <w:rsid w:val="00E82F1E"/>
    <w:rsid w:val="00EA06CD"/>
    <w:rsid w:val="00EA17AD"/>
    <w:rsid w:val="00EA4A5F"/>
    <w:rsid w:val="00EA5A27"/>
    <w:rsid w:val="00EA6B5C"/>
    <w:rsid w:val="00EB2AEA"/>
    <w:rsid w:val="00EB4F80"/>
    <w:rsid w:val="00EB571B"/>
    <w:rsid w:val="00EB5D06"/>
    <w:rsid w:val="00EB6403"/>
    <w:rsid w:val="00EB6E1E"/>
    <w:rsid w:val="00EC07EA"/>
    <w:rsid w:val="00EC4E09"/>
    <w:rsid w:val="00EC673B"/>
    <w:rsid w:val="00ED13FA"/>
    <w:rsid w:val="00ED3EEF"/>
    <w:rsid w:val="00EE1198"/>
    <w:rsid w:val="00EF2745"/>
    <w:rsid w:val="00EF2EB1"/>
    <w:rsid w:val="00EF3CED"/>
    <w:rsid w:val="00F02AF5"/>
    <w:rsid w:val="00F03E77"/>
    <w:rsid w:val="00F07F87"/>
    <w:rsid w:val="00F16F7E"/>
    <w:rsid w:val="00F22A77"/>
    <w:rsid w:val="00F27A5E"/>
    <w:rsid w:val="00F32A60"/>
    <w:rsid w:val="00F36B19"/>
    <w:rsid w:val="00F43B6C"/>
    <w:rsid w:val="00F510AE"/>
    <w:rsid w:val="00F51C31"/>
    <w:rsid w:val="00F62FE2"/>
    <w:rsid w:val="00F64168"/>
    <w:rsid w:val="00F665E5"/>
    <w:rsid w:val="00F70C10"/>
    <w:rsid w:val="00F74997"/>
    <w:rsid w:val="00F75C3F"/>
    <w:rsid w:val="00F800C9"/>
    <w:rsid w:val="00F84002"/>
    <w:rsid w:val="00F850BE"/>
    <w:rsid w:val="00F92D5F"/>
    <w:rsid w:val="00F93B00"/>
    <w:rsid w:val="00FB0B07"/>
    <w:rsid w:val="00FB29C5"/>
    <w:rsid w:val="00FB3D43"/>
    <w:rsid w:val="00FB55EE"/>
    <w:rsid w:val="00FC0E77"/>
    <w:rsid w:val="00FD0A94"/>
    <w:rsid w:val="00FD0E64"/>
    <w:rsid w:val="00FD22A1"/>
    <w:rsid w:val="00FE11FA"/>
    <w:rsid w:val="00FE1A1B"/>
    <w:rsid w:val="00FE5B1B"/>
    <w:rsid w:val="00FE63C1"/>
    <w:rsid w:val="00FE67DC"/>
    <w:rsid w:val="00FE70B2"/>
    <w:rsid w:val="00FF52D8"/>
    <w:rsid w:val="00FF5906"/>
    <w:rsid w:val="00FF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C64B"/>
  <w15:docId w15:val="{AE0C5469-B53E-4176-B203-CA139E11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E72"/>
    <w:rPr>
      <w:rFonts w:ascii="Times New Roman" w:eastAsia="Times New Roman" w:hAnsi="Times New Roman"/>
      <w:sz w:val="24"/>
      <w:szCs w:val="24"/>
      <w:lang w:val="sq-AL"/>
    </w:rPr>
  </w:style>
  <w:style w:type="paragraph" w:styleId="Heading2">
    <w:name w:val="heading 2"/>
    <w:basedOn w:val="Normal"/>
    <w:next w:val="Normal"/>
    <w:link w:val="Heading2Char"/>
    <w:uiPriority w:val="9"/>
    <w:semiHidden/>
    <w:unhideWhenUsed/>
    <w:qFormat/>
    <w:rsid w:val="00C3039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7DBC"/>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E7DB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E72"/>
    <w:rPr>
      <w:rFonts w:ascii="Tahoma" w:hAnsi="Tahoma" w:cs="Tahoma"/>
      <w:sz w:val="16"/>
      <w:szCs w:val="16"/>
    </w:rPr>
  </w:style>
  <w:style w:type="character" w:customStyle="1" w:styleId="BalloonTextChar">
    <w:name w:val="Balloon Text Char"/>
    <w:basedOn w:val="DefaultParagraphFont"/>
    <w:link w:val="BalloonText"/>
    <w:uiPriority w:val="99"/>
    <w:semiHidden/>
    <w:rsid w:val="001A1E72"/>
    <w:rPr>
      <w:rFonts w:ascii="Tahoma" w:eastAsia="Times New Roman" w:hAnsi="Tahoma" w:cs="Tahoma"/>
      <w:sz w:val="16"/>
      <w:szCs w:val="16"/>
      <w:lang w:val="en-US"/>
    </w:rPr>
  </w:style>
  <w:style w:type="paragraph" w:styleId="ListParagraph">
    <w:name w:val="List Paragraph"/>
    <w:basedOn w:val="Normal"/>
    <w:uiPriority w:val="34"/>
    <w:qFormat/>
    <w:rsid w:val="001A1E72"/>
    <w:pPr>
      <w:ind w:left="720"/>
      <w:contextualSpacing/>
    </w:pPr>
  </w:style>
  <w:style w:type="paragraph" w:styleId="Header">
    <w:name w:val="header"/>
    <w:basedOn w:val="Normal"/>
    <w:link w:val="HeaderChar"/>
    <w:uiPriority w:val="99"/>
    <w:semiHidden/>
    <w:unhideWhenUsed/>
    <w:rsid w:val="00C16B06"/>
    <w:pPr>
      <w:tabs>
        <w:tab w:val="center" w:pos="4680"/>
        <w:tab w:val="right" w:pos="9360"/>
      </w:tabs>
    </w:pPr>
  </w:style>
  <w:style w:type="character" w:customStyle="1" w:styleId="HeaderChar">
    <w:name w:val="Header Char"/>
    <w:basedOn w:val="DefaultParagraphFont"/>
    <w:link w:val="Header"/>
    <w:uiPriority w:val="99"/>
    <w:semiHidden/>
    <w:rsid w:val="00C16B06"/>
    <w:rPr>
      <w:rFonts w:ascii="Times New Roman" w:eastAsia="Times New Roman" w:hAnsi="Times New Roman"/>
      <w:sz w:val="24"/>
      <w:szCs w:val="24"/>
    </w:rPr>
  </w:style>
  <w:style w:type="paragraph" w:styleId="Footer">
    <w:name w:val="footer"/>
    <w:basedOn w:val="Normal"/>
    <w:link w:val="FooterChar"/>
    <w:uiPriority w:val="99"/>
    <w:unhideWhenUsed/>
    <w:rsid w:val="00C16B06"/>
    <w:pPr>
      <w:tabs>
        <w:tab w:val="center" w:pos="4680"/>
        <w:tab w:val="right" w:pos="9360"/>
      </w:tabs>
    </w:pPr>
  </w:style>
  <w:style w:type="character" w:customStyle="1" w:styleId="FooterChar">
    <w:name w:val="Footer Char"/>
    <w:basedOn w:val="DefaultParagraphFont"/>
    <w:link w:val="Footer"/>
    <w:uiPriority w:val="99"/>
    <w:rsid w:val="00C16B06"/>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C30395"/>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
    <w:unhideWhenUsed/>
    <w:rsid w:val="00C30395"/>
    <w:pPr>
      <w:jc w:val="both"/>
    </w:pPr>
    <w:rPr>
      <w:rFonts w:ascii="Book Antiqua" w:hAnsi="Book Antiqua"/>
      <w:sz w:val="28"/>
      <w:lang w:val="en-GB"/>
    </w:rPr>
  </w:style>
  <w:style w:type="character" w:customStyle="1" w:styleId="BodyText2Char">
    <w:name w:val="Body Text 2 Char"/>
    <w:basedOn w:val="DefaultParagraphFont"/>
    <w:link w:val="BodyText2"/>
    <w:rsid w:val="00C30395"/>
    <w:rPr>
      <w:rFonts w:ascii="Book Antiqua" w:eastAsia="Times New Roman" w:hAnsi="Book Antiqua"/>
      <w:sz w:val="28"/>
      <w:szCs w:val="24"/>
      <w:lang w:val="en-GB"/>
    </w:rPr>
  </w:style>
  <w:style w:type="paragraph" w:customStyle="1" w:styleId="StyleHeading212ptBoldAfter4pt">
    <w:name w:val="Style Heading 2 + 12 pt Bold After:  4 pt"/>
    <w:basedOn w:val="Heading2"/>
    <w:autoRedefine/>
    <w:rsid w:val="00C30395"/>
    <w:pPr>
      <w:keepLines w:val="0"/>
      <w:spacing w:before="0" w:after="80"/>
      <w:jc w:val="center"/>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C30395"/>
    <w:rPr>
      <w:sz w:val="20"/>
      <w:szCs w:val="20"/>
    </w:rPr>
  </w:style>
  <w:style w:type="character" w:customStyle="1" w:styleId="FootnoteTextChar">
    <w:name w:val="Footnote Text Char"/>
    <w:basedOn w:val="DefaultParagraphFont"/>
    <w:link w:val="FootnoteText"/>
    <w:uiPriority w:val="99"/>
    <w:semiHidden/>
    <w:rsid w:val="00C30395"/>
    <w:rPr>
      <w:rFonts w:ascii="Times New Roman" w:eastAsia="Times New Roman" w:hAnsi="Times New Roman"/>
    </w:rPr>
  </w:style>
  <w:style w:type="character" w:styleId="FootnoteReference">
    <w:name w:val="footnote reference"/>
    <w:basedOn w:val="DefaultParagraphFont"/>
    <w:uiPriority w:val="99"/>
    <w:semiHidden/>
    <w:unhideWhenUsed/>
    <w:rsid w:val="00C30395"/>
    <w:rPr>
      <w:vertAlign w:val="superscript"/>
    </w:rPr>
  </w:style>
  <w:style w:type="paragraph" w:styleId="NoSpacing">
    <w:name w:val="No Spacing"/>
    <w:link w:val="NoSpacingChar"/>
    <w:uiPriority w:val="1"/>
    <w:qFormat/>
    <w:rsid w:val="00A6178A"/>
    <w:rPr>
      <w:rFonts w:eastAsia="Times New Roman"/>
      <w:sz w:val="22"/>
      <w:szCs w:val="22"/>
    </w:rPr>
  </w:style>
  <w:style w:type="paragraph" w:styleId="BodyTextIndent">
    <w:name w:val="Body Text Indent"/>
    <w:basedOn w:val="Normal"/>
    <w:link w:val="BodyTextIndentChar"/>
    <w:uiPriority w:val="99"/>
    <w:semiHidden/>
    <w:unhideWhenUsed/>
    <w:rsid w:val="004D5C89"/>
    <w:pPr>
      <w:spacing w:after="120"/>
      <w:ind w:left="360"/>
    </w:pPr>
  </w:style>
  <w:style w:type="character" w:customStyle="1" w:styleId="BodyTextIndentChar">
    <w:name w:val="Body Text Indent Char"/>
    <w:basedOn w:val="DefaultParagraphFont"/>
    <w:link w:val="BodyTextIndent"/>
    <w:uiPriority w:val="99"/>
    <w:semiHidden/>
    <w:rsid w:val="004D5C89"/>
    <w:rPr>
      <w:rFonts w:ascii="Times New Roman" w:eastAsia="Times New Roman" w:hAnsi="Times New Roman"/>
      <w:sz w:val="24"/>
      <w:szCs w:val="24"/>
      <w:lang w:val="sq-AL"/>
    </w:rPr>
  </w:style>
  <w:style w:type="character" w:customStyle="1" w:styleId="NoSpacingChar">
    <w:name w:val="No Spacing Char"/>
    <w:link w:val="NoSpacing"/>
    <w:uiPriority w:val="1"/>
    <w:rsid w:val="00EB5D06"/>
    <w:rPr>
      <w:rFonts w:eastAsia="Times New Roman"/>
      <w:sz w:val="22"/>
      <w:szCs w:val="22"/>
    </w:rPr>
  </w:style>
  <w:style w:type="character" w:customStyle="1" w:styleId="Heading3Char">
    <w:name w:val="Heading 3 Char"/>
    <w:basedOn w:val="DefaultParagraphFont"/>
    <w:link w:val="Heading3"/>
    <w:uiPriority w:val="9"/>
    <w:semiHidden/>
    <w:rsid w:val="007E7DBC"/>
    <w:rPr>
      <w:rFonts w:asciiTheme="majorHAnsi" w:eastAsiaTheme="majorEastAsia" w:hAnsiTheme="majorHAnsi" w:cstheme="majorBidi"/>
      <w:b/>
      <w:bCs/>
      <w:color w:val="4F81BD" w:themeColor="accent1"/>
      <w:sz w:val="24"/>
      <w:szCs w:val="24"/>
      <w:lang w:val="sq-AL"/>
    </w:rPr>
  </w:style>
  <w:style w:type="character" w:customStyle="1" w:styleId="Heading6Char">
    <w:name w:val="Heading 6 Char"/>
    <w:basedOn w:val="DefaultParagraphFont"/>
    <w:link w:val="Heading6"/>
    <w:uiPriority w:val="9"/>
    <w:semiHidden/>
    <w:rsid w:val="007E7DBC"/>
    <w:rPr>
      <w:rFonts w:asciiTheme="majorHAnsi" w:eastAsiaTheme="majorEastAsia" w:hAnsiTheme="majorHAnsi" w:cstheme="majorBidi"/>
      <w:i/>
      <w:iCs/>
      <w:color w:val="243F60" w:themeColor="accent1" w:themeShade="7F"/>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610030">
      <w:bodyDiv w:val="1"/>
      <w:marLeft w:val="0"/>
      <w:marRight w:val="0"/>
      <w:marTop w:val="0"/>
      <w:marBottom w:val="0"/>
      <w:divBdr>
        <w:top w:val="none" w:sz="0" w:space="0" w:color="auto"/>
        <w:left w:val="none" w:sz="0" w:space="0" w:color="auto"/>
        <w:bottom w:val="none" w:sz="0" w:space="0" w:color="auto"/>
        <w:right w:val="none" w:sz="0" w:space="0" w:color="auto"/>
      </w:divBdr>
    </w:div>
    <w:div w:id="173041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B9252-28B2-43F0-98F1-14ED623A7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6</Pages>
  <Words>2053</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Regleta</dc:creator>
  <cp:lastModifiedBy>Genti Dokollari</cp:lastModifiedBy>
  <cp:revision>4</cp:revision>
  <cp:lastPrinted>2020-01-07T11:55:00Z</cp:lastPrinted>
  <dcterms:created xsi:type="dcterms:W3CDTF">2021-10-31T18:22:00Z</dcterms:created>
  <dcterms:modified xsi:type="dcterms:W3CDTF">2021-10-31T20:05:00Z</dcterms:modified>
</cp:coreProperties>
</file>